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C8325" w14:textId="77777777" w:rsidR="00FB4574" w:rsidRPr="006740A2" w:rsidRDefault="00FB4574" w:rsidP="00FB4574">
      <w:pPr>
        <w:pStyle w:val="tab"/>
        <w:pBdr>
          <w:top w:val="single" w:sz="6" w:space="1" w:color="auto"/>
        </w:pBdr>
        <w:ind w:left="-142" w:right="-292"/>
        <w:rPr>
          <w:rFonts w:ascii="Verdana" w:hAnsi="Verdana" w:cs="Arial"/>
          <w:b/>
          <w:sz w:val="20"/>
          <w:lang w:val="en-GB"/>
        </w:rPr>
      </w:pPr>
    </w:p>
    <w:p w14:paraId="62301082" w14:textId="77777777" w:rsidR="00FB4574" w:rsidRPr="006740A2" w:rsidRDefault="00FB4574">
      <w:pPr>
        <w:pStyle w:val="tab"/>
        <w:ind w:right="-292"/>
        <w:jc w:val="center"/>
        <w:rPr>
          <w:rFonts w:ascii="Verdana" w:hAnsi="Verdana" w:cs="Arial"/>
          <w:b/>
          <w:caps/>
          <w:sz w:val="20"/>
          <w:lang w:val="en-GB"/>
        </w:rPr>
      </w:pPr>
      <w:r w:rsidRPr="006740A2">
        <w:rPr>
          <w:rFonts w:ascii="Verdana" w:hAnsi="Verdana" w:cs="Arial"/>
          <w:b/>
          <w:caps/>
          <w:sz w:val="20"/>
          <w:lang w:val="en-GB"/>
        </w:rPr>
        <w:t>Capital Markets Back-Office Certification Programme (CAMBOC)</w:t>
      </w:r>
    </w:p>
    <w:p w14:paraId="68F644E8" w14:textId="77777777" w:rsidR="00FB4574" w:rsidRPr="006740A2" w:rsidRDefault="00FB4574" w:rsidP="00FB4574">
      <w:pPr>
        <w:pStyle w:val="tab"/>
        <w:ind w:right="-292"/>
        <w:jc w:val="center"/>
        <w:rPr>
          <w:rFonts w:ascii="Verdana" w:hAnsi="Verdana" w:cs="Arial"/>
          <w:i/>
          <w:sz w:val="20"/>
          <w:lang w:val="en-GB"/>
        </w:rPr>
      </w:pPr>
      <w:r w:rsidRPr="006740A2">
        <w:rPr>
          <w:rFonts w:ascii="Verdana" w:hAnsi="Verdana" w:cs="Arial"/>
          <w:caps/>
          <w:sz w:val="20"/>
          <w:lang w:val="en-GB"/>
        </w:rPr>
        <w:t xml:space="preserve">Mastering </w:t>
      </w:r>
      <w:r w:rsidR="00152951" w:rsidRPr="006740A2">
        <w:rPr>
          <w:rFonts w:ascii="Verdana" w:hAnsi="Verdana" w:cs="Arial"/>
          <w:caps/>
          <w:sz w:val="20"/>
          <w:lang w:val="en-GB"/>
        </w:rPr>
        <w:t xml:space="preserve">SECURITIES </w:t>
      </w:r>
      <w:r w:rsidRPr="006740A2">
        <w:rPr>
          <w:rFonts w:ascii="Verdana" w:hAnsi="Verdana" w:cs="Arial"/>
          <w:caps/>
          <w:sz w:val="20"/>
          <w:lang w:val="en-GB"/>
        </w:rPr>
        <w:t>Back-office Operations</w:t>
      </w:r>
    </w:p>
    <w:p w14:paraId="4ABE77E2" w14:textId="0550A8FD" w:rsidR="00FB4574" w:rsidRPr="006740A2" w:rsidRDefault="00FB4574" w:rsidP="004873E2">
      <w:pPr>
        <w:pStyle w:val="tab"/>
        <w:pBdr>
          <w:bottom w:val="single" w:sz="6" w:space="1" w:color="auto"/>
        </w:pBdr>
        <w:spacing w:before="120" w:after="120"/>
        <w:ind w:left="-142" w:right="-289"/>
        <w:jc w:val="center"/>
        <w:rPr>
          <w:rFonts w:ascii="Verdana" w:hAnsi="Verdana" w:cs="Arial"/>
          <w:b/>
          <w:sz w:val="20"/>
          <w:lang w:val="en-GB"/>
        </w:rPr>
      </w:pPr>
      <w:r w:rsidRPr="006740A2">
        <w:rPr>
          <w:rFonts w:ascii="Verdana" w:hAnsi="Verdana" w:cs="Arial"/>
          <w:b/>
          <w:sz w:val="20"/>
          <w:lang w:val="en-GB"/>
        </w:rPr>
        <w:t>ORGANISATION SHEET</w:t>
      </w:r>
    </w:p>
    <w:p w14:paraId="0809FFC2" w14:textId="77777777" w:rsidR="00FB4574" w:rsidRPr="006740A2" w:rsidRDefault="00FB4574">
      <w:pPr>
        <w:pStyle w:val="tab"/>
        <w:rPr>
          <w:rFonts w:ascii="Verdana" w:hAnsi="Verdana" w:cs="Arial"/>
          <w:sz w:val="20"/>
          <w:lang w:val="en-GB"/>
        </w:rPr>
      </w:pPr>
    </w:p>
    <w:tbl>
      <w:tblPr>
        <w:tblW w:w="9152" w:type="dxa"/>
        <w:tblLayout w:type="fixed"/>
        <w:tblCellMar>
          <w:left w:w="80" w:type="dxa"/>
          <w:right w:w="80" w:type="dxa"/>
        </w:tblCellMar>
        <w:tblLook w:val="0000" w:firstRow="0" w:lastRow="0" w:firstColumn="0" w:lastColumn="0" w:noHBand="0" w:noVBand="0"/>
      </w:tblPr>
      <w:tblGrid>
        <w:gridCol w:w="1781"/>
        <w:gridCol w:w="180"/>
        <w:gridCol w:w="7191"/>
      </w:tblGrid>
      <w:tr w:rsidR="00FB4574" w:rsidRPr="00C8073D" w14:paraId="42B1F421" w14:textId="77777777">
        <w:tc>
          <w:tcPr>
            <w:tcW w:w="1781" w:type="dxa"/>
            <w:tcBorders>
              <w:top w:val="single" w:sz="6" w:space="0" w:color="auto"/>
              <w:left w:val="single" w:sz="6" w:space="0" w:color="auto"/>
              <w:bottom w:val="single" w:sz="6" w:space="0" w:color="auto"/>
              <w:right w:val="single" w:sz="6" w:space="0" w:color="auto"/>
            </w:tcBorders>
          </w:tcPr>
          <w:p w14:paraId="02A5631D" w14:textId="0C527E3B" w:rsidR="00FB4574" w:rsidRPr="006740A2" w:rsidRDefault="00FB4574" w:rsidP="00FB4574">
            <w:pPr>
              <w:pStyle w:val="tab"/>
              <w:spacing w:before="60"/>
              <w:jc w:val="left"/>
              <w:rPr>
                <w:rFonts w:ascii="Verdana" w:hAnsi="Verdana" w:cs="Arial"/>
                <w:b/>
                <w:sz w:val="20"/>
                <w:lang w:val="en-GB"/>
              </w:rPr>
            </w:pPr>
            <w:r w:rsidRPr="006740A2">
              <w:rPr>
                <w:rFonts w:ascii="Verdana" w:hAnsi="Verdana" w:cs="Arial"/>
                <w:b/>
                <w:sz w:val="20"/>
                <w:lang w:val="en-GB"/>
              </w:rPr>
              <w:t>Objective</w:t>
            </w:r>
            <w:r w:rsidR="008D70D2">
              <w:rPr>
                <w:rFonts w:ascii="Verdana" w:hAnsi="Verdana" w:cs="Arial"/>
                <w:b/>
                <w:sz w:val="20"/>
                <w:lang w:val="en-GB"/>
              </w:rPr>
              <w:t>s</w:t>
            </w:r>
          </w:p>
          <w:p w14:paraId="1DD7F467" w14:textId="77777777" w:rsidR="00FB4574" w:rsidRPr="006740A2" w:rsidRDefault="00FB4574" w:rsidP="00FB4574">
            <w:pPr>
              <w:pStyle w:val="tab"/>
              <w:spacing w:before="60"/>
              <w:jc w:val="left"/>
              <w:rPr>
                <w:rFonts w:ascii="Verdana" w:hAnsi="Verdana" w:cs="Arial"/>
                <w:b/>
                <w:sz w:val="20"/>
                <w:lang w:val="en-GB"/>
              </w:rPr>
            </w:pPr>
          </w:p>
        </w:tc>
        <w:tc>
          <w:tcPr>
            <w:tcW w:w="180" w:type="dxa"/>
          </w:tcPr>
          <w:p w14:paraId="00C7D4FD" w14:textId="77777777" w:rsidR="00FB4574" w:rsidRPr="006740A2" w:rsidRDefault="00FB4574">
            <w:pPr>
              <w:pStyle w:val="tab"/>
              <w:rPr>
                <w:rFonts w:ascii="Verdana" w:hAnsi="Verdana" w:cs="Arial"/>
                <w:sz w:val="20"/>
                <w:highlight w:val="red"/>
                <w:lang w:val="en-GB"/>
              </w:rPr>
            </w:pPr>
          </w:p>
        </w:tc>
        <w:tc>
          <w:tcPr>
            <w:tcW w:w="7191" w:type="dxa"/>
          </w:tcPr>
          <w:p w14:paraId="4D8A036B" w14:textId="1D777F11" w:rsidR="00FB4574" w:rsidRPr="00BB12D3" w:rsidRDefault="00F11BF6" w:rsidP="00DA7899">
            <w:pPr>
              <w:spacing w:before="120" w:after="120"/>
              <w:jc w:val="both"/>
              <w:rPr>
                <w:rFonts w:ascii="Verdana" w:hAnsi="Verdana" w:cs="Arial"/>
                <w:lang w:val="en-GB"/>
              </w:rPr>
            </w:pPr>
            <w:r w:rsidRPr="006740A2">
              <w:rPr>
                <w:rFonts w:ascii="Verdana" w:hAnsi="Verdana" w:cs="Arial"/>
                <w:lang w:val="en-GB"/>
              </w:rPr>
              <w:t xml:space="preserve">CAMBOC is a </w:t>
            </w:r>
            <w:r w:rsidR="00BB12D3">
              <w:rPr>
                <w:rFonts w:ascii="Verdana" w:hAnsi="Verdana" w:cs="Arial"/>
                <w:lang w:val="en-GB"/>
              </w:rPr>
              <w:t xml:space="preserve">7-day </w:t>
            </w:r>
            <w:r w:rsidRPr="006740A2">
              <w:rPr>
                <w:rFonts w:ascii="Verdana" w:hAnsi="Verdana" w:cs="Arial"/>
                <w:lang w:val="en-GB"/>
              </w:rPr>
              <w:t xml:space="preserve">comprehensive </w:t>
            </w:r>
            <w:r w:rsidR="00B348A0" w:rsidRPr="006740A2">
              <w:rPr>
                <w:rFonts w:ascii="Verdana" w:hAnsi="Verdana" w:cs="Arial"/>
                <w:lang w:val="en-GB"/>
              </w:rPr>
              <w:t>programme that covers many aspects of sec</w:t>
            </w:r>
            <w:r w:rsidR="00AA6FA1">
              <w:rPr>
                <w:rFonts w:ascii="Verdana" w:hAnsi="Verdana" w:cs="Arial"/>
                <w:lang w:val="en-GB"/>
              </w:rPr>
              <w:t>urities back-office operations.</w:t>
            </w:r>
            <w:r w:rsidR="008D70D2">
              <w:rPr>
                <w:rFonts w:ascii="Verdana" w:hAnsi="Verdana" w:cs="Arial"/>
                <w:lang w:val="en-GB"/>
              </w:rPr>
              <w:t xml:space="preserve"> </w:t>
            </w:r>
            <w:r w:rsidR="00BB12D3" w:rsidRPr="00BB12D3">
              <w:rPr>
                <w:rFonts w:ascii="Verdana" w:hAnsi="Verdana" w:cs="Arial"/>
                <w:lang w:val="en-GB"/>
              </w:rPr>
              <w:t>The main objective of CAMBOC is to provide participants with a good understanding of the diverse activities that are carried out in a securities back-office, including settlement in the primary and secondary markets, custody for debt instruments and equities, securities financing, collateral management, tax processing and international payments. The programme also includes a section on managing operational risk in the back-office</w:t>
            </w:r>
            <w:r w:rsidR="00BB12D3">
              <w:rPr>
                <w:rFonts w:ascii="Verdana" w:hAnsi="Verdana" w:cs="Arial"/>
                <w:lang w:val="en-GB"/>
              </w:rPr>
              <w:t>.</w:t>
            </w:r>
          </w:p>
        </w:tc>
      </w:tr>
    </w:tbl>
    <w:p w14:paraId="3FEF6676" w14:textId="77777777" w:rsidR="00FB4574" w:rsidRPr="006740A2" w:rsidRDefault="00FB4574">
      <w:pPr>
        <w:pStyle w:val="tab"/>
        <w:rPr>
          <w:rFonts w:ascii="Verdana" w:hAnsi="Verdana" w:cs="Arial"/>
          <w:sz w:val="20"/>
          <w:highlight w:val="red"/>
          <w:lang w:val="en-GB"/>
        </w:rPr>
      </w:pPr>
    </w:p>
    <w:tbl>
      <w:tblPr>
        <w:tblW w:w="9152" w:type="dxa"/>
        <w:tblLayout w:type="fixed"/>
        <w:tblCellMar>
          <w:left w:w="80" w:type="dxa"/>
          <w:right w:w="80" w:type="dxa"/>
        </w:tblCellMar>
        <w:tblLook w:val="0000" w:firstRow="0" w:lastRow="0" w:firstColumn="0" w:lastColumn="0" w:noHBand="0" w:noVBand="0"/>
      </w:tblPr>
      <w:tblGrid>
        <w:gridCol w:w="1781"/>
        <w:gridCol w:w="180"/>
        <w:gridCol w:w="7191"/>
      </w:tblGrid>
      <w:tr w:rsidR="00FB4574" w:rsidRPr="00C8073D" w14:paraId="6C9D8455" w14:textId="77777777">
        <w:tc>
          <w:tcPr>
            <w:tcW w:w="1781" w:type="dxa"/>
            <w:tcBorders>
              <w:top w:val="single" w:sz="6" w:space="0" w:color="auto"/>
              <w:left w:val="single" w:sz="6" w:space="0" w:color="auto"/>
              <w:bottom w:val="single" w:sz="6" w:space="0" w:color="auto"/>
              <w:right w:val="single" w:sz="6" w:space="0" w:color="auto"/>
            </w:tcBorders>
          </w:tcPr>
          <w:p w14:paraId="5E3A99DA" w14:textId="77777777" w:rsidR="00FB4574" w:rsidRPr="006740A2" w:rsidRDefault="00FB4574" w:rsidP="00FB4574">
            <w:pPr>
              <w:pStyle w:val="tab"/>
              <w:spacing w:before="60" w:after="60"/>
              <w:jc w:val="left"/>
              <w:rPr>
                <w:rFonts w:ascii="Verdana" w:hAnsi="Verdana" w:cs="Arial"/>
                <w:b/>
                <w:sz w:val="20"/>
                <w:lang w:val="en-GB"/>
              </w:rPr>
            </w:pPr>
            <w:r w:rsidRPr="006740A2">
              <w:rPr>
                <w:rFonts w:ascii="Verdana" w:hAnsi="Verdana" w:cs="Arial"/>
                <w:b/>
                <w:sz w:val="20"/>
                <w:lang w:val="en-GB"/>
              </w:rPr>
              <w:t>Methodology</w:t>
            </w:r>
          </w:p>
        </w:tc>
        <w:tc>
          <w:tcPr>
            <w:tcW w:w="180" w:type="dxa"/>
          </w:tcPr>
          <w:p w14:paraId="092D29FF" w14:textId="77777777" w:rsidR="00FB4574" w:rsidRPr="006740A2" w:rsidRDefault="00FB4574">
            <w:pPr>
              <w:pStyle w:val="tab"/>
              <w:spacing w:before="80" w:after="80"/>
              <w:jc w:val="left"/>
              <w:rPr>
                <w:rFonts w:ascii="Verdana" w:hAnsi="Verdana" w:cs="Arial"/>
                <w:sz w:val="20"/>
                <w:lang w:val="en-GB"/>
              </w:rPr>
            </w:pPr>
          </w:p>
        </w:tc>
        <w:tc>
          <w:tcPr>
            <w:tcW w:w="7191" w:type="dxa"/>
          </w:tcPr>
          <w:p w14:paraId="3C67BD18" w14:textId="25F5EBD5" w:rsidR="00332CDD" w:rsidRPr="00332CDD" w:rsidRDefault="00332CDD" w:rsidP="00044639">
            <w:pPr>
              <w:pStyle w:val="tab"/>
              <w:tabs>
                <w:tab w:val="clear" w:pos="240"/>
                <w:tab w:val="left" w:pos="300"/>
              </w:tabs>
              <w:spacing w:before="60"/>
              <w:rPr>
                <w:rFonts w:ascii="Verdana" w:hAnsi="Verdana" w:cs="Arial"/>
                <w:sz w:val="20"/>
                <w:lang w:val="en-GB"/>
              </w:rPr>
            </w:pPr>
            <w:r w:rsidRPr="00332CDD">
              <w:rPr>
                <w:rFonts w:ascii="Verdana" w:hAnsi="Verdana" w:cs="Arial"/>
                <w:sz w:val="20"/>
                <w:lang w:val="en-GB"/>
              </w:rPr>
              <w:t>The blended methodology used in CAMBOC is based on an optimal combination of theory and practice. Theoretical aspects are based on the latest market standards, while examples, case studies and exercises are used to present and reinforce the practical application of the material. Before starting the instructor-led part of CAMBOC, participants will take an E-learning course on international financial markets.</w:t>
            </w:r>
          </w:p>
          <w:p w14:paraId="30C3BDA7" w14:textId="01A89BA5" w:rsidR="00044639" w:rsidRPr="00044639" w:rsidRDefault="001B44AC" w:rsidP="00044639">
            <w:pPr>
              <w:pStyle w:val="tab"/>
              <w:tabs>
                <w:tab w:val="clear" w:pos="240"/>
                <w:tab w:val="left" w:pos="300"/>
              </w:tabs>
              <w:spacing w:before="60"/>
              <w:rPr>
                <w:rFonts w:ascii="Verdana" w:hAnsi="Verdana" w:cs="Arial"/>
                <w:sz w:val="20"/>
                <w:u w:val="single"/>
                <w:lang w:val="en-US"/>
              </w:rPr>
            </w:pPr>
            <w:r>
              <w:rPr>
                <w:rFonts w:ascii="Verdana" w:hAnsi="Verdana" w:cs="Arial"/>
                <w:sz w:val="20"/>
                <w:u w:val="single"/>
                <w:lang w:val="en-US"/>
              </w:rPr>
              <w:t>Part 1:</w:t>
            </w:r>
          </w:p>
          <w:p w14:paraId="604F80F7" w14:textId="0C476189" w:rsidR="0096186C" w:rsidRPr="003B593C" w:rsidRDefault="0096186C" w:rsidP="00044639">
            <w:pPr>
              <w:pStyle w:val="tab"/>
              <w:tabs>
                <w:tab w:val="clear" w:pos="240"/>
                <w:tab w:val="left" w:pos="300"/>
              </w:tabs>
              <w:spacing w:before="60"/>
              <w:rPr>
                <w:rFonts w:ascii="Verdana" w:hAnsi="Verdana" w:cs="Arial"/>
                <w:sz w:val="20"/>
                <w:lang w:val="en-US"/>
              </w:rPr>
            </w:pPr>
            <w:r w:rsidRPr="0096186C">
              <w:rPr>
                <w:rFonts w:ascii="Verdana" w:hAnsi="Verdana" w:cs="Arial"/>
                <w:sz w:val="20"/>
                <w:lang w:val="en-US"/>
              </w:rPr>
              <w:t xml:space="preserve">An </w:t>
            </w:r>
            <w:r w:rsidRPr="0096186C">
              <w:rPr>
                <w:rFonts w:ascii="Verdana" w:hAnsi="Verdana" w:cs="Arial"/>
                <w:b/>
                <w:sz w:val="20"/>
                <w:lang w:val="en-US"/>
              </w:rPr>
              <w:t>E-learning course</w:t>
            </w:r>
            <w:r w:rsidRPr="0096186C">
              <w:rPr>
                <w:rFonts w:ascii="Verdana" w:hAnsi="Verdana" w:cs="Arial"/>
                <w:sz w:val="20"/>
                <w:lang w:val="en-US"/>
              </w:rPr>
              <w:t xml:space="preserve"> “International Financial Market</w:t>
            </w:r>
            <w:r w:rsidR="001B44AC">
              <w:rPr>
                <w:rFonts w:ascii="Verdana" w:hAnsi="Verdana" w:cs="Arial"/>
                <w:sz w:val="20"/>
                <w:lang w:val="en-US"/>
              </w:rPr>
              <w:t>s</w:t>
            </w:r>
            <w:r w:rsidRPr="0096186C">
              <w:rPr>
                <w:rFonts w:ascii="Verdana" w:hAnsi="Verdana" w:cs="Arial"/>
                <w:sz w:val="20"/>
                <w:lang w:val="en-US"/>
              </w:rPr>
              <w:t>”</w:t>
            </w:r>
            <w:r w:rsidR="00D1375B">
              <w:rPr>
                <w:rFonts w:ascii="Verdana" w:hAnsi="Verdana" w:cs="Arial"/>
                <w:sz w:val="20"/>
                <w:lang w:val="en-US"/>
              </w:rPr>
              <w:t xml:space="preserve"> </w:t>
            </w:r>
            <w:r w:rsidRPr="0096186C">
              <w:rPr>
                <w:rFonts w:ascii="Verdana" w:hAnsi="Verdana" w:cs="Arial"/>
                <w:sz w:val="20"/>
                <w:lang w:val="en-US"/>
              </w:rPr>
              <w:t xml:space="preserve">with a </w:t>
            </w:r>
            <w:r w:rsidRPr="0096186C">
              <w:rPr>
                <w:rFonts w:ascii="Verdana" w:hAnsi="Verdana" w:cs="Arial"/>
                <w:sz w:val="20"/>
                <w:u w:val="single"/>
                <w:lang w:val="en-US"/>
              </w:rPr>
              <w:t>final</w:t>
            </w:r>
            <w:r w:rsidR="003B593C">
              <w:rPr>
                <w:rFonts w:ascii="Verdana" w:hAnsi="Verdana" w:cs="Arial"/>
                <w:sz w:val="20"/>
                <w:u w:val="single"/>
                <w:lang w:val="en-US"/>
              </w:rPr>
              <w:t xml:space="preserve"> non-eliminatory</w:t>
            </w:r>
            <w:r w:rsidRPr="0096186C">
              <w:rPr>
                <w:rFonts w:ascii="Verdana" w:hAnsi="Verdana" w:cs="Arial"/>
                <w:sz w:val="20"/>
                <w:u w:val="single"/>
                <w:lang w:val="en-US"/>
              </w:rPr>
              <w:t xml:space="preserve"> </w:t>
            </w:r>
            <w:r w:rsidR="003B593C">
              <w:rPr>
                <w:rFonts w:ascii="Verdana" w:hAnsi="Verdana" w:cs="Arial"/>
                <w:sz w:val="20"/>
                <w:u w:val="single"/>
                <w:lang w:val="en-US"/>
              </w:rPr>
              <w:t>test</w:t>
            </w:r>
            <w:r w:rsidR="003B593C">
              <w:rPr>
                <w:rFonts w:ascii="Verdana" w:hAnsi="Verdana" w:cs="Arial"/>
                <w:sz w:val="20"/>
                <w:lang w:val="en-US"/>
              </w:rPr>
              <w:t>.</w:t>
            </w:r>
          </w:p>
          <w:p w14:paraId="651360A4" w14:textId="33E11286" w:rsidR="00251EC7" w:rsidRPr="00C03ADA" w:rsidRDefault="00251EC7" w:rsidP="00044639">
            <w:pPr>
              <w:pStyle w:val="tab"/>
              <w:tabs>
                <w:tab w:val="clear" w:pos="240"/>
                <w:tab w:val="left" w:pos="300"/>
              </w:tabs>
              <w:spacing w:before="60"/>
              <w:rPr>
                <w:rFonts w:ascii="Verdana" w:hAnsi="Verdana" w:cs="Arial"/>
                <w:sz w:val="20"/>
                <w:lang w:val="en-US"/>
              </w:rPr>
            </w:pPr>
            <w:r w:rsidRPr="00C03ADA">
              <w:rPr>
                <w:rFonts w:ascii="Verdana" w:hAnsi="Verdana" w:cs="Arial"/>
                <w:sz w:val="20"/>
                <w:lang w:val="en-US"/>
              </w:rPr>
              <w:t xml:space="preserve">Participants are required to take this course and pass the test </w:t>
            </w:r>
            <w:r w:rsidR="00C03ADA" w:rsidRPr="00C03ADA">
              <w:rPr>
                <w:rFonts w:ascii="Verdana" w:hAnsi="Verdana" w:cs="Arial"/>
                <w:sz w:val="20"/>
                <w:lang w:val="en-US"/>
              </w:rPr>
              <w:t xml:space="preserve">with a minimum </w:t>
            </w:r>
            <w:r w:rsidR="003B593C">
              <w:rPr>
                <w:rFonts w:ascii="Verdana" w:hAnsi="Verdana" w:cs="Arial"/>
                <w:sz w:val="20"/>
                <w:lang w:val="en-US"/>
              </w:rPr>
              <w:t xml:space="preserve">recommended </w:t>
            </w:r>
            <w:r w:rsidR="00C03ADA" w:rsidRPr="00C03ADA">
              <w:rPr>
                <w:rFonts w:ascii="Verdana" w:hAnsi="Verdana" w:cs="Arial"/>
                <w:sz w:val="20"/>
                <w:lang w:val="en-US"/>
              </w:rPr>
              <w:t xml:space="preserve">score of 60% </w:t>
            </w:r>
            <w:r w:rsidR="003072AD">
              <w:rPr>
                <w:rFonts w:ascii="Verdana" w:hAnsi="Verdana" w:cs="Arial"/>
                <w:sz w:val="20"/>
                <w:lang w:val="en-US"/>
              </w:rPr>
              <w:t xml:space="preserve">a few weeks </w:t>
            </w:r>
            <w:r w:rsidRPr="00C03ADA">
              <w:rPr>
                <w:rFonts w:ascii="Verdana" w:hAnsi="Verdana" w:cs="Arial"/>
                <w:sz w:val="20"/>
                <w:lang w:val="en-US"/>
              </w:rPr>
              <w:t>before the beginning of the second part.</w:t>
            </w:r>
            <w:r w:rsidR="003B593C">
              <w:rPr>
                <w:rFonts w:ascii="Verdana" w:hAnsi="Verdana" w:cs="Arial"/>
                <w:sz w:val="20"/>
                <w:lang w:val="en-US"/>
              </w:rPr>
              <w:t xml:space="preserve"> </w:t>
            </w:r>
          </w:p>
          <w:p w14:paraId="591CED93" w14:textId="77777777" w:rsidR="00332CDD" w:rsidRDefault="00332CDD" w:rsidP="00044639">
            <w:pPr>
              <w:pStyle w:val="tab"/>
              <w:tabs>
                <w:tab w:val="clear" w:pos="240"/>
                <w:tab w:val="left" w:pos="300"/>
              </w:tabs>
              <w:spacing w:before="60"/>
              <w:rPr>
                <w:rFonts w:ascii="Verdana" w:hAnsi="Verdana" w:cs="Arial"/>
                <w:sz w:val="20"/>
                <w:u w:val="single"/>
                <w:lang w:val="en-US"/>
              </w:rPr>
            </w:pPr>
          </w:p>
          <w:p w14:paraId="336F5669" w14:textId="35A369C1" w:rsidR="00044639" w:rsidRPr="00044639" w:rsidRDefault="0096186C" w:rsidP="00044639">
            <w:pPr>
              <w:pStyle w:val="tab"/>
              <w:tabs>
                <w:tab w:val="clear" w:pos="240"/>
                <w:tab w:val="left" w:pos="300"/>
              </w:tabs>
              <w:spacing w:before="60"/>
              <w:rPr>
                <w:rFonts w:ascii="Verdana" w:hAnsi="Verdana" w:cs="Arial"/>
                <w:sz w:val="20"/>
                <w:u w:val="single"/>
                <w:lang w:val="en-US"/>
              </w:rPr>
            </w:pPr>
            <w:r w:rsidRPr="00044639">
              <w:rPr>
                <w:rFonts w:ascii="Verdana" w:hAnsi="Verdana" w:cs="Arial"/>
                <w:sz w:val="20"/>
                <w:u w:val="single"/>
                <w:lang w:val="en-US"/>
              </w:rPr>
              <w:t xml:space="preserve">Part 2: </w:t>
            </w:r>
          </w:p>
          <w:p w14:paraId="2ACBEF06" w14:textId="45D2FFC9" w:rsidR="009C3A77" w:rsidRPr="009C3A77" w:rsidRDefault="0096186C" w:rsidP="00332CDD">
            <w:pPr>
              <w:pStyle w:val="tab"/>
              <w:tabs>
                <w:tab w:val="clear" w:pos="240"/>
                <w:tab w:val="left" w:pos="300"/>
              </w:tabs>
              <w:spacing w:before="60"/>
              <w:rPr>
                <w:rFonts w:ascii="Verdana" w:hAnsi="Verdana" w:cs="Arial"/>
                <w:lang w:val="en-GB"/>
              </w:rPr>
            </w:pPr>
            <w:r w:rsidRPr="0096186C">
              <w:rPr>
                <w:rFonts w:ascii="Verdana" w:hAnsi="Verdana" w:cs="Arial"/>
                <w:sz w:val="20"/>
                <w:lang w:val="en-US"/>
              </w:rPr>
              <w:t xml:space="preserve">An </w:t>
            </w:r>
            <w:r w:rsidRPr="0096186C">
              <w:rPr>
                <w:rFonts w:ascii="Verdana" w:hAnsi="Verdana" w:cs="Arial"/>
                <w:b/>
                <w:sz w:val="20"/>
                <w:lang w:val="en-US"/>
              </w:rPr>
              <w:t>instructor-led training</w:t>
            </w:r>
            <w:r w:rsidRPr="0096186C">
              <w:rPr>
                <w:rFonts w:ascii="Verdana" w:hAnsi="Verdana" w:cs="Arial"/>
                <w:sz w:val="20"/>
                <w:lang w:val="en-US"/>
              </w:rPr>
              <w:t xml:space="preserve"> (ILT) </w:t>
            </w:r>
            <w:r w:rsidR="00332CDD">
              <w:rPr>
                <w:rFonts w:ascii="Verdana" w:hAnsi="Verdana" w:cs="Arial"/>
                <w:sz w:val="20"/>
                <w:lang w:val="en-US"/>
              </w:rPr>
              <w:t>given online</w:t>
            </w:r>
            <w:r w:rsidRPr="0096186C">
              <w:rPr>
                <w:rFonts w:ascii="Verdana" w:hAnsi="Verdana" w:cs="Arial"/>
                <w:sz w:val="20"/>
                <w:lang w:val="en-US"/>
              </w:rPr>
              <w:t xml:space="preserve">.  </w:t>
            </w:r>
          </w:p>
        </w:tc>
      </w:tr>
    </w:tbl>
    <w:p w14:paraId="066568CB" w14:textId="5A412CE0" w:rsidR="009C3A77" w:rsidRDefault="00FB4574" w:rsidP="00FB4574">
      <w:pPr>
        <w:tabs>
          <w:tab w:val="left" w:pos="2065"/>
          <w:tab w:val="left" w:pos="2245"/>
          <w:tab w:val="left" w:pos="9152"/>
        </w:tabs>
        <w:rPr>
          <w:rFonts w:ascii="Verdana" w:hAnsi="Verdana" w:cs="Arial"/>
          <w:lang w:val="en-GB"/>
        </w:rPr>
      </w:pPr>
      <w:r w:rsidRPr="006740A2">
        <w:rPr>
          <w:rFonts w:ascii="Verdana" w:hAnsi="Verdana" w:cs="Arial"/>
          <w:b/>
          <w:lang w:val="en-GB"/>
        </w:rPr>
        <w:tab/>
      </w:r>
      <w:r w:rsidRPr="006740A2">
        <w:rPr>
          <w:rFonts w:ascii="Verdana" w:hAnsi="Verdana" w:cs="Arial"/>
          <w:lang w:val="en-GB"/>
        </w:rPr>
        <w:tab/>
      </w:r>
    </w:p>
    <w:tbl>
      <w:tblPr>
        <w:tblW w:w="9152" w:type="dxa"/>
        <w:tblLayout w:type="fixed"/>
        <w:tblCellMar>
          <w:left w:w="80" w:type="dxa"/>
          <w:right w:w="80" w:type="dxa"/>
        </w:tblCellMar>
        <w:tblLook w:val="0000" w:firstRow="0" w:lastRow="0" w:firstColumn="0" w:lastColumn="0" w:noHBand="0" w:noVBand="0"/>
      </w:tblPr>
      <w:tblGrid>
        <w:gridCol w:w="1781"/>
        <w:gridCol w:w="180"/>
        <w:gridCol w:w="7191"/>
      </w:tblGrid>
      <w:tr w:rsidR="009C3A77" w:rsidRPr="00C8073D" w14:paraId="29974B59" w14:textId="77777777" w:rsidTr="004A4ADD">
        <w:trPr>
          <w:trHeight w:val="724"/>
        </w:trPr>
        <w:tc>
          <w:tcPr>
            <w:tcW w:w="1781" w:type="dxa"/>
            <w:tcBorders>
              <w:top w:val="single" w:sz="6" w:space="0" w:color="auto"/>
              <w:left w:val="single" w:sz="6" w:space="0" w:color="auto"/>
              <w:bottom w:val="single" w:sz="6" w:space="0" w:color="auto"/>
              <w:right w:val="single" w:sz="6" w:space="0" w:color="auto"/>
            </w:tcBorders>
          </w:tcPr>
          <w:p w14:paraId="4C5C0869" w14:textId="77777777" w:rsidR="009C3A77" w:rsidRPr="00587D54" w:rsidRDefault="009C3A77" w:rsidP="004A4ADD">
            <w:pPr>
              <w:pStyle w:val="tab"/>
              <w:spacing w:before="60"/>
              <w:jc w:val="left"/>
              <w:rPr>
                <w:rFonts w:ascii="Verdana" w:hAnsi="Verdana"/>
                <w:b/>
                <w:sz w:val="20"/>
                <w:lang w:val="en-GB"/>
              </w:rPr>
            </w:pPr>
            <w:r>
              <w:rPr>
                <w:rFonts w:ascii="Verdana" w:hAnsi="Verdana"/>
                <w:b/>
                <w:sz w:val="20"/>
                <w:lang w:val="en-GB"/>
              </w:rPr>
              <w:t>Platform</w:t>
            </w:r>
          </w:p>
        </w:tc>
        <w:tc>
          <w:tcPr>
            <w:tcW w:w="180" w:type="dxa"/>
          </w:tcPr>
          <w:p w14:paraId="01BB791E" w14:textId="77777777" w:rsidR="009C3A77" w:rsidRPr="00587D54" w:rsidRDefault="009C3A77" w:rsidP="004A4ADD">
            <w:pPr>
              <w:pStyle w:val="tab"/>
              <w:spacing w:before="80" w:after="80"/>
              <w:jc w:val="left"/>
              <w:rPr>
                <w:rFonts w:ascii="Verdana" w:hAnsi="Verdana"/>
                <w:color w:val="FF0000"/>
                <w:sz w:val="20"/>
                <w:lang w:val="en-GB"/>
              </w:rPr>
            </w:pPr>
          </w:p>
        </w:tc>
        <w:tc>
          <w:tcPr>
            <w:tcW w:w="7191" w:type="dxa"/>
          </w:tcPr>
          <w:p w14:paraId="102226A1" w14:textId="77777777" w:rsidR="009C3A77" w:rsidRDefault="009C3A77" w:rsidP="004A4ADD">
            <w:pPr>
              <w:spacing w:before="60" w:after="60"/>
              <w:jc w:val="both"/>
              <w:rPr>
                <w:rFonts w:ascii="Verdana" w:hAnsi="Verdana"/>
                <w:lang w:val="en-GB"/>
              </w:rPr>
            </w:pPr>
            <w:proofErr w:type="spellStart"/>
            <w:r>
              <w:rPr>
                <w:rFonts w:ascii="Verdana" w:hAnsi="Verdana"/>
                <w:lang w:val="en-GB"/>
              </w:rPr>
              <w:t>Webex</w:t>
            </w:r>
            <w:proofErr w:type="spellEnd"/>
          </w:p>
          <w:p w14:paraId="0930A0D9" w14:textId="343A0C10" w:rsidR="009C3A77" w:rsidRPr="00FC3D5B" w:rsidRDefault="009C3A77" w:rsidP="004A4ADD">
            <w:pPr>
              <w:spacing w:before="60" w:after="60"/>
              <w:jc w:val="both"/>
              <w:rPr>
                <w:rFonts w:ascii="Verdana" w:hAnsi="Verdana"/>
                <w:lang w:val="en-US"/>
              </w:rPr>
            </w:pPr>
            <w:r>
              <w:rPr>
                <w:rFonts w:ascii="Verdana" w:hAnsi="Verdana"/>
                <w:lang w:val="en-GB"/>
              </w:rPr>
              <w:t xml:space="preserve">Attendees </w:t>
            </w:r>
            <w:r w:rsidRPr="7CF6FA66">
              <w:rPr>
                <w:rFonts w:ascii="Verdana" w:hAnsi="Verdana" w:cs="Arial"/>
                <w:lang w:val="en-US"/>
              </w:rPr>
              <w:t xml:space="preserve">must have working microphones and a webcam is </w:t>
            </w:r>
            <w:r>
              <w:rPr>
                <w:rFonts w:ascii="Verdana" w:hAnsi="Verdana" w:cs="Arial"/>
                <w:lang w:val="en-US"/>
              </w:rPr>
              <w:t xml:space="preserve">mandatory </w:t>
            </w:r>
            <w:r w:rsidRPr="7CF6FA66">
              <w:rPr>
                <w:rFonts w:ascii="Verdana" w:hAnsi="Verdana" w:cs="Arial"/>
                <w:lang w:val="en-US"/>
              </w:rPr>
              <w:t>to get the most from the workshop</w:t>
            </w:r>
            <w:r>
              <w:rPr>
                <w:rFonts w:ascii="Verdana" w:hAnsi="Verdana" w:cs="Arial"/>
                <w:lang w:val="en-US"/>
              </w:rPr>
              <w:t xml:space="preserve"> and to participate in the online exam.</w:t>
            </w:r>
          </w:p>
        </w:tc>
      </w:tr>
    </w:tbl>
    <w:p w14:paraId="2C3256BF" w14:textId="77777777" w:rsidR="009C3A77" w:rsidRPr="00FC3D5B" w:rsidRDefault="009C3A77" w:rsidP="009C3A77">
      <w:pPr>
        <w:tabs>
          <w:tab w:val="left" w:pos="2065"/>
          <w:tab w:val="left" w:pos="2245"/>
          <w:tab w:val="left" w:pos="9152"/>
        </w:tabs>
        <w:rPr>
          <w:color w:val="FF0000"/>
          <w:sz w:val="12"/>
          <w:szCs w:val="12"/>
          <w:highlight w:val="red"/>
          <w:lang w:val="en-US"/>
        </w:rPr>
      </w:pPr>
    </w:p>
    <w:tbl>
      <w:tblPr>
        <w:tblW w:w="9152" w:type="dxa"/>
        <w:tblLayout w:type="fixed"/>
        <w:tblCellMar>
          <w:left w:w="80" w:type="dxa"/>
          <w:right w:w="80" w:type="dxa"/>
        </w:tblCellMar>
        <w:tblLook w:val="0000" w:firstRow="0" w:lastRow="0" w:firstColumn="0" w:lastColumn="0" w:noHBand="0" w:noVBand="0"/>
      </w:tblPr>
      <w:tblGrid>
        <w:gridCol w:w="1781"/>
        <w:gridCol w:w="180"/>
        <w:gridCol w:w="7191"/>
      </w:tblGrid>
      <w:tr w:rsidR="009C3A77" w:rsidRPr="00C8073D" w14:paraId="0C82F131" w14:textId="77777777" w:rsidTr="004A4ADD">
        <w:trPr>
          <w:trHeight w:val="1303"/>
        </w:trPr>
        <w:tc>
          <w:tcPr>
            <w:tcW w:w="1781" w:type="dxa"/>
            <w:tcBorders>
              <w:top w:val="single" w:sz="6" w:space="0" w:color="auto"/>
              <w:left w:val="single" w:sz="6" w:space="0" w:color="auto"/>
              <w:bottom w:val="single" w:sz="6" w:space="0" w:color="auto"/>
              <w:right w:val="single" w:sz="6" w:space="0" w:color="auto"/>
            </w:tcBorders>
          </w:tcPr>
          <w:p w14:paraId="2236A6D2" w14:textId="77777777" w:rsidR="009C3A77" w:rsidRPr="00587D54" w:rsidRDefault="009C3A77" w:rsidP="004A4ADD">
            <w:pPr>
              <w:pStyle w:val="tab"/>
              <w:spacing w:before="60"/>
              <w:jc w:val="left"/>
              <w:rPr>
                <w:rFonts w:ascii="Verdana" w:hAnsi="Verdana"/>
                <w:b/>
                <w:sz w:val="20"/>
                <w:lang w:val="en-GB"/>
              </w:rPr>
            </w:pPr>
            <w:proofErr w:type="spellStart"/>
            <w:r w:rsidRPr="005458DE">
              <w:rPr>
                <w:rFonts w:ascii="Verdana" w:hAnsi="Verdana"/>
                <w:b/>
                <w:sz w:val="20"/>
              </w:rPr>
              <w:t>Technical</w:t>
            </w:r>
            <w:proofErr w:type="spellEnd"/>
            <w:r w:rsidRPr="005458DE">
              <w:rPr>
                <w:rFonts w:ascii="Verdana" w:hAnsi="Verdana"/>
                <w:b/>
                <w:sz w:val="20"/>
              </w:rPr>
              <w:t xml:space="preserve"> </w:t>
            </w:r>
            <w:proofErr w:type="spellStart"/>
            <w:r w:rsidRPr="005458DE">
              <w:rPr>
                <w:rFonts w:ascii="Verdana" w:hAnsi="Verdana"/>
                <w:b/>
                <w:sz w:val="20"/>
              </w:rPr>
              <w:t>requirements</w:t>
            </w:r>
            <w:proofErr w:type="spellEnd"/>
          </w:p>
        </w:tc>
        <w:tc>
          <w:tcPr>
            <w:tcW w:w="180" w:type="dxa"/>
          </w:tcPr>
          <w:p w14:paraId="25AA7A11" w14:textId="77777777" w:rsidR="009C3A77" w:rsidRPr="00587D54" w:rsidRDefault="009C3A77" w:rsidP="004A4ADD">
            <w:pPr>
              <w:pStyle w:val="tab"/>
              <w:spacing w:before="80" w:after="80"/>
              <w:jc w:val="left"/>
              <w:rPr>
                <w:rFonts w:ascii="Verdana" w:hAnsi="Verdana"/>
                <w:color w:val="FF0000"/>
                <w:sz w:val="20"/>
                <w:lang w:val="en-GB"/>
              </w:rPr>
            </w:pPr>
          </w:p>
        </w:tc>
        <w:tc>
          <w:tcPr>
            <w:tcW w:w="7191" w:type="dxa"/>
          </w:tcPr>
          <w:p w14:paraId="1819A55C" w14:textId="77777777" w:rsidR="009C3A77" w:rsidRPr="00FC3D5B" w:rsidRDefault="009C3A77" w:rsidP="004A4ADD">
            <w:pPr>
              <w:rPr>
                <w:rFonts w:ascii="Verdana" w:hAnsi="Verdana"/>
                <w:lang w:val="en-US"/>
              </w:rPr>
            </w:pPr>
            <w:proofErr w:type="gramStart"/>
            <w:r w:rsidRPr="00FC3D5B">
              <w:rPr>
                <w:rFonts w:ascii="Verdana" w:hAnsi="Verdana"/>
                <w:lang w:val="en-US"/>
              </w:rPr>
              <w:t>In order to</w:t>
            </w:r>
            <w:proofErr w:type="gramEnd"/>
            <w:r w:rsidRPr="00FC3D5B">
              <w:rPr>
                <w:rFonts w:ascii="Verdana" w:hAnsi="Verdana"/>
                <w:lang w:val="en-US"/>
              </w:rPr>
              <w:t xml:space="preserve"> join the course participants are requested to have: </w:t>
            </w:r>
          </w:p>
          <w:p w14:paraId="2AE98354" w14:textId="77777777" w:rsidR="009C3A77" w:rsidRPr="00FC3D5B" w:rsidRDefault="009C3A77" w:rsidP="009C3A77">
            <w:pPr>
              <w:pStyle w:val="ListParagraph"/>
              <w:numPr>
                <w:ilvl w:val="0"/>
                <w:numId w:val="49"/>
              </w:numPr>
              <w:rPr>
                <w:rFonts w:ascii="Verdana" w:hAnsi="Verdana"/>
                <w:lang w:val="en-US"/>
              </w:rPr>
            </w:pPr>
            <w:r w:rsidRPr="00FC3D5B">
              <w:rPr>
                <w:rFonts w:ascii="Verdana" w:hAnsi="Verdana"/>
                <w:lang w:val="en-US"/>
              </w:rPr>
              <w:t>a stable internet connection</w:t>
            </w:r>
          </w:p>
          <w:p w14:paraId="5B5FFD3D" w14:textId="54FA9190" w:rsidR="009C3A77" w:rsidRPr="00FC3D5B" w:rsidRDefault="009C3A77" w:rsidP="009C3A77">
            <w:pPr>
              <w:pStyle w:val="ListParagraph"/>
              <w:numPr>
                <w:ilvl w:val="0"/>
                <w:numId w:val="49"/>
              </w:numPr>
              <w:rPr>
                <w:rFonts w:ascii="Verdana" w:hAnsi="Verdana"/>
                <w:lang w:val="en-US"/>
              </w:rPr>
            </w:pPr>
            <w:r w:rsidRPr="00FC3D5B">
              <w:rPr>
                <w:rFonts w:ascii="Verdana" w:hAnsi="Verdana"/>
                <w:lang w:val="en-US"/>
              </w:rPr>
              <w:t xml:space="preserve">a device (preferably a PC) with well-functioning microphone </w:t>
            </w:r>
            <w:r w:rsidRPr="007D5171">
              <w:rPr>
                <w:rFonts w:ascii="Verdana" w:hAnsi="Verdana"/>
                <w:b/>
                <w:bCs/>
                <w:color w:val="FF0000"/>
                <w:lang w:val="en-US"/>
              </w:rPr>
              <w:t xml:space="preserve">and webcam, which is mandatory to be able to interact with the trainer and their peers </w:t>
            </w:r>
            <w:r w:rsidRPr="007D5171">
              <w:rPr>
                <w:rFonts w:ascii="Verdana" w:hAnsi="Verdana"/>
                <w:b/>
                <w:bCs/>
                <w:color w:val="FF0000"/>
                <w:u w:val="single"/>
                <w:lang w:val="en-US"/>
              </w:rPr>
              <w:t>and to take the exam</w:t>
            </w:r>
            <w:r w:rsidRPr="007D5171">
              <w:rPr>
                <w:rFonts w:ascii="Verdana" w:hAnsi="Verdana"/>
                <w:b/>
                <w:bCs/>
                <w:color w:val="FF0000"/>
                <w:lang w:val="en-US"/>
              </w:rPr>
              <w:t>.</w:t>
            </w:r>
          </w:p>
        </w:tc>
      </w:tr>
    </w:tbl>
    <w:p w14:paraId="5B8304CD" w14:textId="77777777" w:rsidR="009C3A77" w:rsidRPr="006740A2" w:rsidRDefault="009C3A77" w:rsidP="00FB4574">
      <w:pPr>
        <w:tabs>
          <w:tab w:val="left" w:pos="2065"/>
          <w:tab w:val="left" w:pos="2245"/>
          <w:tab w:val="left" w:pos="9152"/>
        </w:tabs>
        <w:rPr>
          <w:rFonts w:ascii="Verdana" w:hAnsi="Verdana" w:cs="Arial"/>
          <w:highlight w:val="red"/>
          <w:lang w:val="en-GB"/>
        </w:rPr>
      </w:pPr>
    </w:p>
    <w:tbl>
      <w:tblPr>
        <w:tblW w:w="9152" w:type="dxa"/>
        <w:tblLayout w:type="fixed"/>
        <w:tblCellMar>
          <w:left w:w="80" w:type="dxa"/>
          <w:right w:w="80" w:type="dxa"/>
        </w:tblCellMar>
        <w:tblLook w:val="0000" w:firstRow="0" w:lastRow="0" w:firstColumn="0" w:lastColumn="0" w:noHBand="0" w:noVBand="0"/>
      </w:tblPr>
      <w:tblGrid>
        <w:gridCol w:w="1781"/>
        <w:gridCol w:w="180"/>
        <w:gridCol w:w="7191"/>
      </w:tblGrid>
      <w:tr w:rsidR="00FB4574" w:rsidRPr="00C8073D" w14:paraId="00F41426" w14:textId="77777777">
        <w:tc>
          <w:tcPr>
            <w:tcW w:w="1781" w:type="dxa"/>
            <w:tcBorders>
              <w:top w:val="single" w:sz="6" w:space="0" w:color="auto"/>
              <w:left w:val="single" w:sz="6" w:space="0" w:color="auto"/>
              <w:bottom w:val="single" w:sz="6" w:space="0" w:color="auto"/>
              <w:right w:val="single" w:sz="6" w:space="0" w:color="auto"/>
            </w:tcBorders>
          </w:tcPr>
          <w:p w14:paraId="4EE99A61" w14:textId="75C8C346" w:rsidR="00FB4574" w:rsidRPr="006740A2" w:rsidRDefault="006279CA" w:rsidP="00FB4574">
            <w:pPr>
              <w:pStyle w:val="tab"/>
              <w:spacing w:before="60" w:after="60"/>
              <w:jc w:val="left"/>
              <w:rPr>
                <w:rFonts w:ascii="Verdana" w:hAnsi="Verdana" w:cs="Arial"/>
                <w:b/>
                <w:sz w:val="20"/>
                <w:lang w:val="en-GB"/>
              </w:rPr>
            </w:pPr>
            <w:r>
              <w:rPr>
                <w:rFonts w:ascii="Verdana" w:hAnsi="Verdana" w:cs="Arial"/>
                <w:b/>
                <w:sz w:val="20"/>
                <w:lang w:val="en-GB"/>
              </w:rPr>
              <w:t xml:space="preserve">Target </w:t>
            </w:r>
            <w:r w:rsidR="00D75F08">
              <w:rPr>
                <w:rFonts w:ascii="Verdana" w:hAnsi="Verdana" w:cs="Arial"/>
                <w:b/>
                <w:sz w:val="20"/>
                <w:lang w:val="en-GB"/>
              </w:rPr>
              <w:t>Audience</w:t>
            </w:r>
          </w:p>
          <w:p w14:paraId="72D45AC5" w14:textId="77777777" w:rsidR="00FB4574" w:rsidRPr="006740A2" w:rsidRDefault="00FB4574" w:rsidP="00FB4574">
            <w:pPr>
              <w:pStyle w:val="tab"/>
              <w:jc w:val="left"/>
              <w:rPr>
                <w:rFonts w:ascii="Verdana" w:hAnsi="Verdana" w:cs="Arial"/>
                <w:b/>
                <w:sz w:val="20"/>
                <w:highlight w:val="red"/>
                <w:lang w:val="en-GB"/>
              </w:rPr>
            </w:pPr>
          </w:p>
        </w:tc>
        <w:tc>
          <w:tcPr>
            <w:tcW w:w="180" w:type="dxa"/>
          </w:tcPr>
          <w:p w14:paraId="57AB281C" w14:textId="77777777" w:rsidR="00FB4574" w:rsidRPr="006740A2" w:rsidRDefault="00FB4574">
            <w:pPr>
              <w:pStyle w:val="tab"/>
              <w:rPr>
                <w:rFonts w:ascii="Verdana" w:hAnsi="Verdana" w:cs="Arial"/>
                <w:sz w:val="20"/>
                <w:highlight w:val="red"/>
                <w:lang w:val="en-GB"/>
              </w:rPr>
            </w:pPr>
          </w:p>
        </w:tc>
        <w:tc>
          <w:tcPr>
            <w:tcW w:w="7191" w:type="dxa"/>
          </w:tcPr>
          <w:p w14:paraId="5C2E8D6A" w14:textId="051DBDC0" w:rsidR="00FB4574" w:rsidRPr="00044639" w:rsidRDefault="00FB4574" w:rsidP="00C03ADA">
            <w:pPr>
              <w:spacing w:before="60" w:after="60"/>
              <w:jc w:val="both"/>
              <w:rPr>
                <w:rFonts w:ascii="Verdana" w:hAnsi="Verdana" w:cs="Arial"/>
                <w:lang w:val="en-GB"/>
              </w:rPr>
            </w:pPr>
            <w:r w:rsidRPr="006740A2">
              <w:rPr>
                <w:rFonts w:ascii="Verdana" w:hAnsi="Verdana" w:cs="Arial"/>
                <w:lang w:val="en-GB"/>
              </w:rPr>
              <w:t>Th</w:t>
            </w:r>
            <w:r w:rsidR="001318EA" w:rsidRPr="006740A2">
              <w:rPr>
                <w:rFonts w:ascii="Verdana" w:hAnsi="Verdana" w:cs="Arial"/>
                <w:lang w:val="en-GB"/>
              </w:rPr>
              <w:t xml:space="preserve">e level of this course is </w:t>
            </w:r>
            <w:r w:rsidRPr="006740A2">
              <w:rPr>
                <w:rFonts w:ascii="Verdana" w:hAnsi="Verdana" w:cs="Arial"/>
                <w:lang w:val="en-GB"/>
              </w:rPr>
              <w:t xml:space="preserve">intermediate to </w:t>
            </w:r>
            <w:r w:rsidR="00152951" w:rsidRPr="006740A2">
              <w:rPr>
                <w:rFonts w:ascii="Verdana" w:hAnsi="Verdana" w:cs="Arial"/>
                <w:lang w:val="en-GB"/>
              </w:rPr>
              <w:t>high</w:t>
            </w:r>
            <w:r w:rsidR="001318EA" w:rsidRPr="006740A2">
              <w:rPr>
                <w:rFonts w:ascii="Verdana" w:hAnsi="Verdana" w:cs="Arial"/>
                <w:lang w:val="en-GB"/>
              </w:rPr>
              <w:t>. It focuses on improving</w:t>
            </w:r>
            <w:r w:rsidRPr="006740A2">
              <w:rPr>
                <w:rFonts w:ascii="Verdana" w:hAnsi="Verdana" w:cs="Arial"/>
                <w:lang w:val="en-GB"/>
              </w:rPr>
              <w:t xml:space="preserve"> the efficiency of </w:t>
            </w:r>
            <w:r w:rsidR="006279CA">
              <w:rPr>
                <w:rFonts w:ascii="Verdana" w:hAnsi="Verdana" w:cs="Arial"/>
                <w:lang w:val="en-GB"/>
              </w:rPr>
              <w:t xml:space="preserve">middle and </w:t>
            </w:r>
            <w:r w:rsidR="00200D5D" w:rsidRPr="006740A2">
              <w:rPr>
                <w:rFonts w:ascii="Verdana" w:hAnsi="Verdana" w:cs="Arial"/>
                <w:b/>
                <w:lang w:val="en-GB"/>
              </w:rPr>
              <w:t>back-</w:t>
            </w:r>
            <w:r w:rsidRPr="006740A2">
              <w:rPr>
                <w:rFonts w:ascii="Verdana" w:hAnsi="Verdana" w:cs="Arial"/>
                <w:b/>
                <w:lang w:val="en-GB"/>
              </w:rPr>
              <w:t>office staff</w:t>
            </w:r>
            <w:r w:rsidR="001318EA" w:rsidRPr="006740A2">
              <w:rPr>
                <w:rFonts w:ascii="Verdana" w:hAnsi="Verdana" w:cs="Arial"/>
                <w:lang w:val="en-GB"/>
              </w:rPr>
              <w:t xml:space="preserve"> in </w:t>
            </w:r>
            <w:r w:rsidRPr="006740A2">
              <w:rPr>
                <w:rFonts w:ascii="Verdana" w:hAnsi="Verdana" w:cs="Arial"/>
                <w:lang w:val="en-GB"/>
              </w:rPr>
              <w:t xml:space="preserve">banks and other financial institutions by </w:t>
            </w:r>
            <w:r w:rsidR="00F24133" w:rsidRPr="006740A2">
              <w:rPr>
                <w:rFonts w:ascii="Verdana" w:hAnsi="Verdana" w:cs="Arial"/>
                <w:lang w:val="en-GB"/>
              </w:rPr>
              <w:t xml:space="preserve">covering different aspects </w:t>
            </w:r>
            <w:r w:rsidRPr="006740A2">
              <w:rPr>
                <w:rFonts w:ascii="Verdana" w:hAnsi="Verdana" w:cs="Arial"/>
                <w:lang w:val="en-GB"/>
              </w:rPr>
              <w:t xml:space="preserve">of securities and </w:t>
            </w:r>
            <w:r w:rsidRPr="006740A2">
              <w:rPr>
                <w:rFonts w:ascii="Verdana" w:hAnsi="Verdana" w:cs="Arial"/>
                <w:lang w:val="en-GB"/>
              </w:rPr>
              <w:lastRenderedPageBreak/>
              <w:t>cash operations</w:t>
            </w:r>
            <w:r w:rsidR="00F24133" w:rsidRPr="006740A2">
              <w:rPr>
                <w:rFonts w:ascii="Verdana" w:hAnsi="Verdana" w:cs="Arial"/>
                <w:lang w:val="en-GB"/>
              </w:rPr>
              <w:t xml:space="preserve"> in detail</w:t>
            </w:r>
            <w:r w:rsidRPr="006740A2">
              <w:rPr>
                <w:rFonts w:ascii="Verdana" w:hAnsi="Verdana" w:cs="Arial"/>
                <w:lang w:val="en-GB"/>
              </w:rPr>
              <w:t>.</w:t>
            </w:r>
            <w:r w:rsidR="009C59AF" w:rsidRPr="006740A2">
              <w:rPr>
                <w:rFonts w:ascii="Verdana" w:hAnsi="Verdana" w:cs="Arial"/>
                <w:lang w:val="en-GB"/>
              </w:rPr>
              <w:t xml:space="preserve"> </w:t>
            </w:r>
            <w:r w:rsidR="00C03ADA">
              <w:rPr>
                <w:rFonts w:ascii="Verdana" w:hAnsi="Verdana" w:cs="Arial"/>
                <w:lang w:val="en-GB"/>
              </w:rPr>
              <w:t>Participants</w:t>
            </w:r>
            <w:r w:rsidR="004561D5" w:rsidRPr="006740A2">
              <w:rPr>
                <w:rFonts w:ascii="Verdana" w:hAnsi="Verdana" w:cs="Arial"/>
                <w:lang w:val="en-GB"/>
              </w:rPr>
              <w:t xml:space="preserve"> </w:t>
            </w:r>
            <w:r w:rsidR="00F24133" w:rsidRPr="006740A2">
              <w:rPr>
                <w:rFonts w:ascii="Verdana" w:hAnsi="Verdana" w:cs="Arial"/>
                <w:lang w:val="en-GB"/>
              </w:rPr>
              <w:t xml:space="preserve">should have </w:t>
            </w:r>
            <w:r w:rsidR="00200D5D" w:rsidRPr="006740A2">
              <w:rPr>
                <w:rFonts w:ascii="Verdana" w:hAnsi="Verdana" w:cs="Arial"/>
                <w:lang w:val="en-GB"/>
              </w:rPr>
              <w:t xml:space="preserve">a </w:t>
            </w:r>
            <w:r w:rsidR="00422760" w:rsidRPr="006740A2">
              <w:rPr>
                <w:rFonts w:ascii="Verdana" w:hAnsi="Verdana" w:cs="Arial"/>
                <w:b/>
                <w:lang w:val="en-GB"/>
              </w:rPr>
              <w:t xml:space="preserve">minimum </w:t>
            </w:r>
            <w:r w:rsidR="00200D5D" w:rsidRPr="006740A2">
              <w:rPr>
                <w:rFonts w:ascii="Verdana" w:hAnsi="Verdana" w:cs="Arial"/>
                <w:b/>
                <w:lang w:val="en-GB"/>
              </w:rPr>
              <w:t xml:space="preserve">of </w:t>
            </w:r>
            <w:r w:rsidR="00422760" w:rsidRPr="006740A2">
              <w:rPr>
                <w:rFonts w:ascii="Verdana" w:hAnsi="Verdana" w:cs="Arial"/>
                <w:b/>
                <w:lang w:val="en-GB"/>
              </w:rPr>
              <w:t>3 years</w:t>
            </w:r>
            <w:r w:rsidR="00881F33">
              <w:rPr>
                <w:rFonts w:ascii="Verdana" w:hAnsi="Verdana" w:cs="Arial"/>
                <w:b/>
                <w:lang w:val="en-GB"/>
              </w:rPr>
              <w:t xml:space="preserve"> of</w:t>
            </w:r>
            <w:r w:rsidR="00422760" w:rsidRPr="006740A2">
              <w:rPr>
                <w:rFonts w:ascii="Verdana" w:hAnsi="Verdana" w:cs="Arial"/>
                <w:b/>
                <w:lang w:val="en-GB"/>
              </w:rPr>
              <w:t xml:space="preserve"> </w:t>
            </w:r>
            <w:r w:rsidR="00200D5D" w:rsidRPr="006740A2">
              <w:rPr>
                <w:rFonts w:ascii="Verdana" w:hAnsi="Verdana" w:cs="Arial"/>
                <w:b/>
                <w:lang w:val="en-GB"/>
              </w:rPr>
              <w:t xml:space="preserve">experience </w:t>
            </w:r>
            <w:r w:rsidRPr="006740A2">
              <w:rPr>
                <w:rFonts w:ascii="Verdana" w:hAnsi="Verdana" w:cs="Arial"/>
                <w:b/>
                <w:lang w:val="en-GB"/>
              </w:rPr>
              <w:t xml:space="preserve">in </w:t>
            </w:r>
            <w:r w:rsidR="00F24133" w:rsidRPr="006740A2">
              <w:rPr>
                <w:rFonts w:ascii="Verdana" w:hAnsi="Verdana" w:cs="Arial"/>
                <w:b/>
                <w:lang w:val="en-GB"/>
              </w:rPr>
              <w:t xml:space="preserve">back-office </w:t>
            </w:r>
            <w:r w:rsidR="009C59AF" w:rsidRPr="006740A2">
              <w:rPr>
                <w:rFonts w:ascii="Verdana" w:hAnsi="Verdana" w:cs="Arial"/>
                <w:b/>
                <w:lang w:val="en-GB"/>
              </w:rPr>
              <w:t>operation</w:t>
            </w:r>
            <w:r w:rsidR="00F24133" w:rsidRPr="006740A2">
              <w:rPr>
                <w:rFonts w:ascii="Verdana" w:hAnsi="Verdana" w:cs="Arial"/>
                <w:b/>
                <w:lang w:val="en-GB"/>
              </w:rPr>
              <w:t>s</w:t>
            </w:r>
            <w:r w:rsidR="00200D5D" w:rsidRPr="006740A2">
              <w:rPr>
                <w:rFonts w:ascii="Verdana" w:hAnsi="Verdana" w:cs="Arial"/>
                <w:b/>
                <w:lang w:val="en-GB"/>
              </w:rPr>
              <w:t xml:space="preserve"> or </w:t>
            </w:r>
            <w:r w:rsidR="004423D9" w:rsidRPr="006740A2">
              <w:rPr>
                <w:rFonts w:ascii="Verdana" w:hAnsi="Verdana" w:cs="Arial"/>
                <w:b/>
                <w:lang w:val="en-GB"/>
              </w:rPr>
              <w:t>a si</w:t>
            </w:r>
            <w:r w:rsidR="004561D5">
              <w:rPr>
                <w:rFonts w:ascii="Verdana" w:hAnsi="Verdana" w:cs="Arial"/>
                <w:b/>
                <w:lang w:val="en-GB"/>
              </w:rPr>
              <w:t>milar area</w:t>
            </w:r>
            <w:r w:rsidR="006279CA">
              <w:rPr>
                <w:rFonts w:ascii="Verdana" w:hAnsi="Verdana" w:cs="Arial"/>
                <w:b/>
                <w:lang w:val="en-GB"/>
              </w:rPr>
              <w:t xml:space="preserve"> in financial services</w:t>
            </w:r>
            <w:r w:rsidR="004561D5">
              <w:rPr>
                <w:rFonts w:ascii="Verdana" w:hAnsi="Verdana" w:cs="Arial"/>
                <w:b/>
                <w:lang w:val="en-GB"/>
              </w:rPr>
              <w:t>.</w:t>
            </w:r>
          </w:p>
        </w:tc>
      </w:tr>
    </w:tbl>
    <w:p w14:paraId="213605AC" w14:textId="76DFA247" w:rsidR="00FB4574" w:rsidRPr="009C3A77" w:rsidRDefault="00FB4574" w:rsidP="009C3A77">
      <w:pPr>
        <w:rPr>
          <w:rFonts w:ascii="Verdana" w:eastAsia="Times New Roman" w:hAnsi="Verdana" w:cs="Arial"/>
          <w:lang w:val="en-GB"/>
        </w:rPr>
      </w:pPr>
    </w:p>
    <w:tbl>
      <w:tblPr>
        <w:tblW w:w="9152" w:type="dxa"/>
        <w:tblLayout w:type="fixed"/>
        <w:tblCellMar>
          <w:left w:w="80" w:type="dxa"/>
          <w:right w:w="80" w:type="dxa"/>
        </w:tblCellMar>
        <w:tblLook w:val="0000" w:firstRow="0" w:lastRow="0" w:firstColumn="0" w:lastColumn="0" w:noHBand="0" w:noVBand="0"/>
      </w:tblPr>
      <w:tblGrid>
        <w:gridCol w:w="1781"/>
        <w:gridCol w:w="180"/>
        <w:gridCol w:w="7191"/>
      </w:tblGrid>
      <w:tr w:rsidR="00FB4574" w:rsidRPr="00C8073D" w14:paraId="1FC6F72E" w14:textId="77777777">
        <w:tc>
          <w:tcPr>
            <w:tcW w:w="1781" w:type="dxa"/>
            <w:tcBorders>
              <w:top w:val="single" w:sz="6" w:space="0" w:color="auto"/>
              <w:left w:val="single" w:sz="6" w:space="0" w:color="auto"/>
              <w:bottom w:val="single" w:sz="6" w:space="0" w:color="auto"/>
              <w:right w:val="single" w:sz="6" w:space="0" w:color="auto"/>
            </w:tcBorders>
          </w:tcPr>
          <w:p w14:paraId="06F5E5D2" w14:textId="77777777" w:rsidR="00FB4574" w:rsidRPr="006740A2" w:rsidRDefault="009C59AF" w:rsidP="00FB4574">
            <w:pPr>
              <w:pStyle w:val="tab"/>
              <w:spacing w:before="60" w:after="60"/>
              <w:jc w:val="left"/>
              <w:rPr>
                <w:rFonts w:ascii="Verdana" w:hAnsi="Verdana" w:cs="Arial"/>
                <w:b/>
                <w:sz w:val="20"/>
                <w:lang w:val="en-GB"/>
              </w:rPr>
            </w:pPr>
            <w:r w:rsidRPr="006740A2">
              <w:rPr>
                <w:rFonts w:ascii="Verdana" w:hAnsi="Verdana" w:cs="Arial"/>
                <w:b/>
                <w:sz w:val="20"/>
                <w:lang w:val="en-GB"/>
              </w:rPr>
              <w:t>Examination</w:t>
            </w:r>
          </w:p>
        </w:tc>
        <w:tc>
          <w:tcPr>
            <w:tcW w:w="180" w:type="dxa"/>
          </w:tcPr>
          <w:p w14:paraId="227E5D2E" w14:textId="77777777" w:rsidR="00FB4574" w:rsidRPr="006740A2" w:rsidRDefault="00FB4574" w:rsidP="00FB4574">
            <w:pPr>
              <w:pStyle w:val="tab"/>
              <w:spacing w:before="2" w:after="2"/>
              <w:jc w:val="left"/>
              <w:rPr>
                <w:rFonts w:ascii="Verdana" w:hAnsi="Verdana" w:cs="Arial"/>
                <w:sz w:val="20"/>
                <w:lang w:val="en-GB"/>
              </w:rPr>
            </w:pPr>
          </w:p>
        </w:tc>
        <w:tc>
          <w:tcPr>
            <w:tcW w:w="7191" w:type="dxa"/>
          </w:tcPr>
          <w:p w14:paraId="64C96C29" w14:textId="665E6489" w:rsidR="00251EC7" w:rsidRPr="00F97242" w:rsidRDefault="00251EC7" w:rsidP="00251EC7">
            <w:pPr>
              <w:pStyle w:val="Default"/>
              <w:spacing w:before="80"/>
              <w:jc w:val="both"/>
              <w:rPr>
                <w:rFonts w:ascii="Verdana" w:hAnsi="Verdana" w:cs="NewsGothicStd"/>
                <w:color w:val="auto"/>
                <w:sz w:val="20"/>
                <w:szCs w:val="20"/>
                <w:lang w:val="en-US" w:eastAsia="en-US"/>
              </w:rPr>
            </w:pPr>
            <w:r w:rsidRPr="00723ECB">
              <w:rPr>
                <w:rFonts w:ascii="Verdana" w:hAnsi="Verdana" w:cs="NewsGothicStd"/>
                <w:b/>
                <w:color w:val="auto"/>
                <w:sz w:val="20"/>
                <w:szCs w:val="20"/>
                <w:u w:val="single"/>
                <w:lang w:val="en-US" w:eastAsia="en-US"/>
              </w:rPr>
              <w:t>Part 1:</w:t>
            </w:r>
            <w:r>
              <w:rPr>
                <w:rFonts w:ascii="Verdana" w:hAnsi="Verdana" w:cs="NewsGothicStd"/>
                <w:color w:val="auto"/>
                <w:sz w:val="20"/>
                <w:szCs w:val="20"/>
                <w:lang w:val="en-US" w:eastAsia="en-US"/>
              </w:rPr>
              <w:t xml:space="preserve"> E-learning </w:t>
            </w:r>
            <w:r w:rsidR="0018207E">
              <w:rPr>
                <w:rFonts w:ascii="Verdana" w:hAnsi="Verdana" w:cs="Arial"/>
                <w:sz w:val="20"/>
                <w:u w:val="single"/>
                <w:lang w:val="en-US"/>
              </w:rPr>
              <w:t>non-eliminatory</w:t>
            </w:r>
            <w:r w:rsidR="0018207E" w:rsidRPr="0096186C">
              <w:rPr>
                <w:rFonts w:ascii="Verdana" w:hAnsi="Verdana" w:cs="Arial"/>
                <w:sz w:val="20"/>
                <w:u w:val="single"/>
                <w:lang w:val="en-US"/>
              </w:rPr>
              <w:t xml:space="preserve"> </w:t>
            </w:r>
            <w:r w:rsidR="0018207E">
              <w:rPr>
                <w:rFonts w:ascii="Verdana" w:hAnsi="Verdana" w:cs="Arial"/>
                <w:sz w:val="20"/>
                <w:u w:val="single"/>
                <w:lang w:val="en-US"/>
              </w:rPr>
              <w:t>test</w:t>
            </w:r>
            <w:r w:rsidR="0018207E">
              <w:rPr>
                <w:rFonts w:ascii="Verdana" w:hAnsi="Verdana" w:cs="Arial"/>
                <w:sz w:val="20"/>
                <w:lang w:val="en-US"/>
              </w:rPr>
              <w:t>:</w:t>
            </w:r>
            <w:r w:rsidRPr="00F97242">
              <w:rPr>
                <w:rFonts w:ascii="Verdana" w:hAnsi="Verdana" w:cs="NewsGothicStd"/>
                <w:color w:val="auto"/>
                <w:sz w:val="20"/>
                <w:szCs w:val="20"/>
                <w:lang w:val="en-US" w:eastAsia="en-US"/>
              </w:rPr>
              <w:t xml:space="preserve"> prerequisite for </w:t>
            </w:r>
            <w:r w:rsidR="0018207E">
              <w:rPr>
                <w:rFonts w:ascii="Verdana" w:hAnsi="Verdana" w:cs="NewsGothicStd"/>
                <w:color w:val="auto"/>
                <w:sz w:val="20"/>
                <w:szCs w:val="20"/>
                <w:lang w:val="en-US" w:eastAsia="en-US"/>
              </w:rPr>
              <w:t xml:space="preserve">the </w:t>
            </w:r>
            <w:r w:rsidRPr="00F97242">
              <w:rPr>
                <w:rFonts w:ascii="Verdana" w:hAnsi="Verdana" w:cs="NewsGothicStd"/>
                <w:color w:val="auto"/>
                <w:sz w:val="20"/>
                <w:szCs w:val="20"/>
                <w:lang w:val="en-US" w:eastAsia="en-US"/>
              </w:rPr>
              <w:t>particip</w:t>
            </w:r>
            <w:r w:rsidR="00C03ADA">
              <w:rPr>
                <w:rFonts w:ascii="Verdana" w:hAnsi="Verdana" w:cs="NewsGothicStd"/>
                <w:color w:val="auto"/>
                <w:sz w:val="20"/>
                <w:szCs w:val="20"/>
                <w:lang w:val="en-US" w:eastAsia="en-US"/>
              </w:rPr>
              <w:t>ation in the Luxembourg course.</w:t>
            </w:r>
          </w:p>
          <w:p w14:paraId="1E475D2A" w14:textId="6A3B21A5" w:rsidR="00044639" w:rsidRDefault="00251EC7" w:rsidP="00044639">
            <w:pPr>
              <w:spacing w:before="60" w:after="60"/>
              <w:jc w:val="both"/>
              <w:rPr>
                <w:rFonts w:ascii="Verdana" w:hAnsi="Verdana" w:cs="Arial"/>
                <w:lang w:val="en-GB"/>
              </w:rPr>
            </w:pPr>
            <w:r w:rsidRPr="00723ECB">
              <w:rPr>
                <w:rFonts w:ascii="Verdana" w:hAnsi="Verdana" w:cs="NewsGothicStd"/>
                <w:b/>
                <w:u w:val="single"/>
                <w:lang w:val="en-US" w:eastAsia="en-US"/>
              </w:rPr>
              <w:t>Part 2 in Luxembourg</w:t>
            </w:r>
            <w:r w:rsidR="00C03ADA">
              <w:rPr>
                <w:rFonts w:ascii="Verdana" w:hAnsi="Verdana" w:cs="NewsGothicStd"/>
                <w:lang w:val="en-US" w:eastAsia="en-US"/>
              </w:rPr>
              <w:t>: P</w:t>
            </w:r>
            <w:r w:rsidRPr="00F97242">
              <w:rPr>
                <w:rFonts w:ascii="Verdana" w:hAnsi="Verdana" w:cs="NewsGothicStd"/>
                <w:lang w:val="en-US" w:eastAsia="en-US"/>
              </w:rPr>
              <w:t>articipants have their newly acquired knowledge v</w:t>
            </w:r>
            <w:r>
              <w:rPr>
                <w:rFonts w:ascii="Verdana" w:hAnsi="Verdana" w:cs="NewsGothicStd"/>
                <w:lang w:val="en-US" w:eastAsia="en-US"/>
              </w:rPr>
              <w:t>alidated through a gro</w:t>
            </w:r>
            <w:r w:rsidR="00C03ADA">
              <w:rPr>
                <w:rFonts w:ascii="Verdana" w:hAnsi="Verdana" w:cs="NewsGothicStd"/>
                <w:lang w:val="en-US" w:eastAsia="en-US"/>
              </w:rPr>
              <w:t>up pr</w:t>
            </w:r>
            <w:r w:rsidR="00AA6FA1">
              <w:rPr>
                <w:rFonts w:ascii="Verdana" w:hAnsi="Verdana" w:cs="NewsGothicStd"/>
                <w:lang w:val="en-US" w:eastAsia="en-US"/>
              </w:rPr>
              <w:t xml:space="preserve">esentation </w:t>
            </w:r>
            <w:r w:rsidR="00C03ADA">
              <w:rPr>
                <w:rFonts w:ascii="Verdana" w:hAnsi="Verdana" w:cs="NewsGothicStd"/>
                <w:lang w:val="en-US" w:eastAsia="en-US"/>
              </w:rPr>
              <w:t xml:space="preserve">and </w:t>
            </w:r>
            <w:r w:rsidR="00C87673">
              <w:rPr>
                <w:rFonts w:ascii="Verdana" w:hAnsi="Verdana" w:cs="NewsGothicStd"/>
                <w:lang w:val="en-US" w:eastAsia="en-US"/>
              </w:rPr>
              <w:t>a 3-hour online</w:t>
            </w:r>
            <w:r w:rsidR="00C03ADA">
              <w:rPr>
                <w:rFonts w:ascii="Verdana" w:hAnsi="Verdana" w:cs="NewsGothicStd"/>
                <w:lang w:val="en-US" w:eastAsia="en-US"/>
              </w:rPr>
              <w:t xml:space="preserve"> exam.</w:t>
            </w:r>
          </w:p>
          <w:p w14:paraId="32CDE495" w14:textId="6B7922D7" w:rsidR="00FB4574" w:rsidRPr="00044639" w:rsidRDefault="004423D9" w:rsidP="009D4B12">
            <w:pPr>
              <w:spacing w:before="60" w:after="60"/>
              <w:jc w:val="both"/>
              <w:rPr>
                <w:rFonts w:ascii="Verdana" w:hAnsi="Verdana" w:cs="Arial"/>
                <w:lang w:val="en-GB"/>
              </w:rPr>
            </w:pPr>
            <w:r w:rsidRPr="006740A2">
              <w:rPr>
                <w:rFonts w:ascii="Verdana" w:hAnsi="Verdana" w:cs="Arial"/>
                <w:lang w:val="en-GB"/>
              </w:rPr>
              <w:t xml:space="preserve">Participants who </w:t>
            </w:r>
            <w:r w:rsidR="009D4B12">
              <w:rPr>
                <w:rFonts w:ascii="Verdana" w:hAnsi="Verdana" w:cs="Arial"/>
                <w:lang w:val="en-GB"/>
              </w:rPr>
              <w:t>succeed</w:t>
            </w:r>
            <w:r w:rsidRPr="006740A2">
              <w:rPr>
                <w:rFonts w:ascii="Verdana" w:hAnsi="Verdana" w:cs="Arial"/>
                <w:lang w:val="en-GB"/>
              </w:rPr>
              <w:t xml:space="preserve"> the </w:t>
            </w:r>
            <w:r w:rsidR="00C03ADA">
              <w:rPr>
                <w:rFonts w:ascii="Verdana" w:hAnsi="Verdana" w:cs="Arial"/>
                <w:lang w:val="en-GB"/>
              </w:rPr>
              <w:t xml:space="preserve">group presentation and the </w:t>
            </w:r>
            <w:r w:rsidRPr="006740A2">
              <w:rPr>
                <w:rFonts w:ascii="Verdana" w:hAnsi="Verdana" w:cs="Arial"/>
                <w:lang w:val="en-GB"/>
              </w:rPr>
              <w:t>exam</w:t>
            </w:r>
            <w:r w:rsidR="00C03ADA">
              <w:rPr>
                <w:rFonts w:ascii="Verdana" w:hAnsi="Verdana" w:cs="Arial"/>
                <w:lang w:val="en-GB"/>
              </w:rPr>
              <w:t>s</w:t>
            </w:r>
            <w:r w:rsidRPr="006740A2">
              <w:rPr>
                <w:rFonts w:ascii="Verdana" w:hAnsi="Verdana" w:cs="Arial"/>
                <w:lang w:val="en-GB"/>
              </w:rPr>
              <w:t xml:space="preserve"> will receive </w:t>
            </w:r>
            <w:r w:rsidR="009C59AF" w:rsidRPr="006740A2">
              <w:rPr>
                <w:rFonts w:ascii="Verdana" w:hAnsi="Verdana" w:cs="Arial"/>
                <w:lang w:val="en-GB"/>
              </w:rPr>
              <w:t>a certificate</w:t>
            </w:r>
            <w:r w:rsidR="004561D5">
              <w:rPr>
                <w:rFonts w:ascii="Verdana" w:hAnsi="Verdana" w:cs="Arial"/>
                <w:lang w:val="en-GB"/>
              </w:rPr>
              <w:t xml:space="preserve"> of achiev</w:t>
            </w:r>
            <w:r w:rsidR="00EE7983">
              <w:rPr>
                <w:rFonts w:ascii="Verdana" w:hAnsi="Verdana" w:cs="Arial"/>
                <w:lang w:val="en-GB"/>
              </w:rPr>
              <w:t>e</w:t>
            </w:r>
            <w:r w:rsidR="004561D5">
              <w:rPr>
                <w:rFonts w:ascii="Verdana" w:hAnsi="Verdana" w:cs="Arial"/>
                <w:lang w:val="en-GB"/>
              </w:rPr>
              <w:t>ment</w:t>
            </w:r>
            <w:r w:rsidR="00F24133" w:rsidRPr="006740A2">
              <w:rPr>
                <w:rFonts w:ascii="Verdana" w:hAnsi="Verdana" w:cs="Arial"/>
                <w:lang w:val="en-GB"/>
              </w:rPr>
              <w:t xml:space="preserve"> issued by the </w:t>
            </w:r>
            <w:r w:rsidR="00C6396D" w:rsidRPr="006740A2">
              <w:rPr>
                <w:rFonts w:ascii="Verdana" w:hAnsi="Verdana" w:cs="Arial"/>
                <w:lang w:val="en-GB"/>
              </w:rPr>
              <w:t>House of Training</w:t>
            </w:r>
            <w:r w:rsidRPr="006740A2">
              <w:rPr>
                <w:rFonts w:ascii="Verdana" w:hAnsi="Verdana" w:cs="Arial"/>
                <w:lang w:val="en-GB"/>
              </w:rPr>
              <w:t xml:space="preserve"> and ICMA</w:t>
            </w:r>
            <w:r w:rsidR="00044639">
              <w:rPr>
                <w:rFonts w:ascii="Verdana" w:hAnsi="Verdana" w:cs="Arial"/>
                <w:lang w:val="en-GB"/>
              </w:rPr>
              <w:t>, Luxembourg region</w:t>
            </w:r>
            <w:r w:rsidR="00044639" w:rsidRPr="006740A2">
              <w:rPr>
                <w:rFonts w:ascii="Verdana" w:hAnsi="Verdana" w:cs="Arial"/>
                <w:lang w:val="en-GB"/>
              </w:rPr>
              <w:t>.</w:t>
            </w:r>
          </w:p>
        </w:tc>
      </w:tr>
    </w:tbl>
    <w:p w14:paraId="2F056B64" w14:textId="77777777" w:rsidR="00FB4574" w:rsidRPr="006740A2" w:rsidRDefault="00FB4574">
      <w:pPr>
        <w:pStyle w:val="tab"/>
        <w:rPr>
          <w:rFonts w:ascii="Verdana" w:hAnsi="Verdana" w:cs="Arial"/>
          <w:sz w:val="20"/>
          <w:lang w:val="en-GB"/>
        </w:rPr>
      </w:pPr>
    </w:p>
    <w:tbl>
      <w:tblPr>
        <w:tblW w:w="9152" w:type="dxa"/>
        <w:tblLayout w:type="fixed"/>
        <w:tblCellMar>
          <w:left w:w="80" w:type="dxa"/>
          <w:right w:w="80" w:type="dxa"/>
        </w:tblCellMar>
        <w:tblLook w:val="0000" w:firstRow="0" w:lastRow="0" w:firstColumn="0" w:lastColumn="0" w:noHBand="0" w:noVBand="0"/>
      </w:tblPr>
      <w:tblGrid>
        <w:gridCol w:w="1781"/>
        <w:gridCol w:w="180"/>
        <w:gridCol w:w="7191"/>
      </w:tblGrid>
      <w:tr w:rsidR="00FB4574" w:rsidRPr="00C8073D" w14:paraId="03154513" w14:textId="77777777">
        <w:tc>
          <w:tcPr>
            <w:tcW w:w="1781" w:type="dxa"/>
            <w:tcBorders>
              <w:top w:val="single" w:sz="6" w:space="0" w:color="auto"/>
              <w:left w:val="single" w:sz="6" w:space="0" w:color="auto"/>
              <w:bottom w:val="single" w:sz="6" w:space="0" w:color="auto"/>
              <w:right w:val="single" w:sz="6" w:space="0" w:color="auto"/>
            </w:tcBorders>
          </w:tcPr>
          <w:p w14:paraId="7DF5A055" w14:textId="77777777" w:rsidR="00FB4574" w:rsidRPr="006740A2" w:rsidRDefault="00EA20C3" w:rsidP="00FB4574">
            <w:pPr>
              <w:pStyle w:val="tab"/>
              <w:spacing w:before="60" w:after="60"/>
              <w:jc w:val="left"/>
              <w:rPr>
                <w:rFonts w:ascii="Verdana" w:hAnsi="Verdana" w:cs="Arial"/>
                <w:b/>
                <w:sz w:val="20"/>
                <w:lang w:val="en-GB"/>
              </w:rPr>
            </w:pPr>
            <w:r w:rsidRPr="006740A2">
              <w:rPr>
                <w:rFonts w:ascii="Verdana" w:hAnsi="Verdana" w:cs="Arial"/>
                <w:b/>
                <w:sz w:val="20"/>
                <w:lang w:val="en-GB"/>
              </w:rPr>
              <w:t xml:space="preserve"> </w:t>
            </w:r>
            <w:r w:rsidR="00FB4574" w:rsidRPr="006740A2">
              <w:rPr>
                <w:rFonts w:ascii="Verdana" w:hAnsi="Verdana" w:cs="Arial"/>
                <w:b/>
                <w:sz w:val="20"/>
                <w:lang w:val="en-GB"/>
              </w:rPr>
              <w:t>Experts</w:t>
            </w:r>
          </w:p>
        </w:tc>
        <w:tc>
          <w:tcPr>
            <w:tcW w:w="180" w:type="dxa"/>
          </w:tcPr>
          <w:p w14:paraId="5314E83F" w14:textId="77777777" w:rsidR="00FB4574" w:rsidRPr="006740A2" w:rsidRDefault="00FB4574" w:rsidP="00FB4574">
            <w:pPr>
              <w:pStyle w:val="tab"/>
              <w:tabs>
                <w:tab w:val="clear" w:pos="240"/>
                <w:tab w:val="left" w:pos="307"/>
              </w:tabs>
              <w:spacing w:before="60"/>
              <w:ind w:left="23"/>
              <w:rPr>
                <w:rFonts w:ascii="Verdana" w:hAnsi="Verdana" w:cs="Arial"/>
                <w:sz w:val="20"/>
                <w:lang w:val="en-GB"/>
              </w:rPr>
            </w:pPr>
          </w:p>
        </w:tc>
        <w:tc>
          <w:tcPr>
            <w:tcW w:w="7191" w:type="dxa"/>
          </w:tcPr>
          <w:p w14:paraId="641E8D08" w14:textId="7986A143" w:rsidR="00FB4574" w:rsidRPr="006740A2" w:rsidRDefault="004423D9" w:rsidP="00C03ADA">
            <w:pPr>
              <w:jc w:val="both"/>
              <w:rPr>
                <w:rFonts w:ascii="Verdana" w:hAnsi="Verdana" w:cs="Arial"/>
                <w:lang w:val="en-GB"/>
              </w:rPr>
            </w:pPr>
            <w:r w:rsidRPr="006740A2">
              <w:rPr>
                <w:rFonts w:ascii="Verdana" w:hAnsi="Verdana" w:cs="Arial"/>
                <w:lang w:val="en-GB"/>
              </w:rPr>
              <w:t xml:space="preserve">The different </w:t>
            </w:r>
            <w:r w:rsidR="00FB4574" w:rsidRPr="006740A2">
              <w:rPr>
                <w:rFonts w:ascii="Verdana" w:hAnsi="Verdana" w:cs="Arial"/>
                <w:lang w:val="en-GB"/>
              </w:rPr>
              <w:t xml:space="preserve">units </w:t>
            </w:r>
            <w:r w:rsidRPr="006740A2">
              <w:rPr>
                <w:rFonts w:ascii="Verdana" w:hAnsi="Verdana" w:cs="Arial"/>
                <w:lang w:val="en-GB"/>
              </w:rPr>
              <w:t xml:space="preserve">of the CAMBOC programme </w:t>
            </w:r>
            <w:r w:rsidR="00FB4574" w:rsidRPr="006740A2">
              <w:rPr>
                <w:rFonts w:ascii="Verdana" w:hAnsi="Verdana" w:cs="Arial"/>
                <w:lang w:val="en-GB"/>
              </w:rPr>
              <w:t xml:space="preserve">are </w:t>
            </w:r>
            <w:r w:rsidR="00F24133" w:rsidRPr="006740A2">
              <w:rPr>
                <w:rFonts w:ascii="Verdana" w:hAnsi="Verdana" w:cs="Arial"/>
                <w:lang w:val="en-GB"/>
              </w:rPr>
              <w:t>delivered</w:t>
            </w:r>
            <w:r w:rsidR="00FB4574" w:rsidRPr="006740A2">
              <w:rPr>
                <w:rFonts w:ascii="Verdana" w:hAnsi="Verdana" w:cs="Arial"/>
                <w:lang w:val="en-GB"/>
              </w:rPr>
              <w:t xml:space="preserve"> by </w:t>
            </w:r>
            <w:r w:rsidR="00C03ADA" w:rsidRPr="0096186C">
              <w:rPr>
                <w:rFonts w:ascii="Verdana" w:hAnsi="Verdana" w:cs="Arial"/>
                <w:lang w:val="en-US"/>
              </w:rPr>
              <w:t>industry experts</w:t>
            </w:r>
            <w:r w:rsidR="00C03ADA">
              <w:rPr>
                <w:rFonts w:ascii="Verdana" w:hAnsi="Verdana" w:cs="Arial"/>
                <w:lang w:val="en-GB"/>
              </w:rPr>
              <w:t xml:space="preserve"> </w:t>
            </w:r>
            <w:r w:rsidR="00FB4574" w:rsidRPr="006740A2">
              <w:rPr>
                <w:rFonts w:ascii="Verdana" w:hAnsi="Verdana" w:cs="Arial"/>
                <w:lang w:val="en-GB"/>
              </w:rPr>
              <w:t>in th</w:t>
            </w:r>
            <w:r w:rsidR="00F24133" w:rsidRPr="006740A2">
              <w:rPr>
                <w:rFonts w:ascii="Verdana" w:hAnsi="Verdana" w:cs="Arial"/>
                <w:lang w:val="en-GB"/>
              </w:rPr>
              <w:t>e respective fields, a</w:t>
            </w:r>
            <w:r w:rsidR="00FB4574" w:rsidRPr="006740A2">
              <w:rPr>
                <w:rFonts w:ascii="Verdana" w:hAnsi="Verdana" w:cs="Arial"/>
                <w:lang w:val="en-GB"/>
              </w:rPr>
              <w:t xml:space="preserve">ll of </w:t>
            </w:r>
            <w:r w:rsidR="00AC1FB2" w:rsidRPr="006740A2">
              <w:rPr>
                <w:rFonts w:ascii="Verdana" w:hAnsi="Verdana" w:cs="Arial"/>
                <w:lang w:val="en-GB"/>
              </w:rPr>
              <w:t>who</w:t>
            </w:r>
            <w:r w:rsidR="00C87673">
              <w:rPr>
                <w:rFonts w:ascii="Verdana" w:hAnsi="Verdana" w:cs="Arial"/>
                <w:lang w:val="en-GB"/>
              </w:rPr>
              <w:t>m</w:t>
            </w:r>
            <w:r w:rsidR="00F24133" w:rsidRPr="006740A2">
              <w:rPr>
                <w:rFonts w:ascii="Verdana" w:hAnsi="Verdana" w:cs="Arial"/>
                <w:lang w:val="en-GB"/>
              </w:rPr>
              <w:t xml:space="preserve"> </w:t>
            </w:r>
            <w:r w:rsidRPr="006740A2">
              <w:rPr>
                <w:rFonts w:ascii="Verdana" w:hAnsi="Verdana" w:cs="Arial"/>
                <w:lang w:val="en-GB"/>
              </w:rPr>
              <w:t xml:space="preserve">have </w:t>
            </w:r>
            <w:r w:rsidR="00F24133" w:rsidRPr="006740A2">
              <w:rPr>
                <w:rFonts w:ascii="Verdana" w:hAnsi="Verdana" w:cs="Arial"/>
                <w:lang w:val="en-GB"/>
              </w:rPr>
              <w:t xml:space="preserve">many years of </w:t>
            </w:r>
            <w:r w:rsidR="00FB4574" w:rsidRPr="006740A2">
              <w:rPr>
                <w:rFonts w:ascii="Verdana" w:hAnsi="Verdana" w:cs="Arial"/>
                <w:lang w:val="en-GB"/>
              </w:rPr>
              <w:t xml:space="preserve">experience in </w:t>
            </w:r>
            <w:r w:rsidR="00F24133" w:rsidRPr="006740A2">
              <w:rPr>
                <w:rFonts w:ascii="Verdana" w:hAnsi="Verdana" w:cs="Arial"/>
                <w:lang w:val="en-GB"/>
              </w:rPr>
              <w:t>back-office operations</w:t>
            </w:r>
            <w:r w:rsidR="00FB4574" w:rsidRPr="006740A2">
              <w:rPr>
                <w:rFonts w:ascii="Verdana" w:hAnsi="Verdana" w:cs="Arial"/>
                <w:lang w:val="en-GB"/>
              </w:rPr>
              <w:t>.</w:t>
            </w:r>
          </w:p>
        </w:tc>
      </w:tr>
    </w:tbl>
    <w:p w14:paraId="6207A339" w14:textId="77777777" w:rsidR="00FB4574" w:rsidRPr="006740A2" w:rsidRDefault="00FB4574">
      <w:pPr>
        <w:pStyle w:val="tab"/>
        <w:rPr>
          <w:rFonts w:ascii="Verdana" w:hAnsi="Verdana" w:cs="Arial"/>
          <w:sz w:val="20"/>
          <w:lang w:val="en-GB"/>
        </w:rPr>
      </w:pPr>
    </w:p>
    <w:tbl>
      <w:tblPr>
        <w:tblW w:w="9152" w:type="dxa"/>
        <w:tblLayout w:type="fixed"/>
        <w:tblCellMar>
          <w:left w:w="80" w:type="dxa"/>
          <w:right w:w="80" w:type="dxa"/>
        </w:tblCellMar>
        <w:tblLook w:val="0000" w:firstRow="0" w:lastRow="0" w:firstColumn="0" w:lastColumn="0" w:noHBand="0" w:noVBand="0"/>
      </w:tblPr>
      <w:tblGrid>
        <w:gridCol w:w="1781"/>
        <w:gridCol w:w="180"/>
        <w:gridCol w:w="7191"/>
      </w:tblGrid>
      <w:tr w:rsidR="00FB4574" w:rsidRPr="006740A2" w14:paraId="70F06D1A" w14:textId="77777777">
        <w:tc>
          <w:tcPr>
            <w:tcW w:w="1781" w:type="dxa"/>
            <w:tcBorders>
              <w:top w:val="single" w:sz="6" w:space="0" w:color="auto"/>
              <w:left w:val="single" w:sz="6" w:space="0" w:color="auto"/>
              <w:bottom w:val="single" w:sz="6" w:space="0" w:color="auto"/>
              <w:right w:val="single" w:sz="6" w:space="0" w:color="auto"/>
            </w:tcBorders>
          </w:tcPr>
          <w:p w14:paraId="5A0D99D3" w14:textId="77777777" w:rsidR="00FB4574" w:rsidRPr="006740A2" w:rsidRDefault="00FB4574" w:rsidP="00FB4574">
            <w:pPr>
              <w:pStyle w:val="tab"/>
              <w:spacing w:before="60" w:after="60"/>
              <w:jc w:val="left"/>
              <w:rPr>
                <w:rFonts w:ascii="Verdana" w:hAnsi="Verdana" w:cs="Arial"/>
                <w:b/>
                <w:sz w:val="20"/>
                <w:lang w:val="en-GB"/>
              </w:rPr>
            </w:pPr>
            <w:r w:rsidRPr="006740A2">
              <w:rPr>
                <w:rFonts w:ascii="Verdana" w:hAnsi="Verdana" w:cs="Arial"/>
                <w:b/>
                <w:sz w:val="20"/>
                <w:lang w:val="en-GB"/>
              </w:rPr>
              <w:t>Language</w:t>
            </w:r>
          </w:p>
        </w:tc>
        <w:tc>
          <w:tcPr>
            <w:tcW w:w="180" w:type="dxa"/>
          </w:tcPr>
          <w:p w14:paraId="56D31582" w14:textId="77777777" w:rsidR="00FB4574" w:rsidRPr="006740A2" w:rsidRDefault="00FB4574">
            <w:pPr>
              <w:pStyle w:val="tab"/>
              <w:rPr>
                <w:rFonts w:ascii="Verdana" w:hAnsi="Verdana" w:cs="Arial"/>
                <w:sz w:val="20"/>
                <w:lang w:val="en-GB"/>
              </w:rPr>
            </w:pPr>
          </w:p>
        </w:tc>
        <w:tc>
          <w:tcPr>
            <w:tcW w:w="7191" w:type="dxa"/>
          </w:tcPr>
          <w:p w14:paraId="7AECFE9B" w14:textId="77777777" w:rsidR="00FB4574" w:rsidRPr="006740A2" w:rsidRDefault="00FB4574" w:rsidP="00FB4574">
            <w:pPr>
              <w:pStyle w:val="tab"/>
              <w:tabs>
                <w:tab w:val="clear" w:pos="240"/>
                <w:tab w:val="left" w:pos="300"/>
              </w:tabs>
              <w:spacing w:before="60" w:after="60"/>
              <w:jc w:val="left"/>
              <w:rPr>
                <w:rFonts w:ascii="Verdana" w:hAnsi="Verdana" w:cs="Arial"/>
                <w:sz w:val="20"/>
                <w:lang w:val="en-GB"/>
              </w:rPr>
            </w:pPr>
            <w:r w:rsidRPr="006740A2">
              <w:rPr>
                <w:rFonts w:ascii="Verdana" w:hAnsi="Verdana" w:cs="Arial"/>
                <w:sz w:val="20"/>
                <w:lang w:val="en-GB"/>
              </w:rPr>
              <w:t>English</w:t>
            </w:r>
          </w:p>
        </w:tc>
      </w:tr>
    </w:tbl>
    <w:p w14:paraId="529674C2" w14:textId="77777777" w:rsidR="00FB4574" w:rsidRPr="006740A2" w:rsidRDefault="00FB4574">
      <w:pPr>
        <w:pStyle w:val="tab"/>
        <w:rPr>
          <w:rFonts w:ascii="Verdana" w:hAnsi="Verdana" w:cs="Arial"/>
          <w:sz w:val="20"/>
          <w:lang w:val="en-GB"/>
        </w:rPr>
      </w:pPr>
    </w:p>
    <w:tbl>
      <w:tblPr>
        <w:tblW w:w="9152" w:type="dxa"/>
        <w:tblLayout w:type="fixed"/>
        <w:tblCellMar>
          <w:left w:w="80" w:type="dxa"/>
          <w:right w:w="80" w:type="dxa"/>
        </w:tblCellMar>
        <w:tblLook w:val="0000" w:firstRow="0" w:lastRow="0" w:firstColumn="0" w:lastColumn="0" w:noHBand="0" w:noVBand="0"/>
      </w:tblPr>
      <w:tblGrid>
        <w:gridCol w:w="1781"/>
        <w:gridCol w:w="180"/>
        <w:gridCol w:w="7191"/>
      </w:tblGrid>
      <w:tr w:rsidR="00FB4574" w:rsidRPr="00C8073D" w14:paraId="6FFBD51E" w14:textId="77777777">
        <w:tc>
          <w:tcPr>
            <w:tcW w:w="1781" w:type="dxa"/>
            <w:tcBorders>
              <w:top w:val="single" w:sz="6" w:space="0" w:color="auto"/>
              <w:left w:val="single" w:sz="6" w:space="0" w:color="auto"/>
              <w:bottom w:val="single" w:sz="6" w:space="0" w:color="auto"/>
              <w:right w:val="single" w:sz="6" w:space="0" w:color="auto"/>
            </w:tcBorders>
          </w:tcPr>
          <w:p w14:paraId="710A091F" w14:textId="77777777" w:rsidR="00FB4574" w:rsidRPr="006740A2" w:rsidRDefault="00FB4574" w:rsidP="00FB4574">
            <w:pPr>
              <w:pStyle w:val="tab"/>
              <w:spacing w:before="60" w:after="60"/>
              <w:jc w:val="left"/>
              <w:rPr>
                <w:rFonts w:ascii="Verdana" w:hAnsi="Verdana" w:cs="Arial"/>
                <w:b/>
                <w:sz w:val="20"/>
                <w:lang w:val="en-GB"/>
              </w:rPr>
            </w:pPr>
            <w:r w:rsidRPr="006740A2">
              <w:rPr>
                <w:rFonts w:ascii="Verdana" w:hAnsi="Verdana" w:cs="Arial"/>
                <w:b/>
                <w:sz w:val="20"/>
                <w:lang w:val="en-GB"/>
              </w:rPr>
              <w:t>Participants</w:t>
            </w:r>
          </w:p>
        </w:tc>
        <w:tc>
          <w:tcPr>
            <w:tcW w:w="180" w:type="dxa"/>
          </w:tcPr>
          <w:p w14:paraId="290CD184" w14:textId="77777777" w:rsidR="00FB4574" w:rsidRPr="006740A2" w:rsidRDefault="00FB4574">
            <w:pPr>
              <w:pStyle w:val="tab"/>
              <w:rPr>
                <w:rFonts w:ascii="Verdana" w:hAnsi="Verdana" w:cs="Arial"/>
                <w:sz w:val="20"/>
                <w:lang w:val="en-GB"/>
              </w:rPr>
            </w:pPr>
          </w:p>
        </w:tc>
        <w:tc>
          <w:tcPr>
            <w:tcW w:w="7191" w:type="dxa"/>
          </w:tcPr>
          <w:p w14:paraId="6BCE741E" w14:textId="5DAA0C9F" w:rsidR="004561D5" w:rsidRPr="00C3446F" w:rsidRDefault="009C3A77" w:rsidP="004561D5">
            <w:pPr>
              <w:jc w:val="both"/>
              <w:rPr>
                <w:rFonts w:ascii="Verdana" w:hAnsi="Verdana"/>
                <w:lang w:val="en-GB"/>
              </w:rPr>
            </w:pPr>
            <w:r>
              <w:rPr>
                <w:rFonts w:ascii="Verdana" w:hAnsi="Verdana"/>
                <w:b/>
                <w:bCs/>
                <w:lang w:val="en-GB"/>
              </w:rPr>
              <w:t xml:space="preserve">Max. </w:t>
            </w:r>
            <w:r w:rsidR="00C87673" w:rsidRPr="00C87673">
              <w:rPr>
                <w:rFonts w:ascii="Verdana" w:hAnsi="Verdana"/>
                <w:b/>
                <w:bCs/>
                <w:lang w:val="en-GB"/>
              </w:rPr>
              <w:t>10</w:t>
            </w:r>
            <w:r w:rsidR="004561D5" w:rsidRPr="00C87673">
              <w:rPr>
                <w:rFonts w:ascii="Verdana" w:hAnsi="Verdana"/>
                <w:b/>
                <w:bCs/>
                <w:lang w:val="en-US"/>
              </w:rPr>
              <w:t xml:space="preserve"> participants</w:t>
            </w:r>
            <w:r w:rsidR="009D4B12" w:rsidRPr="00C87673">
              <w:rPr>
                <w:rFonts w:ascii="Verdana" w:hAnsi="Verdana"/>
                <w:b/>
                <w:bCs/>
                <w:lang w:val="en-GB"/>
              </w:rPr>
              <w:t xml:space="preserve"> from </w:t>
            </w:r>
            <w:r w:rsidR="002D04DD" w:rsidRPr="00C87673">
              <w:rPr>
                <w:rFonts w:ascii="Verdana" w:hAnsi="Verdana"/>
                <w:b/>
                <w:bCs/>
                <w:lang w:val="en-GB"/>
              </w:rPr>
              <w:t>ATTF</w:t>
            </w:r>
            <w:r w:rsidR="00C03ADA" w:rsidRPr="00C87673">
              <w:rPr>
                <w:rFonts w:ascii="Verdana" w:hAnsi="Verdana"/>
                <w:b/>
                <w:bCs/>
                <w:lang w:val="en-GB"/>
              </w:rPr>
              <w:t xml:space="preserve"> </w:t>
            </w:r>
            <w:r w:rsidR="004561D5" w:rsidRPr="00C87673">
              <w:rPr>
                <w:rFonts w:ascii="Verdana" w:hAnsi="Verdana"/>
                <w:b/>
                <w:bCs/>
                <w:lang w:val="en-GB"/>
              </w:rPr>
              <w:t>partner countries</w:t>
            </w:r>
            <w:r w:rsidR="009D4B12">
              <w:rPr>
                <w:rFonts w:ascii="Verdana" w:hAnsi="Verdana"/>
                <w:lang w:val="en-GB"/>
              </w:rPr>
              <w:t xml:space="preserve"> and </w:t>
            </w:r>
            <w:r>
              <w:rPr>
                <w:rFonts w:ascii="Verdana" w:hAnsi="Verdana"/>
                <w:lang w:val="en-GB"/>
              </w:rPr>
              <w:t xml:space="preserve">max. </w:t>
            </w:r>
            <w:r w:rsidR="00C87673">
              <w:rPr>
                <w:rFonts w:ascii="Verdana" w:hAnsi="Verdana"/>
                <w:lang w:val="en-GB"/>
              </w:rPr>
              <w:t xml:space="preserve">10 participants </w:t>
            </w:r>
            <w:r w:rsidR="00E70AFC">
              <w:rPr>
                <w:rFonts w:ascii="Verdana" w:hAnsi="Verdana"/>
                <w:lang w:val="en-GB"/>
              </w:rPr>
              <w:t>from financial institutions and banks based in Luxembourg.</w:t>
            </w:r>
          </w:p>
          <w:p w14:paraId="20F84856" w14:textId="55CFE3C6" w:rsidR="00FB4574" w:rsidRPr="004561D5" w:rsidRDefault="009D4B12" w:rsidP="004561D5">
            <w:pPr>
              <w:pStyle w:val="tab"/>
              <w:tabs>
                <w:tab w:val="clear" w:pos="240"/>
                <w:tab w:val="left" w:pos="300"/>
              </w:tabs>
              <w:spacing w:before="40" w:after="60"/>
              <w:rPr>
                <w:rFonts w:ascii="Verdana" w:hAnsi="Verdana" w:cs="Arial"/>
                <w:sz w:val="20"/>
                <w:lang w:val="en-US"/>
              </w:rPr>
            </w:pPr>
            <w:r w:rsidRPr="006740A2">
              <w:rPr>
                <w:rFonts w:ascii="Verdana" w:hAnsi="Verdana" w:cs="Arial"/>
                <w:sz w:val="20"/>
                <w:lang w:val="en-GB"/>
              </w:rPr>
              <w:t>Participants will be selected by a committee of experts from the House of Training</w:t>
            </w:r>
            <w:r w:rsidR="00C87673">
              <w:rPr>
                <w:rFonts w:ascii="Verdana" w:hAnsi="Verdana" w:cs="Arial"/>
                <w:sz w:val="20"/>
                <w:lang w:val="en-GB"/>
              </w:rPr>
              <w:t>-ATTF</w:t>
            </w:r>
            <w:r w:rsidR="00C8073D">
              <w:rPr>
                <w:rFonts w:ascii="Verdana" w:hAnsi="Verdana" w:cs="Arial"/>
                <w:sz w:val="20"/>
                <w:lang w:val="en-GB"/>
              </w:rPr>
              <w:t>,</w:t>
            </w:r>
            <w:r w:rsidRPr="006740A2">
              <w:rPr>
                <w:rFonts w:ascii="Verdana" w:hAnsi="Verdana" w:cs="Arial"/>
                <w:sz w:val="20"/>
                <w:lang w:val="en-GB"/>
              </w:rPr>
              <w:t xml:space="preserve"> according to the relevance of their profiles and work experience</w:t>
            </w:r>
            <w:r w:rsidR="00C8073D">
              <w:rPr>
                <w:rFonts w:ascii="Verdana" w:hAnsi="Verdana" w:cs="Arial"/>
                <w:sz w:val="20"/>
                <w:lang w:val="en-GB"/>
              </w:rPr>
              <w:t xml:space="preserve"> and motivations.</w:t>
            </w:r>
          </w:p>
        </w:tc>
      </w:tr>
    </w:tbl>
    <w:p w14:paraId="2B2BE3D9" w14:textId="77777777" w:rsidR="00FB4574" w:rsidRPr="006740A2" w:rsidRDefault="00FB4574">
      <w:pPr>
        <w:tabs>
          <w:tab w:val="left" w:pos="240"/>
        </w:tabs>
        <w:jc w:val="both"/>
        <w:rPr>
          <w:rFonts w:ascii="Verdana" w:hAnsi="Verdana" w:cs="Arial"/>
          <w:lang w:val="en-GB"/>
        </w:rPr>
      </w:pPr>
    </w:p>
    <w:tbl>
      <w:tblPr>
        <w:tblW w:w="9152" w:type="dxa"/>
        <w:tblLayout w:type="fixed"/>
        <w:tblCellMar>
          <w:left w:w="80" w:type="dxa"/>
          <w:right w:w="80" w:type="dxa"/>
        </w:tblCellMar>
        <w:tblLook w:val="0000" w:firstRow="0" w:lastRow="0" w:firstColumn="0" w:lastColumn="0" w:noHBand="0" w:noVBand="0"/>
      </w:tblPr>
      <w:tblGrid>
        <w:gridCol w:w="1781"/>
        <w:gridCol w:w="180"/>
        <w:gridCol w:w="7191"/>
      </w:tblGrid>
      <w:tr w:rsidR="00FB4574" w:rsidRPr="00C8073D" w14:paraId="2662EFA2" w14:textId="77777777">
        <w:tc>
          <w:tcPr>
            <w:tcW w:w="1781" w:type="dxa"/>
            <w:tcBorders>
              <w:top w:val="single" w:sz="6" w:space="0" w:color="auto"/>
              <w:left w:val="single" w:sz="6" w:space="0" w:color="auto"/>
              <w:bottom w:val="single" w:sz="6" w:space="0" w:color="auto"/>
              <w:right w:val="single" w:sz="6" w:space="0" w:color="auto"/>
            </w:tcBorders>
          </w:tcPr>
          <w:p w14:paraId="7E08C9EC" w14:textId="668AD052" w:rsidR="009C3A77" w:rsidRDefault="009C3A77" w:rsidP="00FB4574">
            <w:pPr>
              <w:pStyle w:val="tab"/>
              <w:spacing w:before="60" w:after="60"/>
              <w:jc w:val="left"/>
              <w:rPr>
                <w:rFonts w:ascii="Verdana" w:hAnsi="Verdana" w:cs="Arial"/>
                <w:b/>
                <w:sz w:val="20"/>
                <w:lang w:val="en-GB"/>
              </w:rPr>
            </w:pPr>
            <w:r>
              <w:rPr>
                <w:rFonts w:ascii="Verdana" w:hAnsi="Verdana" w:cs="Arial"/>
                <w:b/>
                <w:sz w:val="20"/>
                <w:lang w:val="en-GB"/>
              </w:rPr>
              <w:t xml:space="preserve">Dates and </w:t>
            </w:r>
          </w:p>
          <w:p w14:paraId="4DD0D0BA" w14:textId="5DB91C88" w:rsidR="00FB4574" w:rsidRPr="006740A2" w:rsidRDefault="00FB4574" w:rsidP="00FB4574">
            <w:pPr>
              <w:pStyle w:val="tab"/>
              <w:spacing w:before="60" w:after="60"/>
              <w:jc w:val="left"/>
              <w:rPr>
                <w:rFonts w:ascii="Verdana" w:hAnsi="Verdana" w:cs="Arial"/>
                <w:b/>
                <w:sz w:val="20"/>
                <w:lang w:val="en-GB"/>
              </w:rPr>
            </w:pPr>
            <w:r w:rsidRPr="006740A2">
              <w:rPr>
                <w:rFonts w:ascii="Verdana" w:hAnsi="Verdana" w:cs="Arial"/>
                <w:b/>
                <w:sz w:val="20"/>
                <w:lang w:val="en-GB"/>
              </w:rPr>
              <w:t>D</w:t>
            </w:r>
            <w:r w:rsidR="009C3A77">
              <w:rPr>
                <w:rFonts w:ascii="Verdana" w:hAnsi="Verdana" w:cs="Arial"/>
                <w:b/>
                <w:sz w:val="20"/>
                <w:lang w:val="en-GB"/>
              </w:rPr>
              <w:t>uration</w:t>
            </w:r>
          </w:p>
          <w:p w14:paraId="5EE441B1" w14:textId="77777777" w:rsidR="00FB4574" w:rsidRPr="006740A2" w:rsidRDefault="00FB4574">
            <w:pPr>
              <w:pStyle w:val="tab"/>
              <w:jc w:val="left"/>
              <w:rPr>
                <w:rFonts w:ascii="Verdana" w:hAnsi="Verdana" w:cs="Arial"/>
                <w:b/>
                <w:sz w:val="20"/>
                <w:lang w:val="en-GB"/>
              </w:rPr>
            </w:pPr>
          </w:p>
        </w:tc>
        <w:tc>
          <w:tcPr>
            <w:tcW w:w="180" w:type="dxa"/>
          </w:tcPr>
          <w:p w14:paraId="75B90022" w14:textId="77777777" w:rsidR="00FB4574" w:rsidRPr="006740A2" w:rsidRDefault="00FB4574">
            <w:pPr>
              <w:pStyle w:val="tab"/>
              <w:rPr>
                <w:rFonts w:ascii="Verdana" w:hAnsi="Verdana" w:cs="Arial"/>
                <w:sz w:val="20"/>
                <w:lang w:val="en-GB"/>
              </w:rPr>
            </w:pPr>
          </w:p>
        </w:tc>
        <w:tc>
          <w:tcPr>
            <w:tcW w:w="7191" w:type="dxa"/>
          </w:tcPr>
          <w:p w14:paraId="55471A93" w14:textId="74BB4064" w:rsidR="004561D5" w:rsidRPr="004561D5" w:rsidRDefault="00C87673" w:rsidP="004561D5">
            <w:pPr>
              <w:pStyle w:val="tab"/>
              <w:tabs>
                <w:tab w:val="clear" w:pos="240"/>
                <w:tab w:val="left" w:pos="300"/>
              </w:tabs>
              <w:autoSpaceDE w:val="0"/>
              <w:autoSpaceDN w:val="0"/>
              <w:adjustRightInd w:val="0"/>
              <w:spacing w:before="80"/>
              <w:rPr>
                <w:rFonts w:ascii="Verdana" w:hAnsi="Verdana"/>
                <w:sz w:val="20"/>
                <w:lang w:val="en-US"/>
              </w:rPr>
            </w:pPr>
            <w:r w:rsidRPr="00C87673">
              <w:rPr>
                <w:rFonts w:ascii="Verdana" w:hAnsi="Verdana"/>
                <w:sz w:val="20"/>
                <w:u w:val="single"/>
                <w:lang w:val="en-US"/>
              </w:rPr>
              <w:t>Online course</w:t>
            </w:r>
            <w:r>
              <w:rPr>
                <w:rFonts w:ascii="Verdana" w:hAnsi="Verdana"/>
                <w:sz w:val="20"/>
                <w:lang w:val="en-US"/>
              </w:rPr>
              <w:t>: f</w:t>
            </w:r>
            <w:r w:rsidR="004561D5" w:rsidRPr="004561D5">
              <w:rPr>
                <w:rFonts w:ascii="Verdana" w:hAnsi="Verdana"/>
                <w:sz w:val="20"/>
                <w:lang w:val="en-US"/>
              </w:rPr>
              <w:t>rom Monday</w:t>
            </w:r>
            <w:r w:rsidR="00300B97">
              <w:rPr>
                <w:rFonts w:ascii="Verdana" w:hAnsi="Verdana"/>
                <w:sz w:val="20"/>
                <w:lang w:val="en-US"/>
              </w:rPr>
              <w:t xml:space="preserve"> </w:t>
            </w:r>
            <w:r>
              <w:rPr>
                <w:rFonts w:ascii="Verdana" w:hAnsi="Verdana"/>
                <w:sz w:val="20"/>
                <w:lang w:val="en-US"/>
              </w:rPr>
              <w:t>7 June</w:t>
            </w:r>
            <w:r w:rsidR="00DA6C61">
              <w:rPr>
                <w:rFonts w:ascii="Verdana" w:hAnsi="Verdana"/>
                <w:sz w:val="20"/>
                <w:lang w:val="en-US"/>
              </w:rPr>
              <w:t xml:space="preserve"> to </w:t>
            </w:r>
            <w:r>
              <w:rPr>
                <w:rFonts w:ascii="Verdana" w:hAnsi="Verdana"/>
                <w:sz w:val="20"/>
                <w:lang w:val="en-US"/>
              </w:rPr>
              <w:t>Wednesday</w:t>
            </w:r>
            <w:r w:rsidR="00300B97">
              <w:rPr>
                <w:rFonts w:ascii="Verdana" w:hAnsi="Verdana"/>
                <w:sz w:val="20"/>
                <w:lang w:val="en-US"/>
              </w:rPr>
              <w:t xml:space="preserve"> 1</w:t>
            </w:r>
            <w:r>
              <w:rPr>
                <w:rFonts w:ascii="Verdana" w:hAnsi="Verdana"/>
                <w:sz w:val="20"/>
                <w:lang w:val="en-US"/>
              </w:rPr>
              <w:t>6</w:t>
            </w:r>
            <w:r w:rsidR="00300B97">
              <w:rPr>
                <w:rFonts w:ascii="Verdana" w:hAnsi="Verdana"/>
                <w:sz w:val="20"/>
                <w:lang w:val="en-US"/>
              </w:rPr>
              <w:t xml:space="preserve"> </w:t>
            </w:r>
            <w:r>
              <w:rPr>
                <w:rFonts w:ascii="Verdana" w:hAnsi="Verdana"/>
                <w:sz w:val="20"/>
                <w:lang w:val="en-US"/>
              </w:rPr>
              <w:t>June</w:t>
            </w:r>
            <w:r w:rsidR="00300B97">
              <w:rPr>
                <w:rFonts w:ascii="Verdana" w:hAnsi="Verdana"/>
                <w:sz w:val="20"/>
                <w:lang w:val="en-US"/>
              </w:rPr>
              <w:t xml:space="preserve"> 202</w:t>
            </w:r>
            <w:r>
              <w:rPr>
                <w:rFonts w:ascii="Verdana" w:hAnsi="Verdana"/>
                <w:sz w:val="20"/>
                <w:lang w:val="en-US"/>
              </w:rPr>
              <w:t>1</w:t>
            </w:r>
            <w:r w:rsidR="00DA6C61">
              <w:rPr>
                <w:rFonts w:ascii="Verdana" w:hAnsi="Verdana"/>
                <w:sz w:val="20"/>
                <w:lang w:val="en-US"/>
              </w:rPr>
              <w:t xml:space="preserve"> </w:t>
            </w:r>
            <w:r w:rsidR="005936A9">
              <w:rPr>
                <w:rFonts w:ascii="Verdana" w:hAnsi="Verdana"/>
                <w:sz w:val="20"/>
                <w:lang w:val="en-US"/>
              </w:rPr>
              <w:t>(</w:t>
            </w:r>
            <w:r>
              <w:rPr>
                <w:rFonts w:ascii="Verdana" w:hAnsi="Verdana"/>
                <w:sz w:val="20"/>
                <w:lang w:val="en-US"/>
              </w:rPr>
              <w:t>8</w:t>
            </w:r>
            <w:r w:rsidR="004561D5" w:rsidRPr="004561D5">
              <w:rPr>
                <w:rFonts w:ascii="Verdana" w:hAnsi="Verdana"/>
                <w:sz w:val="20"/>
                <w:lang w:val="en-US"/>
              </w:rPr>
              <w:t xml:space="preserve"> </w:t>
            </w:r>
            <w:r>
              <w:rPr>
                <w:rFonts w:ascii="Verdana" w:hAnsi="Verdana"/>
                <w:sz w:val="20"/>
                <w:lang w:val="en-US"/>
              </w:rPr>
              <w:t xml:space="preserve">sessions of 4 hours each, from 09:00 to 13:00 </w:t>
            </w:r>
            <w:r w:rsidR="00FB5E8A">
              <w:rPr>
                <w:rFonts w:ascii="Verdana" w:hAnsi="Verdana"/>
                <w:sz w:val="20"/>
                <w:lang w:val="en-US"/>
              </w:rPr>
              <w:t>Luxembourg time</w:t>
            </w:r>
            <w:r w:rsidR="004561D5" w:rsidRPr="004561D5">
              <w:rPr>
                <w:rFonts w:ascii="Verdana" w:hAnsi="Verdana"/>
                <w:sz w:val="20"/>
                <w:lang w:val="en-US"/>
              </w:rPr>
              <w:t>)</w:t>
            </w:r>
          </w:p>
          <w:p w14:paraId="012C9529" w14:textId="4F4BDE44" w:rsidR="00AD5262" w:rsidRPr="00C87673" w:rsidRDefault="00C87673" w:rsidP="00C87673">
            <w:pPr>
              <w:pStyle w:val="tab"/>
              <w:tabs>
                <w:tab w:val="clear" w:pos="240"/>
                <w:tab w:val="left" w:pos="300"/>
              </w:tabs>
              <w:rPr>
                <w:rFonts w:ascii="Verdana" w:hAnsi="Verdana" w:cs="Arial"/>
                <w:sz w:val="20"/>
                <w:lang w:val="en-US"/>
              </w:rPr>
            </w:pPr>
            <w:r w:rsidRPr="00C87673">
              <w:rPr>
                <w:rFonts w:ascii="Verdana" w:hAnsi="Verdana" w:cs="Arial"/>
                <w:sz w:val="20"/>
                <w:u w:val="single"/>
                <w:lang w:val="en-US"/>
              </w:rPr>
              <w:t>Online exam:</w:t>
            </w:r>
            <w:r>
              <w:rPr>
                <w:rFonts w:ascii="Verdana" w:hAnsi="Verdana" w:cs="Arial"/>
                <w:sz w:val="20"/>
                <w:lang w:val="en-US"/>
              </w:rPr>
              <w:t xml:space="preserve"> Thursday 17 June 2021 from 09:00 to 12:00 </w:t>
            </w:r>
            <w:r w:rsidR="00FB5E8A">
              <w:rPr>
                <w:rFonts w:ascii="Verdana" w:hAnsi="Verdana" w:cs="Arial"/>
                <w:sz w:val="20"/>
                <w:lang w:val="en-US"/>
              </w:rPr>
              <w:t>Luxembourg time</w:t>
            </w:r>
          </w:p>
        </w:tc>
      </w:tr>
    </w:tbl>
    <w:p w14:paraId="3C8FD3FF" w14:textId="77777777" w:rsidR="004423D9" w:rsidRDefault="004423D9" w:rsidP="00FB4574">
      <w:pPr>
        <w:rPr>
          <w:rFonts w:ascii="Verdana" w:hAnsi="Verdana" w:cs="Arial"/>
          <w:sz w:val="24"/>
          <w:szCs w:val="24"/>
          <w:lang w:val="en-GB"/>
        </w:rPr>
      </w:pPr>
    </w:p>
    <w:p w14:paraId="74C4C12D" w14:textId="77777777" w:rsidR="00F53E67" w:rsidRPr="006740A2" w:rsidRDefault="00F53E67" w:rsidP="00FB4574">
      <w:pPr>
        <w:rPr>
          <w:rFonts w:ascii="Verdana" w:hAnsi="Verdana" w:cs="Arial"/>
          <w:sz w:val="24"/>
          <w:szCs w:val="24"/>
          <w:lang w:val="en-GB"/>
        </w:rPr>
      </w:pPr>
    </w:p>
    <w:p w14:paraId="4E63AE97" w14:textId="34EE7A60" w:rsidR="00FB4574" w:rsidRPr="006740A2" w:rsidRDefault="005936A9" w:rsidP="00FB4574">
      <w:pPr>
        <w:rPr>
          <w:rFonts w:ascii="Verdana" w:hAnsi="Verdana" w:cs="Arial"/>
          <w:sz w:val="24"/>
          <w:szCs w:val="24"/>
          <w:lang w:val="en-GB"/>
        </w:rPr>
      </w:pPr>
      <w:r>
        <w:rPr>
          <w:rFonts w:ascii="Verdana" w:hAnsi="Verdana" w:cs="Arial"/>
          <w:sz w:val="24"/>
          <w:szCs w:val="24"/>
          <w:lang w:val="en-GB"/>
        </w:rPr>
        <w:br w:type="page"/>
      </w:r>
    </w:p>
    <w:p w14:paraId="612DA7ED" w14:textId="77777777" w:rsidR="00B97005" w:rsidRPr="006740A2" w:rsidRDefault="00B97005" w:rsidP="00526A42">
      <w:pPr>
        <w:pStyle w:val="tab"/>
        <w:pBdr>
          <w:top w:val="single" w:sz="6" w:space="1" w:color="auto"/>
        </w:pBdr>
        <w:ind w:right="-292"/>
        <w:rPr>
          <w:rFonts w:ascii="Verdana" w:hAnsi="Verdana" w:cs="Arial"/>
          <w:b/>
          <w:sz w:val="20"/>
          <w:lang w:val="en-GB"/>
        </w:rPr>
      </w:pPr>
    </w:p>
    <w:p w14:paraId="2F901D78" w14:textId="77777777" w:rsidR="00B97005" w:rsidRPr="006740A2" w:rsidRDefault="00B97005" w:rsidP="00B97005">
      <w:pPr>
        <w:pStyle w:val="tab"/>
        <w:ind w:right="-292"/>
        <w:jc w:val="center"/>
        <w:rPr>
          <w:rFonts w:ascii="Verdana" w:hAnsi="Verdana" w:cs="Arial"/>
          <w:b/>
          <w:caps/>
          <w:sz w:val="20"/>
          <w:lang w:val="en-GB"/>
        </w:rPr>
      </w:pPr>
      <w:r w:rsidRPr="006740A2">
        <w:rPr>
          <w:rFonts w:ascii="Verdana" w:hAnsi="Verdana" w:cs="Arial"/>
          <w:b/>
          <w:caps/>
          <w:sz w:val="20"/>
          <w:lang w:val="en-GB"/>
        </w:rPr>
        <w:t>Capital Markets Back-Office Certification Programme (CAMBOC)</w:t>
      </w:r>
    </w:p>
    <w:p w14:paraId="46C74D6D" w14:textId="77777777" w:rsidR="00B97005" w:rsidRPr="006740A2" w:rsidRDefault="00B97005" w:rsidP="00B97005">
      <w:pPr>
        <w:pStyle w:val="tab"/>
        <w:ind w:right="-292"/>
        <w:jc w:val="center"/>
        <w:rPr>
          <w:rFonts w:ascii="Verdana" w:hAnsi="Verdana" w:cs="Arial"/>
          <w:sz w:val="20"/>
          <w:lang w:val="en-GB"/>
        </w:rPr>
      </w:pPr>
      <w:r w:rsidRPr="006740A2">
        <w:rPr>
          <w:rFonts w:ascii="Verdana" w:hAnsi="Verdana" w:cs="Arial"/>
          <w:caps/>
          <w:sz w:val="20"/>
          <w:lang w:val="en-GB"/>
        </w:rPr>
        <w:t>Mastering SECURITIES Back-office Operations</w:t>
      </w:r>
    </w:p>
    <w:p w14:paraId="66F2175A" w14:textId="2ABBA683" w:rsidR="00FB4574" w:rsidRPr="006740A2" w:rsidRDefault="00FB4574" w:rsidP="000C3C7F">
      <w:pPr>
        <w:pStyle w:val="tab"/>
        <w:pBdr>
          <w:bottom w:val="single" w:sz="6" w:space="1" w:color="auto"/>
        </w:pBdr>
        <w:spacing w:before="120"/>
        <w:ind w:left="-142" w:right="-289"/>
        <w:jc w:val="center"/>
        <w:rPr>
          <w:rFonts w:ascii="Verdana" w:hAnsi="Verdana" w:cs="Arial"/>
          <w:b/>
          <w:sz w:val="20"/>
          <w:lang w:val="en-GB"/>
        </w:rPr>
      </w:pPr>
      <w:r w:rsidRPr="006740A2">
        <w:rPr>
          <w:rFonts w:ascii="Verdana" w:hAnsi="Verdana" w:cs="Arial"/>
          <w:b/>
          <w:sz w:val="20"/>
          <w:lang w:val="en-GB"/>
        </w:rPr>
        <w:t>PROGRAMME</w:t>
      </w:r>
    </w:p>
    <w:p w14:paraId="7076BFD8" w14:textId="77777777" w:rsidR="005936A9" w:rsidRDefault="005936A9" w:rsidP="005936A9">
      <w:pPr>
        <w:jc w:val="both"/>
        <w:rPr>
          <w:rFonts w:ascii="Verdana" w:hAnsi="Verdana" w:cs="Arial"/>
          <w:b/>
          <w:color w:val="000000"/>
          <w:u w:val="single"/>
          <w:lang w:val="en-GB"/>
        </w:rPr>
      </w:pPr>
    </w:p>
    <w:p w14:paraId="16AAADBE" w14:textId="088F618B" w:rsidR="005936A9" w:rsidRDefault="005936A9" w:rsidP="005936A9">
      <w:pPr>
        <w:pBdr>
          <w:top w:val="single" w:sz="4" w:space="1" w:color="auto"/>
          <w:left w:val="single" w:sz="4" w:space="4" w:color="auto"/>
          <w:bottom w:val="single" w:sz="4" w:space="1" w:color="auto"/>
          <w:right w:val="single" w:sz="4" w:space="4" w:color="auto"/>
        </w:pBdr>
        <w:jc w:val="center"/>
        <w:rPr>
          <w:rFonts w:ascii="Verdana" w:hAnsi="Verdana" w:cs="Arial"/>
          <w:b/>
          <w:color w:val="000000"/>
          <w:u w:val="single"/>
          <w:lang w:val="en-GB"/>
        </w:rPr>
      </w:pPr>
      <w:r w:rsidRPr="00F97242">
        <w:rPr>
          <w:rFonts w:ascii="Verdana" w:hAnsi="Verdana" w:cs="Arial"/>
          <w:b/>
          <w:color w:val="000000"/>
          <w:u w:val="single"/>
          <w:lang w:val="en-GB"/>
        </w:rPr>
        <w:t xml:space="preserve">PART </w:t>
      </w:r>
      <w:r w:rsidR="00AC1FB2" w:rsidRPr="00F97242">
        <w:rPr>
          <w:rFonts w:ascii="Verdana" w:hAnsi="Verdana" w:cs="Arial"/>
          <w:b/>
          <w:color w:val="000000"/>
          <w:u w:val="single"/>
          <w:lang w:val="en-GB"/>
        </w:rPr>
        <w:t>1:</w:t>
      </w:r>
    </w:p>
    <w:p w14:paraId="2CD817A2" w14:textId="2F0B15C9" w:rsidR="005936A9" w:rsidRPr="00044639" w:rsidRDefault="00267507" w:rsidP="00044639">
      <w:pPr>
        <w:pBdr>
          <w:top w:val="single" w:sz="4" w:space="1" w:color="auto"/>
          <w:left w:val="single" w:sz="4" w:space="4" w:color="auto"/>
          <w:bottom w:val="single" w:sz="4" w:space="1" w:color="auto"/>
          <w:right w:val="single" w:sz="4" w:space="4" w:color="auto"/>
        </w:pBdr>
        <w:jc w:val="center"/>
        <w:rPr>
          <w:rFonts w:ascii="Verdana" w:hAnsi="Verdana" w:cs="Arial"/>
          <w:b/>
          <w:color w:val="000000"/>
          <w:u w:val="single"/>
          <w:lang w:val="en-US"/>
        </w:rPr>
      </w:pPr>
      <w:r w:rsidRPr="00267507">
        <w:rPr>
          <w:rFonts w:ascii="Verdana" w:hAnsi="Verdana"/>
          <w:b/>
          <w:lang w:val="en-US"/>
        </w:rPr>
        <w:t>E-LEARNING</w:t>
      </w:r>
      <w:r>
        <w:rPr>
          <w:rFonts w:ascii="Verdana" w:hAnsi="Verdana"/>
          <w:b/>
          <w:i/>
          <w:lang w:val="en-US"/>
        </w:rPr>
        <w:t xml:space="preserve"> </w:t>
      </w:r>
      <w:r w:rsidR="005936A9" w:rsidRPr="00F97242">
        <w:rPr>
          <w:rFonts w:ascii="Verdana" w:hAnsi="Verdana"/>
          <w:b/>
          <w:i/>
          <w:lang w:val="en-US"/>
        </w:rPr>
        <w:t>International Financial Markets</w:t>
      </w:r>
    </w:p>
    <w:p w14:paraId="790F71DF" w14:textId="77777777" w:rsidR="00044639" w:rsidRDefault="00044639" w:rsidP="005936A9">
      <w:pPr>
        <w:spacing w:before="120" w:after="120"/>
        <w:ind w:right="-285"/>
        <w:jc w:val="both"/>
        <w:rPr>
          <w:rFonts w:ascii="Verdana" w:hAnsi="Verdana"/>
          <w:lang w:val="en-GB"/>
        </w:rPr>
      </w:pPr>
    </w:p>
    <w:p w14:paraId="609077EA" w14:textId="77777777" w:rsidR="005936A9" w:rsidRPr="00F97242" w:rsidRDefault="005936A9" w:rsidP="005936A9">
      <w:pPr>
        <w:spacing w:before="120" w:after="120"/>
        <w:ind w:right="-285"/>
        <w:jc w:val="both"/>
        <w:rPr>
          <w:rFonts w:ascii="Verdana" w:hAnsi="Verdana"/>
          <w:lang w:val="en-GB"/>
        </w:rPr>
      </w:pPr>
      <w:r w:rsidRPr="00F97242">
        <w:rPr>
          <w:rFonts w:ascii="Verdana" w:hAnsi="Verdana"/>
          <w:lang w:val="en-GB"/>
        </w:rPr>
        <w:t>The objective of this part is to provide the participants with a good understanding of financial markets, the financial instruments traded in them, the key players in financial markets and the activities that they perform.</w:t>
      </w:r>
    </w:p>
    <w:p w14:paraId="2155283F" w14:textId="5D69D82B" w:rsidR="005936A9" w:rsidRPr="00F97242" w:rsidRDefault="005936A9" w:rsidP="005936A9">
      <w:pPr>
        <w:spacing w:before="120" w:after="120"/>
        <w:ind w:right="-285"/>
        <w:jc w:val="both"/>
        <w:rPr>
          <w:rFonts w:ascii="Verdana" w:hAnsi="Verdana"/>
          <w:lang w:val="en-GB"/>
        </w:rPr>
      </w:pPr>
      <w:r w:rsidRPr="00F97242">
        <w:rPr>
          <w:rFonts w:ascii="Verdana" w:hAnsi="Verdana"/>
          <w:lang w:val="en-GB"/>
        </w:rPr>
        <w:t>Participants will have access to the E-learning course on a 24/7 basis through the Internet for a period of 6 months</w:t>
      </w:r>
      <w:r>
        <w:rPr>
          <w:rFonts w:ascii="Verdana" w:hAnsi="Verdana"/>
          <w:lang w:val="en-GB"/>
        </w:rPr>
        <w:t xml:space="preserve"> </w:t>
      </w:r>
      <w:r w:rsidR="00267507">
        <w:rPr>
          <w:rFonts w:ascii="Verdana" w:hAnsi="Verdana"/>
          <w:lang w:val="en-GB"/>
        </w:rPr>
        <w:t xml:space="preserve">from </w:t>
      </w:r>
      <w:r>
        <w:rPr>
          <w:rFonts w:ascii="Verdana" w:hAnsi="Verdana"/>
          <w:lang w:val="en-GB"/>
        </w:rPr>
        <w:t>the selection date on</w:t>
      </w:r>
      <w:r w:rsidR="00267507">
        <w:rPr>
          <w:rFonts w:ascii="Verdana" w:hAnsi="Verdana"/>
          <w:lang w:val="en-GB"/>
        </w:rPr>
        <w:t>ward</w:t>
      </w:r>
      <w:r w:rsidRPr="00F97242">
        <w:rPr>
          <w:rFonts w:ascii="Verdana" w:hAnsi="Verdana"/>
          <w:lang w:val="en-GB"/>
        </w:rPr>
        <w:t>. They will be able to log-on and log-off the course as many times as they would like.</w:t>
      </w:r>
    </w:p>
    <w:p w14:paraId="5AF5C35D" w14:textId="20E2A78D" w:rsidR="005936A9" w:rsidRPr="00F97242" w:rsidRDefault="005936A9" w:rsidP="005936A9">
      <w:pPr>
        <w:spacing w:before="120" w:after="120"/>
        <w:ind w:right="-285"/>
        <w:jc w:val="both"/>
        <w:rPr>
          <w:rFonts w:ascii="Verdana" w:hAnsi="Verdana"/>
          <w:lang w:val="en-GB"/>
        </w:rPr>
      </w:pPr>
      <w:r w:rsidRPr="00F97242">
        <w:rPr>
          <w:rFonts w:ascii="Verdana" w:hAnsi="Verdana"/>
          <w:lang w:val="en-GB"/>
        </w:rPr>
        <w:t>The instructor-led part will start where the E-learning finishes</w:t>
      </w:r>
      <w:r w:rsidR="00267507">
        <w:rPr>
          <w:rFonts w:ascii="Verdana" w:hAnsi="Verdana"/>
          <w:lang w:val="en-GB"/>
        </w:rPr>
        <w:t>. C</w:t>
      </w:r>
      <w:r w:rsidRPr="00F97242">
        <w:rPr>
          <w:rFonts w:ascii="Verdana" w:hAnsi="Verdana"/>
          <w:lang w:val="en-GB"/>
        </w:rPr>
        <w:t>ompleting the E-learning course</w:t>
      </w:r>
      <w:r w:rsidR="00267507">
        <w:rPr>
          <w:rFonts w:ascii="Verdana" w:hAnsi="Verdana"/>
          <w:lang w:val="en-GB"/>
        </w:rPr>
        <w:t xml:space="preserve"> with a score of at least 60%, therefore,</w:t>
      </w:r>
      <w:r w:rsidRPr="00F97242">
        <w:rPr>
          <w:rFonts w:ascii="Verdana" w:hAnsi="Verdana"/>
          <w:lang w:val="en-GB"/>
        </w:rPr>
        <w:t xml:space="preserve"> is </w:t>
      </w:r>
      <w:r w:rsidRPr="00F97242">
        <w:rPr>
          <w:rFonts w:ascii="Verdana" w:hAnsi="Verdana"/>
          <w:b/>
          <w:lang w:val="en-GB"/>
        </w:rPr>
        <w:t>a prerequisite for the ILT part</w:t>
      </w:r>
      <w:r w:rsidR="00267507">
        <w:rPr>
          <w:rFonts w:ascii="Verdana" w:hAnsi="Verdana"/>
          <w:lang w:val="en-GB"/>
        </w:rPr>
        <w:t xml:space="preserve"> of the programme.</w:t>
      </w:r>
    </w:p>
    <w:p w14:paraId="2154B5C2" w14:textId="03326A7D" w:rsidR="005936A9" w:rsidRPr="0018207E" w:rsidRDefault="005936A9" w:rsidP="005936A9">
      <w:pPr>
        <w:spacing w:before="120" w:after="120"/>
        <w:ind w:right="-285"/>
        <w:jc w:val="both"/>
        <w:rPr>
          <w:rFonts w:ascii="Verdana" w:hAnsi="Verdana"/>
          <w:lang w:val="en-GB"/>
        </w:rPr>
      </w:pPr>
      <w:r w:rsidRPr="0018207E">
        <w:rPr>
          <w:rFonts w:ascii="Verdana" w:hAnsi="Verdana"/>
          <w:lang w:val="en-GB"/>
        </w:rPr>
        <w:t xml:space="preserve">The specific </w:t>
      </w:r>
      <w:r w:rsidR="00267507" w:rsidRPr="0018207E">
        <w:rPr>
          <w:rFonts w:ascii="Verdana" w:hAnsi="Verdana"/>
          <w:lang w:val="en-GB"/>
        </w:rPr>
        <w:t xml:space="preserve">content of </w:t>
      </w:r>
      <w:r w:rsidRPr="0018207E">
        <w:rPr>
          <w:rFonts w:ascii="Verdana" w:hAnsi="Verdana"/>
          <w:lang w:val="en-GB"/>
        </w:rPr>
        <w:t>the E-learning course is the following:</w:t>
      </w:r>
    </w:p>
    <w:p w14:paraId="6CCD6FAA" w14:textId="77777777" w:rsidR="005936A9" w:rsidRPr="0018207E" w:rsidRDefault="005936A9" w:rsidP="005936A9">
      <w:pPr>
        <w:numPr>
          <w:ilvl w:val="0"/>
          <w:numId w:val="46"/>
        </w:numPr>
        <w:ind w:left="714" w:right="-284" w:hanging="357"/>
        <w:jc w:val="both"/>
        <w:rPr>
          <w:rFonts w:ascii="Verdana" w:hAnsi="Verdana"/>
          <w:lang w:val="en-GB"/>
        </w:rPr>
      </w:pPr>
      <w:r w:rsidRPr="0018207E">
        <w:rPr>
          <w:rFonts w:ascii="Verdana" w:hAnsi="Verdana"/>
          <w:lang w:val="en-GB"/>
        </w:rPr>
        <w:t>Financial Markets</w:t>
      </w:r>
    </w:p>
    <w:p w14:paraId="2041B7E8" w14:textId="77777777" w:rsidR="005936A9" w:rsidRPr="0018207E" w:rsidRDefault="005936A9" w:rsidP="005936A9">
      <w:pPr>
        <w:numPr>
          <w:ilvl w:val="0"/>
          <w:numId w:val="46"/>
        </w:numPr>
        <w:spacing w:before="40"/>
        <w:ind w:left="714" w:right="-284" w:hanging="357"/>
        <w:jc w:val="both"/>
        <w:rPr>
          <w:rFonts w:ascii="Verdana" w:hAnsi="Verdana"/>
          <w:lang w:val="en-GB"/>
        </w:rPr>
      </w:pPr>
      <w:r w:rsidRPr="0018207E">
        <w:rPr>
          <w:rFonts w:ascii="Verdana" w:hAnsi="Verdana"/>
          <w:lang w:val="en-GB"/>
        </w:rPr>
        <w:t>Financial Instruments: Securities</w:t>
      </w:r>
    </w:p>
    <w:p w14:paraId="14390F88" w14:textId="77777777" w:rsidR="005936A9" w:rsidRPr="0018207E" w:rsidRDefault="005936A9" w:rsidP="005936A9">
      <w:pPr>
        <w:numPr>
          <w:ilvl w:val="0"/>
          <w:numId w:val="46"/>
        </w:numPr>
        <w:spacing w:before="40"/>
        <w:ind w:left="714" w:right="-284" w:hanging="357"/>
        <w:jc w:val="both"/>
        <w:rPr>
          <w:rFonts w:ascii="Verdana" w:hAnsi="Verdana"/>
          <w:lang w:val="en-GB"/>
        </w:rPr>
      </w:pPr>
      <w:r w:rsidRPr="0018207E">
        <w:rPr>
          <w:rFonts w:ascii="Verdana" w:hAnsi="Verdana"/>
          <w:lang w:val="en-GB"/>
        </w:rPr>
        <w:t>Financial Instruments: Derivatives and Investment Funds</w:t>
      </w:r>
    </w:p>
    <w:p w14:paraId="6C159C7C" w14:textId="77777777" w:rsidR="005936A9" w:rsidRPr="0018207E" w:rsidRDefault="005936A9" w:rsidP="005936A9">
      <w:pPr>
        <w:numPr>
          <w:ilvl w:val="0"/>
          <w:numId w:val="46"/>
        </w:numPr>
        <w:spacing w:before="40"/>
        <w:ind w:left="714" w:right="-284" w:hanging="357"/>
        <w:jc w:val="both"/>
        <w:rPr>
          <w:rFonts w:ascii="Verdana" w:hAnsi="Verdana"/>
          <w:lang w:val="en-GB"/>
        </w:rPr>
      </w:pPr>
      <w:r w:rsidRPr="0018207E">
        <w:rPr>
          <w:rFonts w:ascii="Verdana" w:hAnsi="Verdana"/>
          <w:lang w:val="en-GB"/>
        </w:rPr>
        <w:t>Market Activities</w:t>
      </w:r>
    </w:p>
    <w:p w14:paraId="14213736" w14:textId="77777777" w:rsidR="005936A9" w:rsidRPr="0018207E" w:rsidRDefault="005936A9" w:rsidP="005936A9">
      <w:pPr>
        <w:numPr>
          <w:ilvl w:val="0"/>
          <w:numId w:val="46"/>
        </w:numPr>
        <w:spacing w:before="40"/>
        <w:ind w:left="714" w:right="-284" w:hanging="357"/>
        <w:jc w:val="both"/>
        <w:rPr>
          <w:rFonts w:ascii="Verdana" w:hAnsi="Verdana"/>
          <w:lang w:val="en-GB"/>
        </w:rPr>
      </w:pPr>
      <w:r w:rsidRPr="0018207E">
        <w:rPr>
          <w:rFonts w:ascii="Verdana" w:hAnsi="Verdana"/>
          <w:lang w:val="en-GB"/>
        </w:rPr>
        <w:t>Market Players</w:t>
      </w:r>
    </w:p>
    <w:p w14:paraId="594FD753" w14:textId="77777777" w:rsidR="005936A9" w:rsidRPr="0018207E" w:rsidRDefault="005936A9" w:rsidP="005936A9">
      <w:pPr>
        <w:numPr>
          <w:ilvl w:val="0"/>
          <w:numId w:val="46"/>
        </w:numPr>
        <w:spacing w:before="40"/>
        <w:ind w:left="714" w:right="-284" w:hanging="357"/>
        <w:jc w:val="both"/>
        <w:rPr>
          <w:rFonts w:ascii="Verdana" w:hAnsi="Verdana"/>
          <w:lang w:val="en-GB"/>
        </w:rPr>
      </w:pPr>
      <w:r w:rsidRPr="0018207E">
        <w:rPr>
          <w:rFonts w:ascii="Verdana" w:hAnsi="Verdana"/>
          <w:lang w:val="en-GB"/>
        </w:rPr>
        <w:t>Future Trends</w:t>
      </w:r>
    </w:p>
    <w:p w14:paraId="3578C653" w14:textId="77777777" w:rsidR="00B0509A" w:rsidRDefault="00B0509A" w:rsidP="005936A9">
      <w:pPr>
        <w:spacing w:before="120" w:after="120"/>
        <w:ind w:right="-285"/>
        <w:jc w:val="both"/>
        <w:rPr>
          <w:rFonts w:ascii="Verdana" w:hAnsi="Verdana"/>
          <w:lang w:val="en-GB"/>
        </w:rPr>
      </w:pPr>
    </w:p>
    <w:p w14:paraId="67047AA5" w14:textId="1A5C0D84" w:rsidR="005936A9" w:rsidRPr="00F97242" w:rsidRDefault="00B0509A" w:rsidP="005936A9">
      <w:pPr>
        <w:spacing w:before="120" w:after="120"/>
        <w:ind w:right="-285"/>
        <w:jc w:val="both"/>
        <w:rPr>
          <w:rFonts w:ascii="Verdana" w:hAnsi="Verdana"/>
          <w:lang w:val="en-GB"/>
        </w:rPr>
      </w:pPr>
      <w:r>
        <w:rPr>
          <w:rFonts w:ascii="Verdana" w:hAnsi="Verdana"/>
          <w:lang w:val="en-GB"/>
        </w:rPr>
        <w:t xml:space="preserve">The </w:t>
      </w:r>
      <w:r w:rsidR="005936A9" w:rsidRPr="00F97242">
        <w:rPr>
          <w:rFonts w:ascii="Verdana" w:hAnsi="Verdana"/>
          <w:lang w:val="en-GB"/>
        </w:rPr>
        <w:t>last chapter of the E-learning course is a test, which participants are expected to pass to confirm the knowledge that they acquired b</w:t>
      </w:r>
      <w:r w:rsidR="00390EF2">
        <w:rPr>
          <w:rFonts w:ascii="Verdana" w:hAnsi="Verdana"/>
          <w:lang w:val="en-GB"/>
        </w:rPr>
        <w:t>efore beginning the ILT course.</w:t>
      </w:r>
    </w:p>
    <w:p w14:paraId="31E1F092" w14:textId="77777777" w:rsidR="005936A9" w:rsidRDefault="005936A9" w:rsidP="005936A9">
      <w:pPr>
        <w:pBdr>
          <w:top w:val="single" w:sz="4" w:space="1" w:color="auto"/>
          <w:left w:val="single" w:sz="4" w:space="4" w:color="auto"/>
          <w:bottom w:val="single" w:sz="4" w:space="1" w:color="auto"/>
          <w:right w:val="single" w:sz="4" w:space="4" w:color="auto"/>
        </w:pBdr>
        <w:jc w:val="center"/>
        <w:rPr>
          <w:rFonts w:ascii="Verdana" w:hAnsi="Verdana" w:cs="Arial"/>
          <w:b/>
          <w:color w:val="000000"/>
          <w:u w:val="single"/>
          <w:lang w:val="en-GB"/>
        </w:rPr>
      </w:pPr>
      <w:r>
        <w:rPr>
          <w:rFonts w:ascii="Verdana" w:hAnsi="Verdana" w:cs="Arial"/>
          <w:b/>
          <w:color w:val="000000"/>
          <w:u w:val="single"/>
          <w:lang w:val="en-GB"/>
        </w:rPr>
        <w:t>PART 2</w:t>
      </w:r>
      <w:r w:rsidRPr="00F97242">
        <w:rPr>
          <w:rFonts w:ascii="Verdana" w:hAnsi="Verdana" w:cs="Arial"/>
          <w:b/>
          <w:color w:val="000000"/>
          <w:u w:val="single"/>
          <w:lang w:val="en-GB"/>
        </w:rPr>
        <w:t>:</w:t>
      </w:r>
    </w:p>
    <w:p w14:paraId="04BCA6D3" w14:textId="46F0D023" w:rsidR="00F020A2" w:rsidRDefault="005936A9" w:rsidP="00D974EA">
      <w:pPr>
        <w:pBdr>
          <w:top w:val="single" w:sz="4" w:space="1" w:color="auto"/>
          <w:left w:val="single" w:sz="4" w:space="4" w:color="auto"/>
          <w:bottom w:val="single" w:sz="4" w:space="1" w:color="auto"/>
          <w:right w:val="single" w:sz="4" w:space="4" w:color="auto"/>
        </w:pBdr>
        <w:jc w:val="center"/>
        <w:rPr>
          <w:rFonts w:ascii="Verdana" w:hAnsi="Verdana"/>
          <w:b/>
          <w:i/>
          <w:lang w:val="en-US"/>
        </w:rPr>
      </w:pPr>
      <w:r>
        <w:rPr>
          <w:rFonts w:ascii="Verdana" w:hAnsi="Verdana"/>
          <w:b/>
          <w:i/>
          <w:lang w:val="en-US"/>
        </w:rPr>
        <w:t>INSTRUCTOR-LED PART in Luxembourg from</w:t>
      </w:r>
      <w:r w:rsidRPr="00F97242">
        <w:rPr>
          <w:rFonts w:ascii="Verdana" w:hAnsi="Verdana"/>
          <w:b/>
          <w:i/>
          <w:lang w:val="en-US"/>
        </w:rPr>
        <w:t xml:space="preserve"> </w:t>
      </w:r>
      <w:r w:rsidR="00D974EA">
        <w:rPr>
          <w:rFonts w:ascii="Verdana" w:hAnsi="Verdana"/>
          <w:b/>
          <w:i/>
          <w:lang w:val="en-US"/>
        </w:rPr>
        <w:t>7</w:t>
      </w:r>
      <w:r w:rsidR="0064554F">
        <w:rPr>
          <w:rFonts w:ascii="Verdana" w:hAnsi="Verdana"/>
          <w:b/>
          <w:i/>
          <w:lang w:val="en-US"/>
        </w:rPr>
        <w:t xml:space="preserve"> </w:t>
      </w:r>
      <w:r w:rsidR="00D974EA">
        <w:rPr>
          <w:rFonts w:ascii="Verdana" w:hAnsi="Verdana"/>
          <w:b/>
          <w:i/>
          <w:lang w:val="en-US"/>
        </w:rPr>
        <w:t>to</w:t>
      </w:r>
      <w:r w:rsidR="0064554F">
        <w:rPr>
          <w:rFonts w:ascii="Verdana" w:hAnsi="Verdana"/>
          <w:b/>
          <w:i/>
          <w:lang w:val="en-US"/>
        </w:rPr>
        <w:t xml:space="preserve"> </w:t>
      </w:r>
      <w:r w:rsidR="00D974EA">
        <w:rPr>
          <w:rFonts w:ascii="Verdana" w:hAnsi="Verdana"/>
          <w:b/>
          <w:i/>
          <w:lang w:val="en-US"/>
        </w:rPr>
        <w:t>16 June</w:t>
      </w:r>
      <w:r w:rsidR="00390EF2">
        <w:rPr>
          <w:rFonts w:ascii="Verdana" w:hAnsi="Verdana"/>
          <w:b/>
          <w:i/>
          <w:lang w:val="en-US"/>
        </w:rPr>
        <w:t xml:space="preserve"> </w:t>
      </w:r>
      <w:r>
        <w:rPr>
          <w:rFonts w:ascii="Verdana" w:hAnsi="Verdana"/>
          <w:b/>
          <w:i/>
          <w:lang w:val="en-US"/>
        </w:rPr>
        <w:t>20</w:t>
      </w:r>
      <w:r w:rsidR="0064554F">
        <w:rPr>
          <w:rFonts w:ascii="Verdana" w:hAnsi="Verdana"/>
          <w:b/>
          <w:i/>
          <w:lang w:val="en-US"/>
        </w:rPr>
        <w:t>2</w:t>
      </w:r>
      <w:r w:rsidR="00D974EA">
        <w:rPr>
          <w:rFonts w:ascii="Verdana" w:hAnsi="Verdana"/>
          <w:b/>
          <w:i/>
          <w:lang w:val="en-US"/>
        </w:rPr>
        <w:t>1</w:t>
      </w:r>
    </w:p>
    <w:p w14:paraId="1E873DF9" w14:textId="20981079" w:rsidR="008033B4" w:rsidRPr="00044639" w:rsidRDefault="008033B4" w:rsidP="00044639">
      <w:pPr>
        <w:pBdr>
          <w:top w:val="single" w:sz="4" w:space="1" w:color="auto"/>
          <w:left w:val="single" w:sz="4" w:space="4" w:color="auto"/>
          <w:bottom w:val="single" w:sz="4" w:space="1" w:color="auto"/>
          <w:right w:val="single" w:sz="4" w:space="4" w:color="auto"/>
        </w:pBdr>
        <w:jc w:val="center"/>
        <w:rPr>
          <w:rFonts w:ascii="Verdana" w:hAnsi="Verdana" w:cs="Arial"/>
          <w:b/>
          <w:color w:val="000000"/>
          <w:u w:val="single"/>
          <w:lang w:val="en-US"/>
        </w:rPr>
      </w:pPr>
      <w:r>
        <w:rPr>
          <w:rFonts w:ascii="Verdana" w:hAnsi="Verdana"/>
          <w:b/>
          <w:i/>
          <w:lang w:val="en-US"/>
        </w:rPr>
        <w:t>CONTENT</w:t>
      </w:r>
    </w:p>
    <w:p w14:paraId="26AA2F2A" w14:textId="77777777" w:rsidR="00044639" w:rsidRPr="00564CD0" w:rsidRDefault="00044639" w:rsidP="00180C68">
      <w:pPr>
        <w:rPr>
          <w:rFonts w:ascii="Verdana" w:hAnsi="Verdana"/>
          <w:b/>
          <w:u w:val="single"/>
          <w:lang w:val="en-US"/>
        </w:rPr>
      </w:pPr>
    </w:p>
    <w:p w14:paraId="7A5B2A8E" w14:textId="5188BE13" w:rsidR="00C76F62" w:rsidRPr="007976FF" w:rsidRDefault="00C76F62" w:rsidP="00C76F62">
      <w:pPr>
        <w:shd w:val="clear" w:color="auto" w:fill="FFFFFF"/>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 xml:space="preserve">The </w:t>
      </w:r>
      <w:proofErr w:type="spellStart"/>
      <w:r w:rsidRPr="007976FF">
        <w:rPr>
          <w:rFonts w:ascii="Verdana" w:eastAsia="Times New Roman" w:hAnsi="Verdana" w:cs="Arial"/>
          <w:color w:val="25262F"/>
          <w:lang w:val="en-US" w:eastAsia="fr-LU"/>
        </w:rPr>
        <w:t>progra</w:t>
      </w:r>
      <w:r>
        <w:rPr>
          <w:rFonts w:ascii="Verdana" w:eastAsia="Times New Roman" w:hAnsi="Verdana" w:cs="Arial"/>
          <w:color w:val="25262F"/>
          <w:lang w:val="en-US" w:eastAsia="fr-LU"/>
        </w:rPr>
        <w:t>mme</w:t>
      </w:r>
      <w:proofErr w:type="spellEnd"/>
      <w:r>
        <w:rPr>
          <w:rFonts w:ascii="Verdana" w:eastAsia="Times New Roman" w:hAnsi="Verdana" w:cs="Arial"/>
          <w:color w:val="25262F"/>
          <w:lang w:val="en-US" w:eastAsia="fr-LU"/>
        </w:rPr>
        <w:t xml:space="preserve"> covers the following topics</w:t>
      </w:r>
      <w:r w:rsidRPr="007976FF">
        <w:rPr>
          <w:rFonts w:ascii="Verdana" w:eastAsia="Times New Roman" w:hAnsi="Verdana" w:cs="Arial"/>
          <w:color w:val="25262F"/>
          <w:lang w:val="en-US" w:eastAsia="fr-LU"/>
        </w:rPr>
        <w:t>:</w:t>
      </w:r>
    </w:p>
    <w:p w14:paraId="167C8FB6"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Definitions</w:t>
      </w:r>
      <w:proofErr w:type="spellEnd"/>
      <w:r w:rsidRPr="007976FF">
        <w:rPr>
          <w:rFonts w:ascii="Verdana" w:eastAsia="Times New Roman" w:hAnsi="Verdana" w:cs="Arial"/>
          <w:color w:val="25262F"/>
          <w:lang w:eastAsia="fr-LU"/>
        </w:rPr>
        <w:t> </w:t>
      </w:r>
    </w:p>
    <w:p w14:paraId="43A1F1FD"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r w:rsidRPr="007976FF">
        <w:rPr>
          <w:rFonts w:ascii="Verdana" w:eastAsia="Times New Roman" w:hAnsi="Verdana" w:cs="Arial"/>
          <w:color w:val="25262F"/>
          <w:lang w:eastAsia="fr-LU"/>
        </w:rPr>
        <w:t>ISO standards, codes</w:t>
      </w:r>
    </w:p>
    <w:p w14:paraId="36CD4B94"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r w:rsidRPr="007976FF">
        <w:rPr>
          <w:rFonts w:ascii="Verdana" w:eastAsia="Times New Roman" w:hAnsi="Verdana" w:cs="Arial"/>
          <w:color w:val="25262F"/>
          <w:lang w:eastAsia="fr-LU"/>
        </w:rPr>
        <w:t xml:space="preserve">Classification </w:t>
      </w:r>
      <w:proofErr w:type="spellStart"/>
      <w:r w:rsidRPr="007976FF">
        <w:rPr>
          <w:rFonts w:ascii="Verdana" w:eastAsia="Times New Roman" w:hAnsi="Verdana" w:cs="Arial"/>
          <w:color w:val="25262F"/>
          <w:lang w:eastAsia="fr-LU"/>
        </w:rPr>
        <w:t>scheme</w:t>
      </w:r>
      <w:proofErr w:type="spellEnd"/>
      <w:r w:rsidRPr="007976FF">
        <w:rPr>
          <w:rFonts w:ascii="Verdana" w:eastAsia="Times New Roman" w:hAnsi="Verdana" w:cs="Arial"/>
          <w:color w:val="25262F"/>
          <w:lang w:eastAsia="fr-LU"/>
        </w:rPr>
        <w:t xml:space="preserve"> for </w:t>
      </w:r>
      <w:proofErr w:type="spellStart"/>
      <w:r w:rsidRPr="007976FF">
        <w:rPr>
          <w:rFonts w:ascii="Verdana" w:eastAsia="Times New Roman" w:hAnsi="Verdana" w:cs="Arial"/>
          <w:color w:val="25262F"/>
          <w:lang w:eastAsia="fr-LU"/>
        </w:rPr>
        <w:t>financial</w:t>
      </w:r>
      <w:proofErr w:type="spellEnd"/>
      <w:r w:rsidRPr="007976FF">
        <w:rPr>
          <w:rFonts w:ascii="Verdana" w:eastAsia="Times New Roman" w:hAnsi="Verdana" w:cs="Arial"/>
          <w:color w:val="25262F"/>
          <w:lang w:eastAsia="fr-LU"/>
        </w:rPr>
        <w:t xml:space="preserve"> instruments (ISO </w:t>
      </w:r>
      <w:proofErr w:type="gramStart"/>
      <w:r w:rsidRPr="007976FF">
        <w:rPr>
          <w:rFonts w:ascii="Verdana" w:eastAsia="Times New Roman" w:hAnsi="Verdana" w:cs="Arial"/>
          <w:color w:val="25262F"/>
          <w:lang w:eastAsia="fr-LU"/>
        </w:rPr>
        <w:t>10962:</w:t>
      </w:r>
      <w:proofErr w:type="gramEnd"/>
      <w:r w:rsidRPr="007976FF">
        <w:rPr>
          <w:rFonts w:ascii="Verdana" w:eastAsia="Times New Roman" w:hAnsi="Verdana" w:cs="Arial"/>
          <w:color w:val="25262F"/>
          <w:lang w:eastAsia="fr-LU"/>
        </w:rPr>
        <w:t xml:space="preserve"> 2015)</w:t>
      </w:r>
    </w:p>
    <w:p w14:paraId="7CD95058"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Players</w:t>
      </w:r>
      <w:proofErr w:type="spellEnd"/>
      <w:r w:rsidRPr="007976FF">
        <w:rPr>
          <w:rFonts w:ascii="Verdana" w:eastAsia="Times New Roman" w:hAnsi="Verdana" w:cs="Arial"/>
          <w:color w:val="25262F"/>
          <w:lang w:eastAsia="fr-LU"/>
        </w:rPr>
        <w:t xml:space="preserve"> in </w:t>
      </w:r>
      <w:proofErr w:type="spellStart"/>
      <w:r w:rsidRPr="007976FF">
        <w:rPr>
          <w:rFonts w:ascii="Verdana" w:eastAsia="Times New Roman" w:hAnsi="Verdana" w:cs="Arial"/>
          <w:color w:val="25262F"/>
          <w:lang w:eastAsia="fr-LU"/>
        </w:rPr>
        <w:t>financial</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markets</w:t>
      </w:r>
      <w:proofErr w:type="spellEnd"/>
    </w:p>
    <w:p w14:paraId="37EC292B"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SWIFT as a back-office standard</w:t>
      </w:r>
    </w:p>
    <w:p w14:paraId="79F4315B"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r w:rsidRPr="007976FF">
        <w:rPr>
          <w:rFonts w:ascii="Verdana" w:eastAsia="Times New Roman" w:hAnsi="Verdana" w:cs="Arial"/>
          <w:color w:val="25262F"/>
          <w:lang w:eastAsia="fr-LU"/>
        </w:rPr>
        <w:t xml:space="preserve">Financial </w:t>
      </w:r>
      <w:proofErr w:type="spellStart"/>
      <w:r w:rsidRPr="007976FF">
        <w:rPr>
          <w:rFonts w:ascii="Verdana" w:eastAsia="Times New Roman" w:hAnsi="Verdana" w:cs="Arial"/>
          <w:color w:val="25262F"/>
          <w:lang w:eastAsia="fr-LU"/>
        </w:rPr>
        <w:t>markets</w:t>
      </w:r>
      <w:proofErr w:type="spellEnd"/>
    </w:p>
    <w:p w14:paraId="28166EFD"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Primary</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market</w:t>
      </w:r>
      <w:proofErr w:type="spellEnd"/>
    </w:p>
    <w:p w14:paraId="7FACAE5B"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Secondary</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market</w:t>
      </w:r>
      <w:proofErr w:type="spellEnd"/>
    </w:p>
    <w:p w14:paraId="1EA9E015" w14:textId="7CD6D8C1"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 xml:space="preserve">Overview of the </w:t>
      </w:r>
      <w:r w:rsidR="00FB5E8A">
        <w:rPr>
          <w:rFonts w:ascii="Verdana" w:eastAsia="Times New Roman" w:hAnsi="Verdana" w:cs="Arial"/>
          <w:color w:val="25262F"/>
          <w:lang w:val="en-US" w:eastAsia="fr-LU"/>
        </w:rPr>
        <w:t>t</w:t>
      </w:r>
      <w:r w:rsidRPr="007976FF">
        <w:rPr>
          <w:rFonts w:ascii="Verdana" w:eastAsia="Times New Roman" w:hAnsi="Verdana" w:cs="Arial"/>
          <w:color w:val="25262F"/>
          <w:lang w:val="en-US" w:eastAsia="fr-LU"/>
        </w:rPr>
        <w:t xml:space="preserve">ransaction </w:t>
      </w:r>
      <w:r w:rsidR="00FB5E8A">
        <w:rPr>
          <w:rFonts w:ascii="Verdana" w:eastAsia="Times New Roman" w:hAnsi="Verdana" w:cs="Arial"/>
          <w:color w:val="25262F"/>
          <w:lang w:val="en-US" w:eastAsia="fr-LU"/>
        </w:rPr>
        <w:t>c</w:t>
      </w:r>
      <w:r w:rsidRPr="007976FF">
        <w:rPr>
          <w:rFonts w:ascii="Verdana" w:eastAsia="Times New Roman" w:hAnsi="Verdana" w:cs="Arial"/>
          <w:color w:val="25262F"/>
          <w:lang w:val="en-US" w:eastAsia="fr-LU"/>
        </w:rPr>
        <w:t xml:space="preserve">hain of </w:t>
      </w:r>
      <w:r w:rsidR="00FB5E8A">
        <w:rPr>
          <w:rFonts w:ascii="Verdana" w:eastAsia="Times New Roman" w:hAnsi="Verdana" w:cs="Arial"/>
          <w:color w:val="25262F"/>
          <w:lang w:val="en-US" w:eastAsia="fr-LU"/>
        </w:rPr>
        <w:t>s</w:t>
      </w:r>
      <w:r w:rsidRPr="007976FF">
        <w:rPr>
          <w:rFonts w:ascii="Verdana" w:eastAsia="Times New Roman" w:hAnsi="Verdana" w:cs="Arial"/>
          <w:color w:val="25262F"/>
          <w:lang w:val="en-US" w:eastAsia="fr-LU"/>
        </w:rPr>
        <w:t xml:space="preserve">ecurities </w:t>
      </w:r>
      <w:r w:rsidR="00FB5E8A">
        <w:rPr>
          <w:rFonts w:ascii="Verdana" w:eastAsia="Times New Roman" w:hAnsi="Verdana" w:cs="Arial"/>
          <w:color w:val="25262F"/>
          <w:lang w:val="en-US" w:eastAsia="fr-LU"/>
        </w:rPr>
        <w:t>p</w:t>
      </w:r>
      <w:r w:rsidRPr="007976FF">
        <w:rPr>
          <w:rFonts w:ascii="Verdana" w:eastAsia="Times New Roman" w:hAnsi="Verdana" w:cs="Arial"/>
          <w:color w:val="25262F"/>
          <w:lang w:val="en-US" w:eastAsia="fr-LU"/>
        </w:rPr>
        <w:t>rocessing</w:t>
      </w:r>
    </w:p>
    <w:p w14:paraId="76064564"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Front office (Pre-trade, Trading)</w:t>
      </w:r>
    </w:p>
    <w:p w14:paraId="69A0FD45" w14:textId="7BAE92BD"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Middle office (</w:t>
      </w:r>
      <w:proofErr w:type="spellStart"/>
      <w:r w:rsidRPr="007976FF">
        <w:rPr>
          <w:rFonts w:ascii="Verdana" w:eastAsia="Times New Roman" w:hAnsi="Verdana" w:cs="Arial"/>
          <w:color w:val="25262F"/>
          <w:lang w:eastAsia="fr-LU"/>
        </w:rPr>
        <w:t>Functions</w:t>
      </w:r>
      <w:proofErr w:type="spellEnd"/>
      <w:r w:rsidRPr="007976FF">
        <w:rPr>
          <w:rFonts w:ascii="Verdana" w:eastAsia="Times New Roman" w:hAnsi="Verdana" w:cs="Arial"/>
          <w:color w:val="25262F"/>
          <w:lang w:eastAsia="fr-LU"/>
        </w:rPr>
        <w:t xml:space="preserve">, </w:t>
      </w:r>
      <w:r w:rsidR="00FB5E8A">
        <w:rPr>
          <w:rFonts w:ascii="Verdana" w:eastAsia="Times New Roman" w:hAnsi="Verdana" w:cs="Arial"/>
          <w:color w:val="25262F"/>
          <w:lang w:eastAsia="fr-LU"/>
        </w:rPr>
        <w:t>i</w:t>
      </w:r>
      <w:r w:rsidRPr="007976FF">
        <w:rPr>
          <w:rFonts w:ascii="Verdana" w:eastAsia="Times New Roman" w:hAnsi="Verdana" w:cs="Arial"/>
          <w:color w:val="25262F"/>
          <w:lang w:eastAsia="fr-LU"/>
        </w:rPr>
        <w:t>mportance)</w:t>
      </w:r>
    </w:p>
    <w:p w14:paraId="6021284A" w14:textId="07E6B412"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Back</w:t>
      </w:r>
      <w:r w:rsidR="00FB5E8A">
        <w:rPr>
          <w:rFonts w:ascii="Verdana" w:eastAsia="Times New Roman" w:hAnsi="Verdana" w:cs="Arial"/>
          <w:color w:val="25262F"/>
          <w:lang w:eastAsia="fr-LU"/>
        </w:rPr>
        <w:t>-</w:t>
      </w:r>
      <w:r w:rsidRPr="007976FF">
        <w:rPr>
          <w:rFonts w:ascii="Verdana" w:eastAsia="Times New Roman" w:hAnsi="Verdana" w:cs="Arial"/>
          <w:color w:val="25262F"/>
          <w:lang w:eastAsia="fr-LU"/>
        </w:rPr>
        <w:t xml:space="preserve">office (Operations, </w:t>
      </w:r>
      <w:proofErr w:type="spellStart"/>
      <w:proofErr w:type="gramStart"/>
      <w:r w:rsidRPr="007976FF">
        <w:rPr>
          <w:rFonts w:ascii="Verdana" w:eastAsia="Times New Roman" w:hAnsi="Verdana" w:cs="Arial"/>
          <w:color w:val="25262F"/>
          <w:lang w:eastAsia="fr-LU"/>
        </w:rPr>
        <w:t>matching</w:t>
      </w:r>
      <w:proofErr w:type="spellEnd"/>
      <w:r w:rsidRPr="007976FF">
        <w:rPr>
          <w:rFonts w:ascii="Verdana" w:eastAsia="Times New Roman" w:hAnsi="Verdana" w:cs="Arial"/>
          <w:color w:val="25262F"/>
          <w:lang w:eastAsia="fr-LU"/>
        </w:rPr>
        <w:t>,...</w:t>
      </w:r>
      <w:proofErr w:type="gramEnd"/>
      <w:r w:rsidRPr="007976FF">
        <w:rPr>
          <w:rFonts w:ascii="Verdana" w:eastAsia="Times New Roman" w:hAnsi="Verdana" w:cs="Arial"/>
          <w:color w:val="25262F"/>
          <w:lang w:eastAsia="fr-LU"/>
        </w:rPr>
        <w:t>)</w:t>
      </w:r>
    </w:p>
    <w:p w14:paraId="7313921F"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r w:rsidRPr="007976FF">
        <w:rPr>
          <w:rFonts w:ascii="Verdana" w:eastAsia="Times New Roman" w:hAnsi="Verdana" w:cs="Arial"/>
          <w:color w:val="25262F"/>
          <w:lang w:eastAsia="fr-LU"/>
        </w:rPr>
        <w:lastRenderedPageBreak/>
        <w:t xml:space="preserve">ICMA </w:t>
      </w:r>
      <w:proofErr w:type="spellStart"/>
      <w:r w:rsidRPr="007976FF">
        <w:rPr>
          <w:rFonts w:ascii="Verdana" w:eastAsia="Times New Roman" w:hAnsi="Verdana" w:cs="Arial"/>
          <w:color w:val="25262F"/>
          <w:lang w:eastAsia="fr-LU"/>
        </w:rPr>
        <w:t>rules</w:t>
      </w:r>
      <w:proofErr w:type="spellEnd"/>
    </w:p>
    <w:p w14:paraId="50D99709"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r w:rsidRPr="007976FF">
        <w:rPr>
          <w:rFonts w:ascii="Verdana" w:eastAsia="Times New Roman" w:hAnsi="Verdana" w:cs="Arial"/>
          <w:color w:val="25262F"/>
          <w:lang w:eastAsia="fr-LU"/>
        </w:rPr>
        <w:t>Clearing</w:t>
      </w:r>
    </w:p>
    <w:p w14:paraId="46842423"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Gross</w:t>
      </w:r>
    </w:p>
    <w:p w14:paraId="566B33D2"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Net</w:t>
      </w:r>
    </w:p>
    <w:p w14:paraId="69AFE8B6"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 xml:space="preserve">Central </w:t>
      </w:r>
      <w:proofErr w:type="spellStart"/>
      <w:r w:rsidRPr="007976FF">
        <w:rPr>
          <w:rFonts w:ascii="Verdana" w:eastAsia="Times New Roman" w:hAnsi="Verdana" w:cs="Arial"/>
          <w:color w:val="25262F"/>
          <w:lang w:eastAsia="fr-LU"/>
        </w:rPr>
        <w:t>counterparties</w:t>
      </w:r>
      <w:proofErr w:type="spellEnd"/>
    </w:p>
    <w:p w14:paraId="1C7F7DC3"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Settlement</w:t>
      </w:r>
      <w:proofErr w:type="spellEnd"/>
    </w:p>
    <w:p w14:paraId="62086E0A"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Criteria</w:t>
      </w:r>
      <w:proofErr w:type="spellEnd"/>
    </w:p>
    <w:p w14:paraId="78726B6B"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Instrument types</w:t>
      </w:r>
    </w:p>
    <w:p w14:paraId="588FD664"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Payment</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methods</w:t>
      </w:r>
      <w:proofErr w:type="spellEnd"/>
    </w:p>
    <w:p w14:paraId="2120912C"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Currency, multi-</w:t>
      </w:r>
      <w:proofErr w:type="spellStart"/>
      <w:r w:rsidRPr="007976FF">
        <w:rPr>
          <w:rFonts w:ascii="Verdana" w:eastAsia="Times New Roman" w:hAnsi="Verdana" w:cs="Arial"/>
          <w:color w:val="25262F"/>
          <w:lang w:eastAsia="fr-LU"/>
        </w:rPr>
        <w:t>currency</w:t>
      </w:r>
      <w:proofErr w:type="spellEnd"/>
    </w:p>
    <w:p w14:paraId="796E0C76"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Settlement</w:t>
      </w:r>
      <w:proofErr w:type="spellEnd"/>
      <w:r w:rsidRPr="007976FF">
        <w:rPr>
          <w:rFonts w:ascii="Verdana" w:eastAsia="Times New Roman" w:hAnsi="Verdana" w:cs="Arial"/>
          <w:color w:val="25262F"/>
          <w:lang w:eastAsia="fr-LU"/>
        </w:rPr>
        <w:t xml:space="preserve"> cycle</w:t>
      </w:r>
    </w:p>
    <w:p w14:paraId="0DE11603"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CSDs</w:t>
      </w:r>
      <w:proofErr w:type="spellEnd"/>
      <w:r w:rsidRPr="007976FF">
        <w:rPr>
          <w:rFonts w:ascii="Verdana" w:eastAsia="Times New Roman" w:hAnsi="Verdana" w:cs="Arial"/>
          <w:color w:val="25262F"/>
          <w:lang w:eastAsia="fr-LU"/>
        </w:rPr>
        <w:t xml:space="preserve"> vs. </w:t>
      </w:r>
      <w:proofErr w:type="spellStart"/>
      <w:r w:rsidRPr="007976FF">
        <w:rPr>
          <w:rFonts w:ascii="Verdana" w:eastAsia="Times New Roman" w:hAnsi="Verdana" w:cs="Arial"/>
          <w:color w:val="25262F"/>
          <w:lang w:eastAsia="fr-LU"/>
        </w:rPr>
        <w:t>ICSDs</w:t>
      </w:r>
      <w:proofErr w:type="spellEnd"/>
    </w:p>
    <w:p w14:paraId="0F163068"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Settlement</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models</w:t>
      </w:r>
      <w:proofErr w:type="spellEnd"/>
    </w:p>
    <w:p w14:paraId="614BCBEA"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Role of central banks in settlement</w:t>
      </w:r>
    </w:p>
    <w:p w14:paraId="33DAAA73"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Target 2 Securities</w:t>
      </w:r>
    </w:p>
    <w:p w14:paraId="66C9BA78"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Custody</w:t>
      </w:r>
      <w:proofErr w:type="spellEnd"/>
      <w:r w:rsidRPr="007976FF">
        <w:rPr>
          <w:rFonts w:ascii="Verdana" w:eastAsia="Times New Roman" w:hAnsi="Verdana" w:cs="Arial"/>
          <w:color w:val="25262F"/>
          <w:lang w:eastAsia="fr-LU"/>
        </w:rPr>
        <w:t xml:space="preserve"> for </w:t>
      </w:r>
      <w:proofErr w:type="spellStart"/>
      <w:r w:rsidRPr="007976FF">
        <w:rPr>
          <w:rFonts w:ascii="Verdana" w:eastAsia="Times New Roman" w:hAnsi="Verdana" w:cs="Arial"/>
          <w:color w:val="25262F"/>
          <w:lang w:eastAsia="fr-LU"/>
        </w:rPr>
        <w:t>equities</w:t>
      </w:r>
      <w:proofErr w:type="spellEnd"/>
    </w:p>
    <w:p w14:paraId="64036C60"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Corporate</w:t>
      </w:r>
      <w:proofErr w:type="spellEnd"/>
      <w:r w:rsidRPr="007976FF">
        <w:rPr>
          <w:rFonts w:ascii="Verdana" w:eastAsia="Times New Roman" w:hAnsi="Verdana" w:cs="Arial"/>
          <w:color w:val="25262F"/>
          <w:lang w:eastAsia="fr-LU"/>
        </w:rPr>
        <w:t xml:space="preserve"> actions</w:t>
      </w:r>
    </w:p>
    <w:p w14:paraId="72619675"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Classification</w:t>
      </w:r>
    </w:p>
    <w:p w14:paraId="24D602D0"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 xml:space="preserve">Events </w:t>
      </w:r>
      <w:proofErr w:type="spellStart"/>
      <w:r w:rsidRPr="007976FF">
        <w:rPr>
          <w:rFonts w:ascii="Verdana" w:eastAsia="Times New Roman" w:hAnsi="Verdana" w:cs="Arial"/>
          <w:color w:val="25262F"/>
          <w:lang w:eastAsia="fr-LU"/>
        </w:rPr>
        <w:t>review</w:t>
      </w:r>
      <w:proofErr w:type="spellEnd"/>
    </w:p>
    <w:p w14:paraId="4136A63A"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Legal/</w:t>
      </w:r>
      <w:proofErr w:type="spellStart"/>
      <w:r w:rsidRPr="007976FF">
        <w:rPr>
          <w:rFonts w:ascii="Verdana" w:eastAsia="Times New Roman" w:hAnsi="Verdana" w:cs="Arial"/>
          <w:color w:val="25262F"/>
          <w:lang w:eastAsia="fr-LU"/>
        </w:rPr>
        <w:t>regulatory</w:t>
      </w:r>
      <w:proofErr w:type="spellEnd"/>
      <w:r w:rsidRPr="007976FF">
        <w:rPr>
          <w:rFonts w:ascii="Verdana" w:eastAsia="Times New Roman" w:hAnsi="Verdana" w:cs="Arial"/>
          <w:color w:val="25262F"/>
          <w:lang w:eastAsia="fr-LU"/>
        </w:rPr>
        <w:t xml:space="preserve"> issues </w:t>
      </w:r>
      <w:proofErr w:type="spellStart"/>
      <w:r w:rsidRPr="007976FF">
        <w:rPr>
          <w:rFonts w:ascii="Verdana" w:eastAsia="Times New Roman" w:hAnsi="Verdana" w:cs="Arial"/>
          <w:color w:val="25262F"/>
          <w:lang w:eastAsia="fr-LU"/>
        </w:rPr>
        <w:t>regarding</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equities</w:t>
      </w:r>
      <w:proofErr w:type="spellEnd"/>
    </w:p>
    <w:p w14:paraId="6893CF8B"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Custody</w:t>
      </w:r>
      <w:proofErr w:type="spellEnd"/>
      <w:r w:rsidRPr="007976FF">
        <w:rPr>
          <w:rFonts w:ascii="Verdana" w:eastAsia="Times New Roman" w:hAnsi="Verdana" w:cs="Arial"/>
          <w:color w:val="25262F"/>
          <w:lang w:eastAsia="fr-LU"/>
        </w:rPr>
        <w:t xml:space="preserve"> for </w:t>
      </w:r>
      <w:proofErr w:type="spellStart"/>
      <w:r w:rsidRPr="007976FF">
        <w:rPr>
          <w:rFonts w:ascii="Verdana" w:eastAsia="Times New Roman" w:hAnsi="Verdana" w:cs="Arial"/>
          <w:color w:val="25262F"/>
          <w:lang w:eastAsia="fr-LU"/>
        </w:rPr>
        <w:t>debt</w:t>
      </w:r>
      <w:proofErr w:type="spellEnd"/>
      <w:r w:rsidRPr="007976FF">
        <w:rPr>
          <w:rFonts w:ascii="Verdana" w:eastAsia="Times New Roman" w:hAnsi="Verdana" w:cs="Arial"/>
          <w:color w:val="25262F"/>
          <w:lang w:eastAsia="fr-LU"/>
        </w:rPr>
        <w:t xml:space="preserve"> instruments</w:t>
      </w:r>
    </w:p>
    <w:p w14:paraId="098DE47C"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Corporate</w:t>
      </w:r>
      <w:proofErr w:type="spellEnd"/>
      <w:r w:rsidRPr="007976FF">
        <w:rPr>
          <w:rFonts w:ascii="Verdana" w:eastAsia="Times New Roman" w:hAnsi="Verdana" w:cs="Arial"/>
          <w:color w:val="25262F"/>
          <w:lang w:eastAsia="fr-LU"/>
        </w:rPr>
        <w:t xml:space="preserve"> actions</w:t>
      </w:r>
    </w:p>
    <w:p w14:paraId="23832C7C"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Classification</w:t>
      </w:r>
    </w:p>
    <w:p w14:paraId="7A4E56CD"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 xml:space="preserve">Events </w:t>
      </w:r>
      <w:proofErr w:type="spellStart"/>
      <w:r w:rsidRPr="007976FF">
        <w:rPr>
          <w:rFonts w:ascii="Verdana" w:eastAsia="Times New Roman" w:hAnsi="Verdana" w:cs="Arial"/>
          <w:color w:val="25262F"/>
          <w:lang w:eastAsia="fr-LU"/>
        </w:rPr>
        <w:t>review</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interests</w:t>
      </w:r>
      <w:proofErr w:type="spellEnd"/>
      <w:r w:rsidRPr="007976FF">
        <w:rPr>
          <w:rFonts w:ascii="Verdana" w:eastAsia="Times New Roman" w:hAnsi="Verdana" w:cs="Arial"/>
          <w:color w:val="25262F"/>
          <w:lang w:eastAsia="fr-LU"/>
        </w:rPr>
        <w:t xml:space="preserve">, </w:t>
      </w:r>
      <w:proofErr w:type="spellStart"/>
      <w:proofErr w:type="gramStart"/>
      <w:r w:rsidRPr="007976FF">
        <w:rPr>
          <w:rFonts w:ascii="Verdana" w:eastAsia="Times New Roman" w:hAnsi="Verdana" w:cs="Arial"/>
          <w:color w:val="25262F"/>
          <w:lang w:eastAsia="fr-LU"/>
        </w:rPr>
        <w:t>redemptions</w:t>
      </w:r>
      <w:proofErr w:type="spellEnd"/>
      <w:r w:rsidRPr="007976FF">
        <w:rPr>
          <w:rFonts w:ascii="Verdana" w:eastAsia="Times New Roman" w:hAnsi="Verdana" w:cs="Arial"/>
          <w:color w:val="25262F"/>
          <w:lang w:eastAsia="fr-LU"/>
        </w:rPr>
        <w:t>,...</w:t>
      </w:r>
      <w:proofErr w:type="gramEnd"/>
      <w:r w:rsidRPr="007976FF">
        <w:rPr>
          <w:rFonts w:ascii="Verdana" w:eastAsia="Times New Roman" w:hAnsi="Verdana" w:cs="Arial"/>
          <w:color w:val="25262F"/>
          <w:lang w:eastAsia="fr-LU"/>
        </w:rPr>
        <w:t>)</w:t>
      </w:r>
    </w:p>
    <w:p w14:paraId="2A64FACC"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Tax</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processing</w:t>
      </w:r>
      <w:proofErr w:type="spellEnd"/>
      <w:r w:rsidRPr="007976FF">
        <w:rPr>
          <w:rFonts w:ascii="Verdana" w:eastAsia="Times New Roman" w:hAnsi="Verdana" w:cs="Arial"/>
          <w:color w:val="25262F"/>
          <w:lang w:eastAsia="fr-LU"/>
        </w:rPr>
        <w:t xml:space="preserve"> for </w:t>
      </w:r>
      <w:proofErr w:type="spellStart"/>
      <w:r w:rsidRPr="007976FF">
        <w:rPr>
          <w:rFonts w:ascii="Verdana" w:eastAsia="Times New Roman" w:hAnsi="Verdana" w:cs="Arial"/>
          <w:color w:val="25262F"/>
          <w:lang w:eastAsia="fr-LU"/>
        </w:rPr>
        <w:t>securities</w:t>
      </w:r>
      <w:proofErr w:type="spellEnd"/>
    </w:p>
    <w:p w14:paraId="7EF6358E"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Withholding</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tax</w:t>
      </w:r>
      <w:proofErr w:type="spellEnd"/>
    </w:p>
    <w:p w14:paraId="4671736F"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 xml:space="preserve">Capital gains </w:t>
      </w:r>
      <w:proofErr w:type="spellStart"/>
      <w:r w:rsidRPr="007976FF">
        <w:rPr>
          <w:rFonts w:ascii="Verdana" w:eastAsia="Times New Roman" w:hAnsi="Verdana" w:cs="Arial"/>
          <w:color w:val="25262F"/>
          <w:lang w:eastAsia="fr-LU"/>
        </w:rPr>
        <w:t>tax</w:t>
      </w:r>
      <w:proofErr w:type="spellEnd"/>
    </w:p>
    <w:p w14:paraId="09664411"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Other</w:t>
      </w:r>
      <w:proofErr w:type="spellEnd"/>
      <w:r w:rsidRPr="007976FF">
        <w:rPr>
          <w:rFonts w:ascii="Verdana" w:eastAsia="Times New Roman" w:hAnsi="Verdana" w:cs="Arial"/>
          <w:color w:val="25262F"/>
          <w:lang w:eastAsia="fr-LU"/>
        </w:rPr>
        <w:t xml:space="preserve"> types of taxes</w:t>
      </w:r>
    </w:p>
    <w:p w14:paraId="334DF261" w14:textId="53C8E38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Tax</w:t>
      </w:r>
      <w:proofErr w:type="spellEnd"/>
      <w:r w:rsidRPr="007976FF">
        <w:rPr>
          <w:rFonts w:ascii="Verdana" w:eastAsia="Times New Roman" w:hAnsi="Verdana" w:cs="Arial"/>
          <w:color w:val="25262F"/>
          <w:lang w:eastAsia="fr-LU"/>
        </w:rPr>
        <w:t xml:space="preserve"> recl</w:t>
      </w:r>
      <w:r w:rsidR="00FB5E8A">
        <w:rPr>
          <w:rFonts w:ascii="Verdana" w:eastAsia="Times New Roman" w:hAnsi="Verdana" w:cs="Arial"/>
          <w:color w:val="25262F"/>
          <w:lang w:eastAsia="fr-LU"/>
        </w:rPr>
        <w:t>aim</w:t>
      </w:r>
    </w:p>
    <w:p w14:paraId="5058418A"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Custodian</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fees</w:t>
      </w:r>
      <w:proofErr w:type="spellEnd"/>
    </w:p>
    <w:p w14:paraId="64D71DDA"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 xml:space="preserve">Transaction </w:t>
      </w:r>
      <w:proofErr w:type="spellStart"/>
      <w:r w:rsidRPr="007976FF">
        <w:rPr>
          <w:rFonts w:ascii="Verdana" w:eastAsia="Times New Roman" w:hAnsi="Verdana" w:cs="Arial"/>
          <w:color w:val="25262F"/>
          <w:lang w:eastAsia="fr-LU"/>
        </w:rPr>
        <w:t>fees</w:t>
      </w:r>
      <w:proofErr w:type="spellEnd"/>
    </w:p>
    <w:p w14:paraId="2BA1226B"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Custody</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fees</w:t>
      </w:r>
      <w:proofErr w:type="spellEnd"/>
    </w:p>
    <w:p w14:paraId="5FB21DC3"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Other</w:t>
      </w:r>
      <w:proofErr w:type="spellEnd"/>
      <w:r w:rsidRPr="007976FF">
        <w:rPr>
          <w:rFonts w:ascii="Verdana" w:eastAsia="Times New Roman" w:hAnsi="Verdana" w:cs="Arial"/>
          <w:color w:val="25262F"/>
          <w:lang w:eastAsia="fr-LU"/>
        </w:rPr>
        <w:t xml:space="preserve"> types of </w:t>
      </w:r>
      <w:proofErr w:type="spellStart"/>
      <w:r w:rsidRPr="007976FF">
        <w:rPr>
          <w:rFonts w:ascii="Verdana" w:eastAsia="Times New Roman" w:hAnsi="Verdana" w:cs="Arial"/>
          <w:color w:val="25262F"/>
          <w:lang w:eastAsia="fr-LU"/>
        </w:rPr>
        <w:t>fees</w:t>
      </w:r>
      <w:proofErr w:type="spellEnd"/>
    </w:p>
    <w:p w14:paraId="4F2CB933"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Treasury</w:t>
      </w:r>
      <w:proofErr w:type="spellEnd"/>
      <w:r w:rsidRPr="007976FF">
        <w:rPr>
          <w:rFonts w:ascii="Verdana" w:eastAsia="Times New Roman" w:hAnsi="Verdana" w:cs="Arial"/>
          <w:color w:val="25262F"/>
          <w:lang w:eastAsia="fr-LU"/>
        </w:rPr>
        <w:t xml:space="preserve"> and Cash Management</w:t>
      </w:r>
    </w:p>
    <w:p w14:paraId="01C9C0EF"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 xml:space="preserve">Placements, </w:t>
      </w:r>
      <w:proofErr w:type="spellStart"/>
      <w:r w:rsidRPr="007976FF">
        <w:rPr>
          <w:rFonts w:ascii="Verdana" w:eastAsia="Times New Roman" w:hAnsi="Verdana" w:cs="Arial"/>
          <w:color w:val="25262F"/>
          <w:lang w:eastAsia="fr-LU"/>
        </w:rPr>
        <w:t>borrowing</w:t>
      </w:r>
      <w:proofErr w:type="spellEnd"/>
      <w:r w:rsidRPr="007976FF">
        <w:rPr>
          <w:rFonts w:ascii="Verdana" w:eastAsia="Times New Roman" w:hAnsi="Verdana" w:cs="Arial"/>
          <w:color w:val="25262F"/>
          <w:lang w:eastAsia="fr-LU"/>
        </w:rPr>
        <w:t> </w:t>
      </w:r>
    </w:p>
    <w:p w14:paraId="33FB376A"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Foreign</w:t>
      </w:r>
      <w:proofErr w:type="spellEnd"/>
      <w:r w:rsidRPr="007976FF">
        <w:rPr>
          <w:rFonts w:ascii="Verdana" w:eastAsia="Times New Roman" w:hAnsi="Verdana" w:cs="Arial"/>
          <w:color w:val="25262F"/>
          <w:lang w:eastAsia="fr-LU"/>
        </w:rPr>
        <w:t xml:space="preserve"> exchange</w:t>
      </w:r>
    </w:p>
    <w:p w14:paraId="4789A5E4"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Hedging</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derivatives</w:t>
      </w:r>
      <w:proofErr w:type="spellEnd"/>
    </w:p>
    <w:p w14:paraId="06ADF825"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Reconciliation</w:t>
      </w:r>
      <w:proofErr w:type="spellEnd"/>
    </w:p>
    <w:p w14:paraId="5B154E86"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 xml:space="preserve">Cash </w:t>
      </w:r>
      <w:proofErr w:type="spellStart"/>
      <w:r w:rsidRPr="007976FF">
        <w:rPr>
          <w:rFonts w:ascii="Verdana" w:eastAsia="Times New Roman" w:hAnsi="Verdana" w:cs="Arial"/>
          <w:color w:val="25262F"/>
          <w:lang w:eastAsia="fr-LU"/>
        </w:rPr>
        <w:t>correspondents</w:t>
      </w:r>
      <w:proofErr w:type="spellEnd"/>
    </w:p>
    <w:p w14:paraId="5B725587"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Payments</w:t>
      </w:r>
    </w:p>
    <w:p w14:paraId="4C47F6A1"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Payment</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systems</w:t>
      </w:r>
      <w:proofErr w:type="spellEnd"/>
    </w:p>
    <w:p w14:paraId="7FCD6F7A"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Market</w:t>
      </w:r>
      <w:proofErr w:type="spellEnd"/>
      <w:r w:rsidRPr="007976FF">
        <w:rPr>
          <w:rFonts w:ascii="Verdana" w:eastAsia="Times New Roman" w:hAnsi="Verdana" w:cs="Arial"/>
          <w:color w:val="25262F"/>
          <w:lang w:eastAsia="fr-LU"/>
        </w:rPr>
        <w:t xml:space="preserve"> practice</w:t>
      </w:r>
    </w:p>
    <w:p w14:paraId="073A983B" w14:textId="77777777"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r w:rsidRPr="007976FF">
        <w:rPr>
          <w:rFonts w:ascii="Verdana" w:eastAsia="Times New Roman" w:hAnsi="Verdana" w:cs="Arial"/>
          <w:color w:val="25262F"/>
          <w:lang w:eastAsia="fr-LU"/>
        </w:rPr>
        <w:t xml:space="preserve">Securities </w:t>
      </w:r>
      <w:proofErr w:type="spellStart"/>
      <w:r w:rsidRPr="007976FF">
        <w:rPr>
          <w:rFonts w:ascii="Verdana" w:eastAsia="Times New Roman" w:hAnsi="Verdana" w:cs="Arial"/>
          <w:color w:val="25262F"/>
          <w:lang w:eastAsia="fr-LU"/>
        </w:rPr>
        <w:t>Financing</w:t>
      </w:r>
      <w:proofErr w:type="spellEnd"/>
    </w:p>
    <w:p w14:paraId="6DEEBB1D"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 xml:space="preserve">Securities </w:t>
      </w:r>
      <w:proofErr w:type="spellStart"/>
      <w:r w:rsidRPr="007976FF">
        <w:rPr>
          <w:rFonts w:ascii="Verdana" w:eastAsia="Times New Roman" w:hAnsi="Verdana" w:cs="Arial"/>
          <w:color w:val="25262F"/>
          <w:lang w:eastAsia="fr-LU"/>
        </w:rPr>
        <w:t>lending</w:t>
      </w:r>
      <w:proofErr w:type="spellEnd"/>
      <w:r w:rsidRPr="007976FF">
        <w:rPr>
          <w:rFonts w:ascii="Verdana" w:eastAsia="Times New Roman" w:hAnsi="Verdana" w:cs="Arial"/>
          <w:color w:val="25262F"/>
          <w:lang w:eastAsia="fr-LU"/>
        </w:rPr>
        <w:t xml:space="preserve"> and </w:t>
      </w:r>
      <w:proofErr w:type="spellStart"/>
      <w:r w:rsidRPr="007976FF">
        <w:rPr>
          <w:rFonts w:ascii="Verdana" w:eastAsia="Times New Roman" w:hAnsi="Verdana" w:cs="Arial"/>
          <w:color w:val="25262F"/>
          <w:lang w:eastAsia="fr-LU"/>
        </w:rPr>
        <w:t>borrowing</w:t>
      </w:r>
      <w:proofErr w:type="spellEnd"/>
    </w:p>
    <w:p w14:paraId="7A8D43C3"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Repurchase</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agreements</w:t>
      </w:r>
      <w:proofErr w:type="spellEnd"/>
      <w:r w:rsidRPr="007976FF">
        <w:rPr>
          <w:rFonts w:ascii="Verdana" w:eastAsia="Times New Roman" w:hAnsi="Verdana" w:cs="Arial"/>
          <w:color w:val="25262F"/>
          <w:lang w:eastAsia="fr-LU"/>
        </w:rPr>
        <w:t xml:space="preserve"> ("Repos")</w:t>
      </w:r>
    </w:p>
    <w:p w14:paraId="186D9657"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Sell</w:t>
      </w:r>
      <w:proofErr w:type="spellEnd"/>
      <w:r w:rsidRPr="007976FF">
        <w:rPr>
          <w:rFonts w:ascii="Verdana" w:eastAsia="Times New Roman" w:hAnsi="Verdana" w:cs="Arial"/>
          <w:color w:val="25262F"/>
          <w:lang w:eastAsia="fr-LU"/>
        </w:rPr>
        <w:t>/buybacks</w:t>
      </w:r>
    </w:p>
    <w:p w14:paraId="3F2D3CE1"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Collateral</w:t>
      </w:r>
      <w:proofErr w:type="spellEnd"/>
      <w:r w:rsidRPr="007976FF">
        <w:rPr>
          <w:rFonts w:ascii="Verdana" w:eastAsia="Times New Roman" w:hAnsi="Verdana" w:cs="Arial"/>
          <w:color w:val="25262F"/>
          <w:lang w:eastAsia="fr-LU"/>
        </w:rPr>
        <w:t xml:space="preserve"> Management</w:t>
      </w:r>
    </w:p>
    <w:p w14:paraId="45856332"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gramStart"/>
      <w:r w:rsidRPr="007976FF">
        <w:rPr>
          <w:rFonts w:ascii="Verdana" w:eastAsia="Times New Roman" w:hAnsi="Verdana" w:cs="Arial"/>
          <w:color w:val="25262F"/>
          <w:lang w:eastAsia="fr-LU"/>
        </w:rPr>
        <w:t>Uses</w:t>
      </w:r>
      <w:proofErr w:type="gramEnd"/>
      <w:r w:rsidRPr="007976FF">
        <w:rPr>
          <w:rFonts w:ascii="Verdana" w:eastAsia="Times New Roman" w:hAnsi="Verdana" w:cs="Arial"/>
          <w:color w:val="25262F"/>
          <w:lang w:eastAsia="fr-LU"/>
        </w:rPr>
        <w:t xml:space="preserve"> of </w:t>
      </w:r>
      <w:proofErr w:type="spellStart"/>
      <w:r w:rsidRPr="007976FF">
        <w:rPr>
          <w:rFonts w:ascii="Verdana" w:eastAsia="Times New Roman" w:hAnsi="Verdana" w:cs="Arial"/>
          <w:color w:val="25262F"/>
          <w:lang w:eastAsia="fr-LU"/>
        </w:rPr>
        <w:t>collateral</w:t>
      </w:r>
      <w:proofErr w:type="spellEnd"/>
    </w:p>
    <w:p w14:paraId="293B5EBD"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Managing</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different</w:t>
      </w:r>
      <w:proofErr w:type="spellEnd"/>
      <w:r w:rsidRPr="007976FF">
        <w:rPr>
          <w:rFonts w:ascii="Verdana" w:eastAsia="Times New Roman" w:hAnsi="Verdana" w:cs="Arial"/>
          <w:color w:val="25262F"/>
          <w:lang w:eastAsia="fr-LU"/>
        </w:rPr>
        <w:t xml:space="preserve"> types of </w:t>
      </w:r>
      <w:proofErr w:type="spellStart"/>
      <w:r w:rsidRPr="007976FF">
        <w:rPr>
          <w:rFonts w:ascii="Verdana" w:eastAsia="Times New Roman" w:hAnsi="Verdana" w:cs="Arial"/>
          <w:color w:val="25262F"/>
          <w:lang w:eastAsia="fr-LU"/>
        </w:rPr>
        <w:t>collateral</w:t>
      </w:r>
      <w:proofErr w:type="spellEnd"/>
    </w:p>
    <w:p w14:paraId="65AE4FE0"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Haircuts</w:t>
      </w:r>
      <w:proofErr w:type="spellEnd"/>
      <w:r w:rsidRPr="007976FF">
        <w:rPr>
          <w:rFonts w:ascii="Verdana" w:eastAsia="Times New Roman" w:hAnsi="Verdana" w:cs="Arial"/>
          <w:color w:val="25262F"/>
          <w:lang w:eastAsia="fr-LU"/>
        </w:rPr>
        <w:t xml:space="preserve"> and </w:t>
      </w:r>
      <w:proofErr w:type="spellStart"/>
      <w:r w:rsidRPr="007976FF">
        <w:rPr>
          <w:rFonts w:ascii="Verdana" w:eastAsia="Times New Roman" w:hAnsi="Verdana" w:cs="Arial"/>
          <w:color w:val="25262F"/>
          <w:lang w:eastAsia="fr-LU"/>
        </w:rPr>
        <w:t>margins</w:t>
      </w:r>
      <w:proofErr w:type="spellEnd"/>
    </w:p>
    <w:p w14:paraId="6B3B2EB2"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Marking</w:t>
      </w:r>
      <w:proofErr w:type="spellEnd"/>
      <w:r w:rsidRPr="007976FF">
        <w:rPr>
          <w:rFonts w:ascii="Verdana" w:eastAsia="Times New Roman" w:hAnsi="Verdana" w:cs="Arial"/>
          <w:color w:val="25262F"/>
          <w:lang w:eastAsia="fr-LU"/>
        </w:rPr>
        <w:t xml:space="preserve"> to </w:t>
      </w:r>
      <w:proofErr w:type="spellStart"/>
      <w:r w:rsidRPr="007976FF">
        <w:rPr>
          <w:rFonts w:ascii="Verdana" w:eastAsia="Times New Roman" w:hAnsi="Verdana" w:cs="Arial"/>
          <w:color w:val="25262F"/>
          <w:lang w:eastAsia="fr-LU"/>
        </w:rPr>
        <w:t>market</w:t>
      </w:r>
      <w:proofErr w:type="spellEnd"/>
    </w:p>
    <w:p w14:paraId="587B5933"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Legal/</w:t>
      </w:r>
      <w:proofErr w:type="spellStart"/>
      <w:r w:rsidRPr="007976FF">
        <w:rPr>
          <w:rFonts w:ascii="Verdana" w:eastAsia="Times New Roman" w:hAnsi="Verdana" w:cs="Arial"/>
          <w:color w:val="25262F"/>
          <w:lang w:eastAsia="fr-LU"/>
        </w:rPr>
        <w:t>regulatory</w:t>
      </w:r>
      <w:proofErr w:type="spellEnd"/>
      <w:r w:rsidRPr="007976FF">
        <w:rPr>
          <w:rFonts w:ascii="Verdana" w:eastAsia="Times New Roman" w:hAnsi="Verdana" w:cs="Arial"/>
          <w:color w:val="25262F"/>
          <w:lang w:eastAsia="fr-LU"/>
        </w:rPr>
        <w:t xml:space="preserve"> issues</w:t>
      </w:r>
    </w:p>
    <w:p w14:paraId="0F19E128" w14:textId="1E7404D6"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lastRenderedPageBreak/>
        <w:t>Fund</w:t>
      </w:r>
      <w:proofErr w:type="spellEnd"/>
      <w:r w:rsidRPr="007976FF">
        <w:rPr>
          <w:rFonts w:ascii="Verdana" w:eastAsia="Times New Roman" w:hAnsi="Verdana" w:cs="Arial"/>
          <w:color w:val="25262F"/>
          <w:lang w:eastAsia="fr-LU"/>
        </w:rPr>
        <w:t xml:space="preserve"> </w:t>
      </w:r>
      <w:proofErr w:type="spellStart"/>
      <w:r w:rsidR="00FF05C8">
        <w:rPr>
          <w:rFonts w:ascii="Verdana" w:eastAsia="Times New Roman" w:hAnsi="Verdana" w:cs="Arial"/>
          <w:color w:val="25262F"/>
          <w:lang w:eastAsia="fr-LU"/>
        </w:rPr>
        <w:t>c</w:t>
      </w:r>
      <w:r w:rsidRPr="007976FF">
        <w:rPr>
          <w:rFonts w:ascii="Verdana" w:eastAsia="Times New Roman" w:hAnsi="Verdana" w:cs="Arial"/>
          <w:color w:val="25262F"/>
          <w:lang w:eastAsia="fr-LU"/>
        </w:rPr>
        <w:t>ustody</w:t>
      </w:r>
      <w:proofErr w:type="spellEnd"/>
    </w:p>
    <w:p w14:paraId="6EDF7706"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Functions of a fund custodian/depositary</w:t>
      </w:r>
    </w:p>
    <w:p w14:paraId="0DE60390"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Responsibilities of a fund custodian/depositary</w:t>
      </w:r>
    </w:p>
    <w:p w14:paraId="4C2371D2"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Variations for standard ("UCITS") and alternative funds</w:t>
      </w:r>
    </w:p>
    <w:p w14:paraId="06D25C36" w14:textId="6FE1677B"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 xml:space="preserve">Managing </w:t>
      </w:r>
      <w:r w:rsidR="00FF05C8">
        <w:rPr>
          <w:rFonts w:ascii="Verdana" w:eastAsia="Times New Roman" w:hAnsi="Verdana" w:cs="Arial"/>
          <w:color w:val="25262F"/>
          <w:lang w:val="en-US" w:eastAsia="fr-LU"/>
        </w:rPr>
        <w:t>r</w:t>
      </w:r>
      <w:r w:rsidRPr="007976FF">
        <w:rPr>
          <w:rFonts w:ascii="Verdana" w:eastAsia="Times New Roman" w:hAnsi="Verdana" w:cs="Arial"/>
          <w:color w:val="25262F"/>
          <w:lang w:val="en-US" w:eastAsia="fr-LU"/>
        </w:rPr>
        <w:t>isk in the Back</w:t>
      </w:r>
      <w:r w:rsidR="00FF05C8">
        <w:rPr>
          <w:rFonts w:ascii="Verdana" w:eastAsia="Times New Roman" w:hAnsi="Verdana" w:cs="Arial"/>
          <w:color w:val="25262F"/>
          <w:lang w:val="en-US" w:eastAsia="fr-LU"/>
        </w:rPr>
        <w:t>-</w:t>
      </w:r>
      <w:r w:rsidRPr="007976FF">
        <w:rPr>
          <w:rFonts w:ascii="Verdana" w:eastAsia="Times New Roman" w:hAnsi="Verdana" w:cs="Arial"/>
          <w:color w:val="25262F"/>
          <w:lang w:val="en-US" w:eastAsia="fr-LU"/>
        </w:rPr>
        <w:t>Office</w:t>
      </w:r>
    </w:p>
    <w:p w14:paraId="4F282BB4"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Types of risk in financial services</w:t>
      </w:r>
    </w:p>
    <w:p w14:paraId="5321790C"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 xml:space="preserve">Basics of </w:t>
      </w:r>
      <w:proofErr w:type="spellStart"/>
      <w:r w:rsidRPr="007976FF">
        <w:rPr>
          <w:rFonts w:ascii="Verdana" w:eastAsia="Times New Roman" w:hAnsi="Verdana" w:cs="Arial"/>
          <w:color w:val="25262F"/>
          <w:lang w:eastAsia="fr-LU"/>
        </w:rPr>
        <w:t>risk</w:t>
      </w:r>
      <w:proofErr w:type="spellEnd"/>
      <w:r w:rsidRPr="007976FF">
        <w:rPr>
          <w:rFonts w:ascii="Verdana" w:eastAsia="Times New Roman" w:hAnsi="Verdana" w:cs="Arial"/>
          <w:color w:val="25262F"/>
          <w:lang w:eastAsia="fr-LU"/>
        </w:rPr>
        <w:t xml:space="preserve"> management</w:t>
      </w:r>
    </w:p>
    <w:p w14:paraId="462DA756" w14:textId="6DE0ACB7" w:rsidR="00C76F62" w:rsidRPr="00CD463E"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val="en-GB" w:eastAsia="fr-LU"/>
        </w:rPr>
      </w:pPr>
      <w:r w:rsidRPr="00CD463E">
        <w:rPr>
          <w:rFonts w:ascii="Verdana" w:eastAsia="Times New Roman" w:hAnsi="Verdana" w:cs="Arial"/>
          <w:color w:val="25262F"/>
          <w:lang w:val="en-GB" w:eastAsia="fr-LU"/>
        </w:rPr>
        <w:t>Risk in the back</w:t>
      </w:r>
      <w:r w:rsidR="00CD463E" w:rsidRPr="00CD463E">
        <w:rPr>
          <w:rFonts w:ascii="Verdana" w:eastAsia="Times New Roman" w:hAnsi="Verdana" w:cs="Arial"/>
          <w:color w:val="25262F"/>
          <w:lang w:val="en-GB" w:eastAsia="fr-LU"/>
        </w:rPr>
        <w:t>-</w:t>
      </w:r>
      <w:r w:rsidRPr="00CD463E">
        <w:rPr>
          <w:rFonts w:ascii="Verdana" w:eastAsia="Times New Roman" w:hAnsi="Verdana" w:cs="Arial"/>
          <w:color w:val="25262F"/>
          <w:lang w:val="en-GB" w:eastAsia="fr-LU"/>
        </w:rPr>
        <w:t>office</w:t>
      </w:r>
    </w:p>
    <w:p w14:paraId="6079703F"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Counterparty</w:t>
      </w:r>
      <w:proofErr w:type="spellEnd"/>
      <w:r w:rsidRPr="007976FF">
        <w:rPr>
          <w:rFonts w:ascii="Verdana" w:eastAsia="Times New Roman" w:hAnsi="Verdana" w:cs="Arial"/>
          <w:color w:val="25262F"/>
          <w:lang w:eastAsia="fr-LU"/>
        </w:rPr>
        <w:t>/</w:t>
      </w:r>
      <w:proofErr w:type="spellStart"/>
      <w:r w:rsidRPr="007976FF">
        <w:rPr>
          <w:rFonts w:ascii="Verdana" w:eastAsia="Times New Roman" w:hAnsi="Verdana" w:cs="Arial"/>
          <w:color w:val="25262F"/>
          <w:lang w:eastAsia="fr-LU"/>
        </w:rPr>
        <w:t>settlement</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risk</w:t>
      </w:r>
      <w:proofErr w:type="spellEnd"/>
    </w:p>
    <w:p w14:paraId="2DD41135"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Operational</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risk</w:t>
      </w:r>
      <w:proofErr w:type="spellEnd"/>
    </w:p>
    <w:p w14:paraId="3BA4DC72"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Processes</w:t>
      </w:r>
      <w:proofErr w:type="spellEnd"/>
    </w:p>
    <w:p w14:paraId="3EA9D21D"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People</w:t>
      </w:r>
    </w:p>
    <w:p w14:paraId="13EE6E11"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Systems</w:t>
      </w:r>
      <w:proofErr w:type="spellEnd"/>
    </w:p>
    <w:p w14:paraId="3D013940"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External</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events</w:t>
      </w:r>
      <w:proofErr w:type="spellEnd"/>
    </w:p>
    <w:p w14:paraId="72FE1321" w14:textId="6DE01A52"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Regulatory Issues in the Back</w:t>
      </w:r>
      <w:r w:rsidR="00CD463E">
        <w:rPr>
          <w:rFonts w:ascii="Verdana" w:eastAsia="Times New Roman" w:hAnsi="Verdana" w:cs="Arial"/>
          <w:color w:val="25262F"/>
          <w:lang w:val="en-US" w:eastAsia="fr-LU"/>
        </w:rPr>
        <w:t>-</w:t>
      </w:r>
      <w:r w:rsidRPr="007976FF">
        <w:rPr>
          <w:rFonts w:ascii="Verdana" w:eastAsia="Times New Roman" w:hAnsi="Verdana" w:cs="Arial"/>
          <w:color w:val="25262F"/>
          <w:lang w:val="en-US" w:eastAsia="fr-LU"/>
        </w:rPr>
        <w:t>Office</w:t>
      </w:r>
    </w:p>
    <w:p w14:paraId="1830D2C0"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r w:rsidRPr="007976FF">
        <w:rPr>
          <w:rFonts w:ascii="Verdana" w:eastAsia="Times New Roman" w:hAnsi="Verdana" w:cs="Arial"/>
          <w:color w:val="25262F"/>
          <w:lang w:eastAsia="fr-LU"/>
        </w:rPr>
        <w:t>International standards</w:t>
      </w:r>
    </w:p>
    <w:p w14:paraId="2411C9AC" w14:textId="77777777"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European</w:t>
      </w:r>
      <w:proofErr w:type="spellEnd"/>
      <w:r w:rsidRPr="007976FF">
        <w:rPr>
          <w:rFonts w:ascii="Verdana" w:eastAsia="Times New Roman" w:hAnsi="Verdana" w:cs="Arial"/>
          <w:color w:val="25262F"/>
          <w:lang w:eastAsia="fr-LU"/>
        </w:rPr>
        <w:t xml:space="preserve"> </w:t>
      </w:r>
      <w:proofErr w:type="spellStart"/>
      <w:r w:rsidRPr="007976FF">
        <w:rPr>
          <w:rFonts w:ascii="Verdana" w:eastAsia="Times New Roman" w:hAnsi="Verdana" w:cs="Arial"/>
          <w:color w:val="25262F"/>
          <w:lang w:eastAsia="fr-LU"/>
        </w:rPr>
        <w:t>regulations</w:t>
      </w:r>
      <w:proofErr w:type="spellEnd"/>
    </w:p>
    <w:p w14:paraId="59728E9E" w14:textId="509005EA" w:rsidR="00C76F62" w:rsidRPr="007976FF" w:rsidRDefault="00C76F62" w:rsidP="00C76F62">
      <w:pPr>
        <w:numPr>
          <w:ilvl w:val="1"/>
          <w:numId w:val="48"/>
        </w:numPr>
        <w:shd w:val="clear" w:color="auto" w:fill="FFFFFF"/>
        <w:spacing w:before="100" w:beforeAutospacing="1" w:after="100" w:afterAutospacing="1"/>
        <w:ind w:left="2068"/>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Prevention of money laundering and terrorist financing in the back</w:t>
      </w:r>
      <w:r w:rsidR="00CD463E">
        <w:rPr>
          <w:rFonts w:ascii="Verdana" w:eastAsia="Times New Roman" w:hAnsi="Verdana" w:cs="Arial"/>
          <w:color w:val="25262F"/>
          <w:lang w:val="en-US" w:eastAsia="fr-LU"/>
        </w:rPr>
        <w:t>-</w:t>
      </w:r>
      <w:r w:rsidRPr="007976FF">
        <w:rPr>
          <w:rFonts w:ascii="Verdana" w:eastAsia="Times New Roman" w:hAnsi="Verdana" w:cs="Arial"/>
          <w:color w:val="25262F"/>
          <w:lang w:val="en-US" w:eastAsia="fr-LU"/>
        </w:rPr>
        <w:t>office</w:t>
      </w:r>
    </w:p>
    <w:p w14:paraId="1AD63A03" w14:textId="6BCDBAB2" w:rsidR="00C76F62" w:rsidRPr="00CD463E"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val="en-GB" w:eastAsia="fr-LU"/>
        </w:rPr>
      </w:pPr>
      <w:r w:rsidRPr="00CD463E">
        <w:rPr>
          <w:rFonts w:ascii="Verdana" w:eastAsia="Times New Roman" w:hAnsi="Verdana" w:cs="Arial"/>
          <w:color w:val="25262F"/>
          <w:lang w:val="en-GB" w:eastAsia="fr-LU"/>
        </w:rPr>
        <w:t>Technology in the Back</w:t>
      </w:r>
      <w:r w:rsidR="00CD463E" w:rsidRPr="00CD463E">
        <w:rPr>
          <w:rFonts w:ascii="Verdana" w:eastAsia="Times New Roman" w:hAnsi="Verdana" w:cs="Arial"/>
          <w:color w:val="25262F"/>
          <w:lang w:val="en-GB" w:eastAsia="fr-LU"/>
        </w:rPr>
        <w:t>-</w:t>
      </w:r>
      <w:r w:rsidRPr="00CD463E">
        <w:rPr>
          <w:rFonts w:ascii="Verdana" w:eastAsia="Times New Roman" w:hAnsi="Verdana" w:cs="Arial"/>
          <w:color w:val="25262F"/>
          <w:lang w:val="en-GB" w:eastAsia="fr-LU"/>
        </w:rPr>
        <w:t>Office</w:t>
      </w:r>
    </w:p>
    <w:p w14:paraId="277C4D2C" w14:textId="04E722C2" w:rsidR="00C76F62" w:rsidRPr="007976FF" w:rsidRDefault="00C76F62" w:rsidP="00C76F62">
      <w:pPr>
        <w:numPr>
          <w:ilvl w:val="0"/>
          <w:numId w:val="48"/>
        </w:numPr>
        <w:shd w:val="clear" w:color="auto" w:fill="FFFFFF"/>
        <w:spacing w:before="100" w:beforeAutospacing="1" w:after="100" w:afterAutospacing="1"/>
        <w:ind w:left="1348"/>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 xml:space="preserve">Case Studies and </w:t>
      </w:r>
      <w:r w:rsidR="00CD463E">
        <w:rPr>
          <w:rFonts w:ascii="Verdana" w:eastAsia="Times New Roman" w:hAnsi="Verdana" w:cs="Arial"/>
          <w:color w:val="25262F"/>
          <w:lang w:val="en-US" w:eastAsia="fr-LU"/>
        </w:rPr>
        <w:t>g</w:t>
      </w:r>
      <w:r w:rsidRPr="007976FF">
        <w:rPr>
          <w:rFonts w:ascii="Verdana" w:eastAsia="Times New Roman" w:hAnsi="Verdana" w:cs="Arial"/>
          <w:color w:val="25262F"/>
          <w:lang w:val="en-US" w:eastAsia="fr-LU"/>
        </w:rPr>
        <w:t xml:space="preserve">roup </w:t>
      </w:r>
      <w:r w:rsidR="00CD463E">
        <w:rPr>
          <w:rFonts w:ascii="Verdana" w:eastAsia="Times New Roman" w:hAnsi="Verdana" w:cs="Arial"/>
          <w:color w:val="25262F"/>
          <w:lang w:val="en-US" w:eastAsia="fr-LU"/>
        </w:rPr>
        <w:t>p</w:t>
      </w:r>
      <w:r w:rsidRPr="007976FF">
        <w:rPr>
          <w:rFonts w:ascii="Verdana" w:eastAsia="Times New Roman" w:hAnsi="Verdana" w:cs="Arial"/>
          <w:color w:val="25262F"/>
          <w:lang w:val="en-US" w:eastAsia="fr-LU"/>
        </w:rPr>
        <w:t xml:space="preserve">rojects and </w:t>
      </w:r>
      <w:r w:rsidR="00CD463E">
        <w:rPr>
          <w:rFonts w:ascii="Verdana" w:eastAsia="Times New Roman" w:hAnsi="Verdana" w:cs="Arial"/>
          <w:color w:val="25262F"/>
          <w:lang w:val="en-US" w:eastAsia="fr-LU"/>
        </w:rPr>
        <w:t>s</w:t>
      </w:r>
      <w:r w:rsidRPr="007976FF">
        <w:rPr>
          <w:rFonts w:ascii="Verdana" w:eastAsia="Times New Roman" w:hAnsi="Verdana" w:cs="Arial"/>
          <w:color w:val="25262F"/>
          <w:lang w:val="en-US" w:eastAsia="fr-LU"/>
        </w:rPr>
        <w:t>imulations</w:t>
      </w:r>
    </w:p>
    <w:p w14:paraId="14B7285A" w14:textId="3DBEF27E" w:rsidR="0099736E" w:rsidRPr="007E20CA" w:rsidRDefault="00C76F62" w:rsidP="007E20CA">
      <w:pPr>
        <w:numPr>
          <w:ilvl w:val="0"/>
          <w:numId w:val="48"/>
        </w:numPr>
        <w:shd w:val="clear" w:color="auto" w:fill="FFFFFF"/>
        <w:spacing w:before="100" w:beforeAutospacing="1" w:after="100" w:afterAutospacing="1"/>
        <w:ind w:left="1348"/>
        <w:rPr>
          <w:rFonts w:ascii="Verdana" w:eastAsia="Times New Roman" w:hAnsi="Verdana" w:cs="Arial"/>
          <w:color w:val="25262F"/>
          <w:lang w:eastAsia="fr-LU"/>
        </w:rPr>
      </w:pPr>
      <w:proofErr w:type="spellStart"/>
      <w:r w:rsidRPr="007976FF">
        <w:rPr>
          <w:rFonts w:ascii="Verdana" w:eastAsia="Times New Roman" w:hAnsi="Verdana" w:cs="Arial"/>
          <w:color w:val="25262F"/>
          <w:lang w:eastAsia="fr-LU"/>
        </w:rPr>
        <w:t>Review</w:t>
      </w:r>
      <w:proofErr w:type="spellEnd"/>
      <w:r w:rsidRPr="007976FF">
        <w:rPr>
          <w:rFonts w:ascii="Verdana" w:eastAsia="Times New Roman" w:hAnsi="Verdana" w:cs="Arial"/>
          <w:color w:val="25262F"/>
          <w:lang w:eastAsia="fr-LU"/>
        </w:rPr>
        <w:t xml:space="preserve"> and Exam</w:t>
      </w:r>
    </w:p>
    <w:p w14:paraId="0AF2C3A8" w14:textId="5C3AF5D8" w:rsidR="00C76F62" w:rsidRPr="007976FF" w:rsidRDefault="00C76F62" w:rsidP="00C76F62">
      <w:pPr>
        <w:shd w:val="clear" w:color="auto" w:fill="FFFFFF"/>
        <w:spacing w:before="100" w:beforeAutospacing="1" w:after="150"/>
        <w:outlineLvl w:val="4"/>
        <w:rPr>
          <w:rFonts w:ascii="Verdana" w:eastAsia="Times New Roman" w:hAnsi="Verdana" w:cs="Arial"/>
          <w:b/>
          <w:bCs/>
          <w:color w:val="25262F"/>
          <w:lang w:eastAsia="fr-LU"/>
        </w:rPr>
      </w:pPr>
      <w:r w:rsidRPr="007976FF">
        <w:rPr>
          <w:rFonts w:ascii="Verdana" w:eastAsia="Times New Roman" w:hAnsi="Verdana" w:cs="Arial"/>
          <w:b/>
          <w:bCs/>
          <w:color w:val="25262F"/>
          <w:lang w:eastAsia="fr-LU"/>
        </w:rPr>
        <w:t>Exam</w:t>
      </w:r>
      <w:r w:rsidR="00B0509A">
        <w:rPr>
          <w:rFonts w:ascii="Verdana" w:eastAsia="Times New Roman" w:hAnsi="Verdana" w:cs="Arial"/>
          <w:b/>
          <w:bCs/>
          <w:color w:val="25262F"/>
          <w:lang w:eastAsia="fr-LU"/>
        </w:rPr>
        <w:t xml:space="preserve"> on 17 June 2021</w:t>
      </w:r>
    </w:p>
    <w:p w14:paraId="2A8067FF" w14:textId="7340541C" w:rsidR="0099736E" w:rsidRPr="0099736E" w:rsidRDefault="00C76F62" w:rsidP="0099736E">
      <w:pPr>
        <w:shd w:val="clear" w:color="auto" w:fill="FFFFFF"/>
        <w:spacing w:after="150"/>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The knowledge acquired in the seminar will be validated through a</w:t>
      </w:r>
      <w:r w:rsidR="00710A6F">
        <w:rPr>
          <w:rFonts w:ascii="Verdana" w:eastAsia="Times New Roman" w:hAnsi="Verdana" w:cs="Arial"/>
          <w:color w:val="25262F"/>
          <w:lang w:val="en-US" w:eastAsia="fr-LU"/>
        </w:rPr>
        <w:t>n online</w:t>
      </w:r>
      <w:r w:rsidRPr="007976FF">
        <w:rPr>
          <w:rFonts w:ascii="Verdana" w:eastAsia="Times New Roman" w:hAnsi="Verdana" w:cs="Arial"/>
          <w:color w:val="25262F"/>
          <w:lang w:val="en-US" w:eastAsia="fr-LU"/>
        </w:rPr>
        <w:t xml:space="preserve"> examination</w:t>
      </w:r>
      <w:r w:rsidR="00710A6F">
        <w:rPr>
          <w:rFonts w:ascii="Verdana" w:eastAsia="Times New Roman" w:hAnsi="Verdana" w:cs="Arial"/>
          <w:color w:val="25262F"/>
          <w:lang w:val="en-US" w:eastAsia="fr-LU"/>
        </w:rPr>
        <w:t xml:space="preserve"> of 3</w:t>
      </w:r>
      <w:r w:rsidR="00522D41">
        <w:rPr>
          <w:rFonts w:ascii="Verdana" w:eastAsia="Times New Roman" w:hAnsi="Verdana" w:cs="Arial"/>
          <w:color w:val="25262F"/>
          <w:lang w:val="en-US" w:eastAsia="fr-LU"/>
        </w:rPr>
        <w:t xml:space="preserve"> </w:t>
      </w:r>
      <w:r w:rsidR="00710A6F">
        <w:rPr>
          <w:rFonts w:ascii="Verdana" w:eastAsia="Times New Roman" w:hAnsi="Verdana" w:cs="Arial"/>
          <w:color w:val="25262F"/>
          <w:lang w:val="en-US" w:eastAsia="fr-LU"/>
        </w:rPr>
        <w:t>hours.</w:t>
      </w:r>
      <w:r w:rsidRPr="007976FF">
        <w:rPr>
          <w:rFonts w:ascii="Verdana" w:eastAsia="Times New Roman" w:hAnsi="Verdana" w:cs="Arial"/>
          <w:color w:val="25262F"/>
          <w:lang w:val="en-US" w:eastAsia="fr-LU"/>
        </w:rPr>
        <w:t xml:space="preserve"> Participants who pass the exam will receive a certificate issued by the House of Training and ICMA.</w:t>
      </w:r>
    </w:p>
    <w:p w14:paraId="68E82E8C" w14:textId="5193B480" w:rsidR="00C76F62" w:rsidRPr="007976FF" w:rsidRDefault="00C76F62" w:rsidP="00C76F62">
      <w:pPr>
        <w:shd w:val="clear" w:color="auto" w:fill="FFFFFF"/>
        <w:spacing w:before="100" w:beforeAutospacing="1" w:after="150"/>
        <w:outlineLvl w:val="4"/>
        <w:rPr>
          <w:rFonts w:ascii="Verdana" w:eastAsia="Times New Roman" w:hAnsi="Verdana" w:cs="Arial"/>
          <w:b/>
          <w:bCs/>
          <w:color w:val="25262F"/>
          <w:lang w:val="en-US" w:eastAsia="fr-LU"/>
        </w:rPr>
      </w:pPr>
      <w:r w:rsidRPr="007976FF">
        <w:rPr>
          <w:rFonts w:ascii="Verdana" w:eastAsia="Times New Roman" w:hAnsi="Verdana" w:cs="Arial"/>
          <w:b/>
          <w:bCs/>
          <w:color w:val="25262F"/>
          <w:lang w:val="en-US" w:eastAsia="fr-LU"/>
        </w:rPr>
        <w:t>Language</w:t>
      </w:r>
    </w:p>
    <w:p w14:paraId="2E4EAE84" w14:textId="77777777" w:rsidR="00C76F62" w:rsidRPr="007976FF" w:rsidRDefault="00C76F62" w:rsidP="00C76F62">
      <w:pPr>
        <w:shd w:val="clear" w:color="auto" w:fill="FFFFFF"/>
        <w:spacing w:after="150"/>
        <w:rPr>
          <w:rFonts w:ascii="Verdana" w:eastAsia="Times New Roman" w:hAnsi="Verdana" w:cs="Arial"/>
          <w:color w:val="25262F"/>
          <w:lang w:val="en-US" w:eastAsia="fr-LU"/>
        </w:rPr>
      </w:pPr>
      <w:r w:rsidRPr="007976FF">
        <w:rPr>
          <w:rFonts w:ascii="Verdana" w:eastAsia="Times New Roman" w:hAnsi="Verdana" w:cs="Arial"/>
          <w:color w:val="25262F"/>
          <w:lang w:val="en-US" w:eastAsia="fr-LU"/>
        </w:rPr>
        <w:t>English</w:t>
      </w:r>
    </w:p>
    <w:p w14:paraId="213F96F1" w14:textId="7DDCA79B" w:rsidR="00B315B7" w:rsidRDefault="00B315B7" w:rsidP="0099736E">
      <w:pPr>
        <w:rPr>
          <w:rFonts w:ascii="Verdana" w:eastAsia="Times New Roman" w:hAnsi="Verdana" w:cs="Arial"/>
          <w:b/>
          <w:bCs/>
          <w:color w:val="25262F"/>
          <w:lang w:val="en-US" w:eastAsia="fr-LU"/>
        </w:rPr>
      </w:pPr>
    </w:p>
    <w:p w14:paraId="36F8B24B" w14:textId="71DB1CD8" w:rsidR="00BF42C7" w:rsidRDefault="00BF42C7" w:rsidP="0099736E">
      <w:pPr>
        <w:rPr>
          <w:rFonts w:ascii="Verdana" w:eastAsia="Times New Roman" w:hAnsi="Verdana" w:cs="Arial"/>
          <w:b/>
          <w:bCs/>
          <w:color w:val="25262F"/>
          <w:lang w:val="en-US" w:eastAsia="fr-LU"/>
        </w:rPr>
      </w:pPr>
    </w:p>
    <w:p w14:paraId="7DEE8892" w14:textId="42FA3DDA" w:rsidR="007E681A" w:rsidRDefault="007E681A" w:rsidP="0099736E">
      <w:pPr>
        <w:rPr>
          <w:rFonts w:ascii="Verdana" w:eastAsia="Times New Roman" w:hAnsi="Verdana" w:cs="Arial"/>
          <w:b/>
          <w:bCs/>
          <w:color w:val="25262F"/>
          <w:lang w:val="en-US" w:eastAsia="fr-LU"/>
        </w:rPr>
      </w:pPr>
    </w:p>
    <w:p w14:paraId="1523B4EE" w14:textId="77777777" w:rsidR="007E681A" w:rsidRDefault="007E681A" w:rsidP="0099736E">
      <w:pPr>
        <w:rPr>
          <w:rFonts w:ascii="Verdana" w:eastAsia="Times New Roman" w:hAnsi="Verdana" w:cs="Arial"/>
          <w:b/>
          <w:bCs/>
          <w:color w:val="25262F"/>
          <w:lang w:val="en-US" w:eastAsia="fr-LU"/>
        </w:rPr>
      </w:pPr>
    </w:p>
    <w:p w14:paraId="458D2813" w14:textId="77777777" w:rsidR="00BF42C7" w:rsidRDefault="00BF42C7" w:rsidP="0099736E">
      <w:pPr>
        <w:rPr>
          <w:rFonts w:ascii="Verdana" w:eastAsia="Times New Roman" w:hAnsi="Verdana" w:cs="Arial"/>
          <w:b/>
          <w:bCs/>
          <w:color w:val="25262F"/>
          <w:lang w:val="en-US" w:eastAsia="fr-LU"/>
        </w:rPr>
      </w:pPr>
    </w:p>
    <w:p w14:paraId="25FBC4DB" w14:textId="03E3B737" w:rsidR="00BF42C7" w:rsidRPr="00BF42C7" w:rsidRDefault="00BF42C7" w:rsidP="00BF42C7">
      <w:pPr>
        <w:jc w:val="center"/>
        <w:rPr>
          <w:rFonts w:ascii="Verdana" w:hAnsi="Verdana" w:cstheme="minorHAnsi"/>
          <w:lang w:val="en-US"/>
        </w:rPr>
      </w:pPr>
      <w:r w:rsidRPr="00BF42C7">
        <w:rPr>
          <w:rFonts w:ascii="Verdana" w:hAnsi="Verdana" w:cstheme="minorHAnsi"/>
          <w:lang w:val="en-US"/>
        </w:rPr>
        <w:t xml:space="preserve">This training is provided with the support of the Luxembourg </w:t>
      </w:r>
      <w:r w:rsidR="006576D4" w:rsidRPr="00BF42C7">
        <w:rPr>
          <w:rFonts w:ascii="Verdana" w:hAnsi="Verdana" w:cstheme="minorHAnsi"/>
          <w:lang w:val="en-US"/>
        </w:rPr>
        <w:t>Government.</w:t>
      </w:r>
    </w:p>
    <w:p w14:paraId="2B1DDB4A" w14:textId="77777777" w:rsidR="00BF42C7" w:rsidRDefault="00BF42C7" w:rsidP="00BF42C7">
      <w:pPr>
        <w:jc w:val="center"/>
        <w:rPr>
          <w:rFonts w:ascii="Verdana" w:hAnsi="Verdana" w:cstheme="minorHAnsi"/>
          <w:sz w:val="18"/>
          <w:szCs w:val="18"/>
          <w:lang w:val="en-US"/>
        </w:rPr>
      </w:pPr>
    </w:p>
    <w:p w14:paraId="57986463" w14:textId="4779FDAE" w:rsidR="00BF42C7" w:rsidRDefault="00BF42C7" w:rsidP="00BF42C7">
      <w:pPr>
        <w:jc w:val="center"/>
        <w:rPr>
          <w:rFonts w:ascii="Verdana" w:hAnsi="Verdana" w:cstheme="minorHAnsi"/>
          <w:sz w:val="18"/>
          <w:szCs w:val="18"/>
          <w:lang w:val="en-US"/>
        </w:rPr>
      </w:pPr>
      <w:r w:rsidRPr="003B2B70">
        <w:rPr>
          <w:rFonts w:ascii="Verdana" w:hAnsi="Verdana"/>
          <w:noProof/>
        </w:rPr>
        <w:drawing>
          <wp:inline distT="0" distB="0" distL="0" distR="0" wp14:anchorId="3B8003C0" wp14:editId="391C9EFD">
            <wp:extent cx="1943100" cy="445819"/>
            <wp:effectExtent l="0" t="0" r="0" b="0"/>
            <wp:docPr id="2" name="Picture 2"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UV_e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67484" cy="589076"/>
                    </a:xfrm>
                    <a:prstGeom prst="rect">
                      <a:avLst/>
                    </a:prstGeom>
                    <a:noFill/>
                    <a:ln>
                      <a:noFill/>
                    </a:ln>
                  </pic:spPr>
                </pic:pic>
              </a:graphicData>
            </a:graphic>
          </wp:inline>
        </w:drawing>
      </w:r>
    </w:p>
    <w:p w14:paraId="75DF79CC" w14:textId="77777777" w:rsidR="00BF42C7" w:rsidRDefault="00BF42C7" w:rsidP="00A325C9">
      <w:pPr>
        <w:rPr>
          <w:rFonts w:ascii="Verdana" w:hAnsi="Verdana" w:cstheme="minorHAnsi"/>
          <w:sz w:val="18"/>
          <w:szCs w:val="18"/>
          <w:lang w:val="en-US"/>
        </w:rPr>
      </w:pPr>
    </w:p>
    <w:p w14:paraId="6E030F9C" w14:textId="3B3FD311" w:rsidR="00710A6F" w:rsidRPr="00BF42C7" w:rsidRDefault="00BF42C7" w:rsidP="0099736E">
      <w:pPr>
        <w:rPr>
          <w:sz w:val="16"/>
          <w:szCs w:val="16"/>
          <w:lang w:val="en-GB"/>
        </w:rPr>
      </w:pPr>
      <w:r w:rsidRPr="0004586F">
        <w:rPr>
          <w:rFonts w:ascii="Verdana" w:hAnsi="Verdana" w:cstheme="minorHAnsi"/>
          <w:sz w:val="18"/>
          <w:szCs w:val="18"/>
          <w:lang w:val="en-US"/>
        </w:rPr>
        <w:tab/>
      </w:r>
      <w:r w:rsidRPr="003B2B70">
        <w:rPr>
          <w:rFonts w:ascii="Verdana" w:hAnsi="Verdana"/>
          <w:lang w:val="en-US"/>
        </w:rPr>
        <w:t xml:space="preserve"> </w:t>
      </w:r>
    </w:p>
    <w:p w14:paraId="3E9E6301" w14:textId="77777777" w:rsidR="007E681A" w:rsidRDefault="007E681A" w:rsidP="0099736E">
      <w:pPr>
        <w:rPr>
          <w:bCs/>
          <w:i/>
          <w:sz w:val="16"/>
          <w:szCs w:val="16"/>
          <w:lang w:val="en-US"/>
        </w:rPr>
      </w:pPr>
    </w:p>
    <w:p w14:paraId="548528F3" w14:textId="77777777" w:rsidR="007E681A" w:rsidRDefault="007E681A" w:rsidP="0099736E">
      <w:pPr>
        <w:rPr>
          <w:bCs/>
          <w:i/>
          <w:sz w:val="16"/>
          <w:szCs w:val="16"/>
          <w:lang w:val="en-US"/>
        </w:rPr>
      </w:pPr>
    </w:p>
    <w:p w14:paraId="4E461687" w14:textId="77777777" w:rsidR="007E681A" w:rsidRDefault="007E681A" w:rsidP="0099736E">
      <w:pPr>
        <w:rPr>
          <w:bCs/>
          <w:i/>
          <w:sz w:val="16"/>
          <w:szCs w:val="16"/>
          <w:lang w:val="en-US"/>
        </w:rPr>
      </w:pPr>
    </w:p>
    <w:p w14:paraId="635C0C1E" w14:textId="1380C65A" w:rsidR="0099736E" w:rsidRPr="007E20CA" w:rsidRDefault="0099736E" w:rsidP="0099736E">
      <w:pPr>
        <w:rPr>
          <w:bCs/>
          <w:i/>
          <w:sz w:val="16"/>
          <w:szCs w:val="16"/>
          <w:lang w:val="en-US"/>
        </w:rPr>
      </w:pPr>
      <w:r w:rsidRPr="007E20CA">
        <w:rPr>
          <w:bCs/>
          <w:i/>
          <w:sz w:val="16"/>
          <w:szCs w:val="16"/>
          <w:lang w:val="en-US"/>
        </w:rPr>
        <w:t>Remark: By delivery date, any training documentation shall be subject to regular reviews and updates amending the table of content as described herein.</w:t>
      </w:r>
    </w:p>
    <w:p w14:paraId="38F9C0F3" w14:textId="77777777" w:rsidR="007B036D" w:rsidRPr="007E20CA" w:rsidRDefault="007B036D" w:rsidP="0099736E">
      <w:pPr>
        <w:rPr>
          <w:sz w:val="16"/>
          <w:szCs w:val="16"/>
          <w:lang w:val="en-US"/>
        </w:rPr>
      </w:pPr>
    </w:p>
    <w:p w14:paraId="767DA9C3" w14:textId="6B1A3F1B" w:rsidR="00A4431B" w:rsidRPr="007E20CA" w:rsidRDefault="00A4431B" w:rsidP="0099736E">
      <w:pPr>
        <w:rPr>
          <w:sz w:val="16"/>
          <w:szCs w:val="16"/>
          <w:lang w:val="en-US"/>
        </w:rPr>
      </w:pPr>
    </w:p>
    <w:sectPr w:rsidR="00A4431B" w:rsidRPr="007E20CA" w:rsidSect="00526A42">
      <w:headerReference w:type="default" r:id="rId10"/>
      <w:footerReference w:type="even" r:id="rId11"/>
      <w:footerReference w:type="default" r:id="rId12"/>
      <w:pgSz w:w="11906" w:h="16838"/>
      <w:pgMar w:top="2268" w:right="1418" w:bottom="1021" w:left="1644" w:header="709" w:footer="3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5B12C" w14:textId="77777777" w:rsidR="005B36EF" w:rsidRDefault="005B36EF">
      <w:r>
        <w:separator/>
      </w:r>
    </w:p>
  </w:endnote>
  <w:endnote w:type="continuationSeparator" w:id="0">
    <w:p w14:paraId="3BFAA2D0" w14:textId="77777777" w:rsidR="005B36EF" w:rsidRDefault="005B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4D"/>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NewsGothic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C2AF8" w14:textId="77777777" w:rsidR="005B36EF" w:rsidRDefault="005B36EF" w:rsidP="00B01F7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B1D53" w14:textId="77777777" w:rsidR="005B36EF" w:rsidRPr="00E10E87" w:rsidRDefault="005B36EF" w:rsidP="00EE7983">
    <w:pPr>
      <w:pBdr>
        <w:top w:val="single" w:sz="4" w:space="1" w:color="auto"/>
      </w:pBdr>
      <w:rPr>
        <w:rFonts w:ascii="Arial" w:hAnsi="Arial" w:cs="Arial"/>
        <w:color w:val="000000"/>
        <w:lang w:val="en-GB"/>
      </w:rPr>
    </w:pPr>
    <w:r w:rsidRPr="00E10E87">
      <w:rPr>
        <w:rFonts w:ascii="Arial" w:hAnsi="Arial" w:cs="Arial"/>
        <w:color w:val="000000"/>
        <w:lang w:val="en-GB"/>
      </w:rPr>
      <w:t>Programme organised in collaboration with and validated by</w:t>
    </w:r>
  </w:p>
  <w:p w14:paraId="10E0ED98" w14:textId="77777777" w:rsidR="005B36EF" w:rsidRPr="009B3BF8" w:rsidRDefault="005B36EF" w:rsidP="00EE7983">
    <w:pPr>
      <w:jc w:val="center"/>
      <w:rPr>
        <w:rFonts w:ascii="Arial" w:hAnsi="Arial" w:cs="Arial"/>
        <w:b/>
        <w:color w:val="000000"/>
        <w:lang w:val="en-GB"/>
      </w:rPr>
    </w:pPr>
    <w:r w:rsidRPr="00365F30">
      <w:rPr>
        <w:rFonts w:ascii="Arial" w:hAnsi="Arial" w:cs="Arial"/>
        <w:b/>
        <w:noProof/>
        <w:color w:val="000000"/>
        <w:lang w:val="nl-NL" w:eastAsia="nl-NL"/>
      </w:rPr>
      <w:drawing>
        <wp:inline distT="0" distB="0" distL="0" distR="0" wp14:anchorId="424ECFB2" wp14:editId="6482A63F">
          <wp:extent cx="638175" cy="457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sidRPr="009B3BF8">
      <w:rPr>
        <w:rFonts w:ascii="Arial" w:hAnsi="Arial" w:cs="Arial"/>
        <w:b/>
        <w:color w:val="2E74B5"/>
        <w:lang w:val="en-GB"/>
      </w:rPr>
      <w:t>Luxembourg Region</w:t>
    </w:r>
  </w:p>
  <w:p w14:paraId="20079E09" w14:textId="77777777" w:rsidR="005B36EF" w:rsidRDefault="005B36EF" w:rsidP="00EE7983">
    <w:pPr>
      <w:pStyle w:val="Footer"/>
      <w:jc w:val="center"/>
    </w:pPr>
  </w:p>
  <w:p w14:paraId="5F46937D" w14:textId="77777777" w:rsidR="005B36EF" w:rsidRPr="00EE7983" w:rsidRDefault="005B36EF" w:rsidP="00EE7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69A72" w14:textId="77777777" w:rsidR="005B36EF" w:rsidRDefault="005B36EF">
      <w:r>
        <w:separator/>
      </w:r>
    </w:p>
  </w:footnote>
  <w:footnote w:type="continuationSeparator" w:id="0">
    <w:p w14:paraId="3698C7A1" w14:textId="77777777" w:rsidR="005B36EF" w:rsidRDefault="005B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51EFA" w14:textId="52318830" w:rsidR="005B36EF" w:rsidRPr="00876558" w:rsidRDefault="00EA5697" w:rsidP="00876558">
    <w:pPr>
      <w:pStyle w:val="Header"/>
      <w:rPr>
        <w:lang w:val="en-GB"/>
      </w:rPr>
    </w:pPr>
    <w:r w:rsidRPr="00560CC0">
      <w:rPr>
        <w:noProof/>
        <w:lang w:val="nl-NL" w:eastAsia="nl-NL"/>
      </w:rPr>
      <w:drawing>
        <wp:inline distT="0" distB="0" distL="0" distR="0" wp14:anchorId="664B8BC8" wp14:editId="59E846C6">
          <wp:extent cx="1463040" cy="548640"/>
          <wp:effectExtent l="0" t="0" r="0" b="0"/>
          <wp:docPr id="17" name="Picture 17"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548640"/>
                  </a:xfrm>
                  <a:prstGeom prst="rect">
                    <a:avLst/>
                  </a:prstGeom>
                  <a:noFill/>
                  <a:ln>
                    <a:noFill/>
                  </a:ln>
                </pic:spPr>
              </pic:pic>
            </a:graphicData>
          </a:graphic>
        </wp:inline>
      </w:drawing>
    </w:r>
    <w:r w:rsidR="005B36EF">
      <w:rPr>
        <w:lang w:val="fr-LU"/>
      </w:rPr>
      <w:t xml:space="preserve">          </w:t>
    </w:r>
    <w:r w:rsidR="005B36EF" w:rsidRPr="00876558">
      <w:rPr>
        <w:lang w:val="fr-LU"/>
      </w:rPr>
      <w:t xml:space="preserve"> </w:t>
    </w:r>
    <w:r w:rsidR="00A325C9">
      <w:rPr>
        <w:noProof/>
        <w:lang w:val="nl-NL" w:eastAsia="nl-NL"/>
      </w:rPr>
      <w:tab/>
    </w:r>
    <w:r w:rsidR="00A325C9">
      <w:rPr>
        <w:noProof/>
        <w:lang w:val="nl-NL" w:eastAsia="nl-NL"/>
      </w:rPr>
      <w:tab/>
    </w:r>
    <w:r>
      <w:rPr>
        <w:noProof/>
        <w:lang w:val="lb-LU" w:eastAsia="lb-LU"/>
      </w:rPr>
      <w:t xml:space="preserve">                </w:t>
    </w:r>
    <w:r w:rsidR="005B36EF">
      <w:rPr>
        <w:noProof/>
        <w:lang w:val="nl-NL" w:eastAsia="nl-NL"/>
      </w:rPr>
      <w:drawing>
        <wp:inline distT="0" distB="0" distL="0" distR="0" wp14:anchorId="0062B779" wp14:editId="66255C32">
          <wp:extent cx="904875" cy="663575"/>
          <wp:effectExtent l="0" t="0" r="9525" b="3175"/>
          <wp:docPr id="19" name="Picture 19" descr="ATTF_LOGO_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F_LOGO_offici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039" cy="663695"/>
                  </a:xfrm>
                  <a:prstGeom prst="rect">
                    <a:avLst/>
                  </a:prstGeom>
                  <a:noFill/>
                  <a:ln>
                    <a:noFill/>
                  </a:ln>
                </pic:spPr>
              </pic:pic>
            </a:graphicData>
          </a:graphic>
        </wp:inline>
      </w:drawing>
    </w:r>
  </w:p>
  <w:p w14:paraId="4DE20F52" w14:textId="77777777" w:rsidR="005B36EF" w:rsidRPr="00876558" w:rsidRDefault="005B36EF" w:rsidP="00B01F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Word Work File L_2"/>
      </v:shape>
    </w:pict>
  </w:numPicBullet>
  <w:abstractNum w:abstractNumId="0" w15:restartNumberingAfterBreak="0">
    <w:nsid w:val="FFFFFF1D"/>
    <w:multiLevelType w:val="multilevel"/>
    <w:tmpl w:val="D2A6E2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D4AA3F9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21C828C"/>
    <w:lvl w:ilvl="0">
      <w:start w:val="1"/>
      <w:numFmt w:val="bullet"/>
      <w:pStyle w:val="ListBullet4"/>
      <w:lvlText w:val=""/>
      <w:lvlJc w:val="left"/>
      <w:pPr>
        <w:ind w:left="1209" w:hanging="360"/>
      </w:pPr>
      <w:rPr>
        <w:rFonts w:ascii="Wingdings" w:hAnsi="Wingdings" w:hint="default"/>
      </w:rPr>
    </w:lvl>
  </w:abstractNum>
  <w:abstractNum w:abstractNumId="3" w15:restartNumberingAfterBreak="0">
    <w:nsid w:val="FFFFFF82"/>
    <w:multiLevelType w:val="singleLevel"/>
    <w:tmpl w:val="C4B6036A"/>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412763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00000003"/>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singleLevel"/>
    <w:tmpl w:val="E9D8C43A"/>
    <w:lvl w:ilvl="0">
      <w:start w:val="1"/>
      <w:numFmt w:val="bullet"/>
      <w:lvlText w:val="-"/>
      <w:lvlJc w:val="left"/>
      <w:pPr>
        <w:tabs>
          <w:tab w:val="num" w:pos="390"/>
        </w:tabs>
        <w:ind w:left="390" w:hanging="390"/>
      </w:pPr>
      <w:rPr>
        <w:rFonts w:hint="default"/>
      </w:rPr>
    </w:lvl>
  </w:abstractNum>
  <w:abstractNum w:abstractNumId="7"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48E665E"/>
    <w:multiLevelType w:val="hybridMultilevel"/>
    <w:tmpl w:val="C7C8C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6563B6F"/>
    <w:multiLevelType w:val="hybridMultilevel"/>
    <w:tmpl w:val="D208FCE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0AA7472E"/>
    <w:multiLevelType w:val="hybridMultilevel"/>
    <w:tmpl w:val="A3DC96CC"/>
    <w:lvl w:ilvl="0" w:tplc="D94E2CCA">
      <w:start w:val="20"/>
      <w:numFmt w:val="bullet"/>
      <w:lvlText w:val="-"/>
      <w:lvlJc w:val="left"/>
      <w:pPr>
        <w:ind w:left="720" w:hanging="360"/>
      </w:pPr>
      <w:rPr>
        <w:rFonts w:ascii="Verdana" w:eastAsia="Times"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3B7920"/>
    <w:multiLevelType w:val="hybridMultilevel"/>
    <w:tmpl w:val="903E0E50"/>
    <w:lvl w:ilvl="0" w:tplc="000B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EC542B4"/>
    <w:multiLevelType w:val="hybridMultilevel"/>
    <w:tmpl w:val="7CAEA9F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14500240"/>
    <w:multiLevelType w:val="hybridMultilevel"/>
    <w:tmpl w:val="DBA85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A0343D"/>
    <w:multiLevelType w:val="hybridMultilevel"/>
    <w:tmpl w:val="82323F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1AFD111C"/>
    <w:multiLevelType w:val="hybridMultilevel"/>
    <w:tmpl w:val="FF9EEA22"/>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6" w15:restartNumberingAfterBreak="0">
    <w:nsid w:val="1FBC3A22"/>
    <w:multiLevelType w:val="hybridMultilevel"/>
    <w:tmpl w:val="C50AAC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796691"/>
    <w:multiLevelType w:val="hybridMultilevel"/>
    <w:tmpl w:val="0DC6E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232707"/>
    <w:multiLevelType w:val="hybridMultilevel"/>
    <w:tmpl w:val="FB688262"/>
    <w:lvl w:ilvl="0" w:tplc="000B040C">
      <w:start w:val="1"/>
      <w:numFmt w:val="bullet"/>
      <w:lvlText w:val=""/>
      <w:lvlJc w:val="left"/>
      <w:pPr>
        <w:tabs>
          <w:tab w:val="num" w:pos="800"/>
        </w:tabs>
        <w:ind w:left="800" w:hanging="360"/>
      </w:pPr>
      <w:rPr>
        <w:rFonts w:ascii="Wingdings" w:hAnsi="Wingdings" w:hint="default"/>
      </w:rPr>
    </w:lvl>
    <w:lvl w:ilvl="1" w:tplc="0003040C" w:tentative="1">
      <w:start w:val="1"/>
      <w:numFmt w:val="bullet"/>
      <w:lvlText w:val="o"/>
      <w:lvlJc w:val="left"/>
      <w:pPr>
        <w:tabs>
          <w:tab w:val="num" w:pos="1520"/>
        </w:tabs>
        <w:ind w:left="1520" w:hanging="360"/>
      </w:pPr>
      <w:rPr>
        <w:rFonts w:ascii="Courier New" w:hAnsi="Courier New" w:hint="default"/>
      </w:rPr>
    </w:lvl>
    <w:lvl w:ilvl="2" w:tplc="0005040C" w:tentative="1">
      <w:start w:val="1"/>
      <w:numFmt w:val="bullet"/>
      <w:lvlText w:val=""/>
      <w:lvlJc w:val="left"/>
      <w:pPr>
        <w:tabs>
          <w:tab w:val="num" w:pos="2240"/>
        </w:tabs>
        <w:ind w:left="2240" w:hanging="360"/>
      </w:pPr>
      <w:rPr>
        <w:rFonts w:ascii="Wingdings" w:hAnsi="Wingdings" w:hint="default"/>
      </w:rPr>
    </w:lvl>
    <w:lvl w:ilvl="3" w:tplc="0001040C" w:tentative="1">
      <w:start w:val="1"/>
      <w:numFmt w:val="bullet"/>
      <w:lvlText w:val=""/>
      <w:lvlJc w:val="left"/>
      <w:pPr>
        <w:tabs>
          <w:tab w:val="num" w:pos="2960"/>
        </w:tabs>
        <w:ind w:left="2960" w:hanging="360"/>
      </w:pPr>
      <w:rPr>
        <w:rFonts w:ascii="Symbol" w:hAnsi="Symbol" w:hint="default"/>
      </w:rPr>
    </w:lvl>
    <w:lvl w:ilvl="4" w:tplc="0003040C" w:tentative="1">
      <w:start w:val="1"/>
      <w:numFmt w:val="bullet"/>
      <w:lvlText w:val="o"/>
      <w:lvlJc w:val="left"/>
      <w:pPr>
        <w:tabs>
          <w:tab w:val="num" w:pos="3680"/>
        </w:tabs>
        <w:ind w:left="3680" w:hanging="360"/>
      </w:pPr>
      <w:rPr>
        <w:rFonts w:ascii="Courier New" w:hAnsi="Courier New" w:hint="default"/>
      </w:rPr>
    </w:lvl>
    <w:lvl w:ilvl="5" w:tplc="0005040C" w:tentative="1">
      <w:start w:val="1"/>
      <w:numFmt w:val="bullet"/>
      <w:lvlText w:val=""/>
      <w:lvlJc w:val="left"/>
      <w:pPr>
        <w:tabs>
          <w:tab w:val="num" w:pos="4400"/>
        </w:tabs>
        <w:ind w:left="4400" w:hanging="360"/>
      </w:pPr>
      <w:rPr>
        <w:rFonts w:ascii="Wingdings" w:hAnsi="Wingdings" w:hint="default"/>
      </w:rPr>
    </w:lvl>
    <w:lvl w:ilvl="6" w:tplc="0001040C" w:tentative="1">
      <w:start w:val="1"/>
      <w:numFmt w:val="bullet"/>
      <w:lvlText w:val=""/>
      <w:lvlJc w:val="left"/>
      <w:pPr>
        <w:tabs>
          <w:tab w:val="num" w:pos="5120"/>
        </w:tabs>
        <w:ind w:left="5120" w:hanging="360"/>
      </w:pPr>
      <w:rPr>
        <w:rFonts w:ascii="Symbol" w:hAnsi="Symbol" w:hint="default"/>
      </w:rPr>
    </w:lvl>
    <w:lvl w:ilvl="7" w:tplc="0003040C" w:tentative="1">
      <w:start w:val="1"/>
      <w:numFmt w:val="bullet"/>
      <w:lvlText w:val="o"/>
      <w:lvlJc w:val="left"/>
      <w:pPr>
        <w:tabs>
          <w:tab w:val="num" w:pos="5840"/>
        </w:tabs>
        <w:ind w:left="5840" w:hanging="360"/>
      </w:pPr>
      <w:rPr>
        <w:rFonts w:ascii="Courier New" w:hAnsi="Courier New" w:hint="default"/>
      </w:rPr>
    </w:lvl>
    <w:lvl w:ilvl="8" w:tplc="0005040C" w:tentative="1">
      <w:start w:val="1"/>
      <w:numFmt w:val="bullet"/>
      <w:lvlText w:val=""/>
      <w:lvlJc w:val="left"/>
      <w:pPr>
        <w:tabs>
          <w:tab w:val="num" w:pos="6560"/>
        </w:tabs>
        <w:ind w:left="6560" w:hanging="360"/>
      </w:pPr>
      <w:rPr>
        <w:rFonts w:ascii="Wingdings" w:hAnsi="Wingdings" w:hint="default"/>
      </w:rPr>
    </w:lvl>
  </w:abstractNum>
  <w:abstractNum w:abstractNumId="19" w15:restartNumberingAfterBreak="0">
    <w:nsid w:val="397D1F70"/>
    <w:multiLevelType w:val="hybridMultilevel"/>
    <w:tmpl w:val="281E616A"/>
    <w:lvl w:ilvl="0" w:tplc="B82058E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F279F6"/>
    <w:multiLevelType w:val="hybridMultilevel"/>
    <w:tmpl w:val="709ECF2E"/>
    <w:lvl w:ilvl="0" w:tplc="000B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8334B"/>
    <w:multiLevelType w:val="hybridMultilevel"/>
    <w:tmpl w:val="0868E9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CE67959"/>
    <w:multiLevelType w:val="hybridMultilevel"/>
    <w:tmpl w:val="589EF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244035"/>
    <w:multiLevelType w:val="hybridMultilevel"/>
    <w:tmpl w:val="F51264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646695"/>
    <w:multiLevelType w:val="multilevel"/>
    <w:tmpl w:val="0DC6E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FB37BE9"/>
    <w:multiLevelType w:val="multilevel"/>
    <w:tmpl w:val="7CAEA9F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410E7A5D"/>
    <w:multiLevelType w:val="hybridMultilevel"/>
    <w:tmpl w:val="18ACF39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716499"/>
    <w:multiLevelType w:val="hybridMultilevel"/>
    <w:tmpl w:val="BE10EEA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63AEE"/>
    <w:multiLevelType w:val="hybridMultilevel"/>
    <w:tmpl w:val="E9F2718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519D3570"/>
    <w:multiLevelType w:val="multilevel"/>
    <w:tmpl w:val="73D63BF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2A41BC0"/>
    <w:multiLevelType w:val="hybridMultilevel"/>
    <w:tmpl w:val="71322E0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53491B"/>
    <w:multiLevelType w:val="hybridMultilevel"/>
    <w:tmpl w:val="7B6426C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457322"/>
    <w:multiLevelType w:val="hybridMultilevel"/>
    <w:tmpl w:val="820EED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6511B2F"/>
    <w:multiLevelType w:val="hybridMultilevel"/>
    <w:tmpl w:val="C37E5212"/>
    <w:lvl w:ilvl="0" w:tplc="12C0D1AA">
      <w:start w:val="1"/>
      <w:numFmt w:val="bullet"/>
      <w:pStyle w:val="ListBullet5"/>
      <w:lvlText w:val="o"/>
      <w:lvlJc w:val="left"/>
      <w:pPr>
        <w:ind w:left="1492" w:hanging="360"/>
      </w:pPr>
      <w:rPr>
        <w:rFonts w:ascii="Courier New" w:hAnsi="Courier New"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4" w15:restartNumberingAfterBreak="0">
    <w:nsid w:val="56990255"/>
    <w:multiLevelType w:val="multilevel"/>
    <w:tmpl w:val="71322E0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B65425"/>
    <w:multiLevelType w:val="hybridMultilevel"/>
    <w:tmpl w:val="EF02BE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9C240E0"/>
    <w:multiLevelType w:val="hybridMultilevel"/>
    <w:tmpl w:val="281E616A"/>
    <w:lvl w:ilvl="0" w:tplc="B82058E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FBF655C"/>
    <w:multiLevelType w:val="hybridMultilevel"/>
    <w:tmpl w:val="B882C722"/>
    <w:lvl w:ilvl="0" w:tplc="9A1C9EC6">
      <w:start w:val="1"/>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493DC5"/>
    <w:multiLevelType w:val="hybridMultilevel"/>
    <w:tmpl w:val="BCDE374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4793156"/>
    <w:multiLevelType w:val="hybridMultilevel"/>
    <w:tmpl w:val="F23A37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A5918C3"/>
    <w:multiLevelType w:val="hybridMultilevel"/>
    <w:tmpl w:val="517C993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1" w15:restartNumberingAfterBreak="0">
    <w:nsid w:val="71CE3E7F"/>
    <w:multiLevelType w:val="hybridMultilevel"/>
    <w:tmpl w:val="96AE3EC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054232"/>
    <w:multiLevelType w:val="hybridMultilevel"/>
    <w:tmpl w:val="7AB623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42"/>
  </w:num>
  <w:num w:numId="5">
    <w:abstractNumId w:val="9"/>
  </w:num>
  <w:num w:numId="6">
    <w:abstractNumId w:val="11"/>
  </w:num>
  <w:num w:numId="7">
    <w:abstractNumId w:val="20"/>
  </w:num>
  <w:num w:numId="8">
    <w:abstractNumId w:val="27"/>
  </w:num>
  <w:num w:numId="9">
    <w:abstractNumId w:val="31"/>
  </w:num>
  <w:num w:numId="10">
    <w:abstractNumId w:val="23"/>
  </w:num>
  <w:num w:numId="11">
    <w:abstractNumId w:val="10"/>
  </w:num>
  <w:num w:numId="12">
    <w:abstractNumId w:val="22"/>
  </w:num>
  <w:num w:numId="13">
    <w:abstractNumId w:val="17"/>
  </w:num>
  <w:num w:numId="14">
    <w:abstractNumId w:val="24"/>
  </w:num>
  <w:num w:numId="15">
    <w:abstractNumId w:val="26"/>
  </w:num>
  <w:num w:numId="16">
    <w:abstractNumId w:val="8"/>
  </w:num>
  <w:num w:numId="17">
    <w:abstractNumId w:val="21"/>
  </w:num>
  <w:num w:numId="18">
    <w:abstractNumId w:val="14"/>
  </w:num>
  <w:num w:numId="19">
    <w:abstractNumId w:val="32"/>
  </w:num>
  <w:num w:numId="20">
    <w:abstractNumId w:val="35"/>
  </w:num>
  <w:num w:numId="21">
    <w:abstractNumId w:val="39"/>
  </w:num>
  <w:num w:numId="22">
    <w:abstractNumId w:val="38"/>
  </w:num>
  <w:num w:numId="23">
    <w:abstractNumId w:val="12"/>
  </w:num>
  <w:num w:numId="24">
    <w:abstractNumId w:val="25"/>
  </w:num>
  <w:num w:numId="25">
    <w:abstractNumId w:val="41"/>
  </w:num>
  <w:num w:numId="26">
    <w:abstractNumId w:val="30"/>
  </w:num>
  <w:num w:numId="27">
    <w:abstractNumId w:val="34"/>
  </w:num>
  <w:num w:numId="28">
    <w:abstractNumId w:val="13"/>
  </w:num>
  <w:num w:numId="29">
    <w:abstractNumId w:val="3"/>
  </w:num>
  <w:num w:numId="30">
    <w:abstractNumId w:val="4"/>
  </w:num>
  <w:num w:numId="31">
    <w:abstractNumId w:val="3"/>
  </w:num>
  <w:num w:numId="32">
    <w:abstractNumId w:val="0"/>
  </w:num>
  <w:num w:numId="33">
    <w:abstractNumId w:val="36"/>
  </w:num>
  <w:num w:numId="34">
    <w:abstractNumId w:val="3"/>
  </w:num>
  <w:num w:numId="35">
    <w:abstractNumId w:val="3"/>
  </w:num>
  <w:num w:numId="36">
    <w:abstractNumId w:val="3"/>
  </w:num>
  <w:num w:numId="37">
    <w:abstractNumId w:val="3"/>
  </w:num>
  <w:num w:numId="38">
    <w:abstractNumId w:val="19"/>
  </w:num>
  <w:num w:numId="39">
    <w:abstractNumId w:val="3"/>
  </w:num>
  <w:num w:numId="40">
    <w:abstractNumId w:val="28"/>
  </w:num>
  <w:num w:numId="41">
    <w:abstractNumId w:val="40"/>
  </w:num>
  <w:num w:numId="42">
    <w:abstractNumId w:val="2"/>
  </w:num>
  <w:num w:numId="43">
    <w:abstractNumId w:val="1"/>
  </w:num>
  <w:num w:numId="44">
    <w:abstractNumId w:val="33"/>
  </w:num>
  <w:num w:numId="45">
    <w:abstractNumId w:val="18"/>
  </w:num>
  <w:num w:numId="46">
    <w:abstractNumId w:val="16"/>
  </w:num>
  <w:num w:numId="47">
    <w:abstractNumId w:val="15"/>
  </w:num>
  <w:num w:numId="48">
    <w:abstractNumId w:val="29"/>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48"/>
    <w:rsid w:val="00013310"/>
    <w:rsid w:val="00024D9C"/>
    <w:rsid w:val="00033085"/>
    <w:rsid w:val="00044639"/>
    <w:rsid w:val="000452E6"/>
    <w:rsid w:val="00061D7D"/>
    <w:rsid w:val="000C3C7F"/>
    <w:rsid w:val="000F58CF"/>
    <w:rsid w:val="0011623A"/>
    <w:rsid w:val="0012408E"/>
    <w:rsid w:val="001273AA"/>
    <w:rsid w:val="00130DF0"/>
    <w:rsid w:val="001318EA"/>
    <w:rsid w:val="00152951"/>
    <w:rsid w:val="00180C68"/>
    <w:rsid w:val="0018207E"/>
    <w:rsid w:val="00184229"/>
    <w:rsid w:val="00194D21"/>
    <w:rsid w:val="001B44AC"/>
    <w:rsid w:val="001C6140"/>
    <w:rsid w:val="001F3780"/>
    <w:rsid w:val="00200D5D"/>
    <w:rsid w:val="00206EAB"/>
    <w:rsid w:val="00210545"/>
    <w:rsid w:val="002358E4"/>
    <w:rsid w:val="00251EC7"/>
    <w:rsid w:val="00267507"/>
    <w:rsid w:val="002758F8"/>
    <w:rsid w:val="00286B6D"/>
    <w:rsid w:val="002D04DD"/>
    <w:rsid w:val="002D0E16"/>
    <w:rsid w:val="002D11BF"/>
    <w:rsid w:val="002E2126"/>
    <w:rsid w:val="00300B97"/>
    <w:rsid w:val="003072AD"/>
    <w:rsid w:val="0032208F"/>
    <w:rsid w:val="003259ED"/>
    <w:rsid w:val="00325D17"/>
    <w:rsid w:val="00332CDD"/>
    <w:rsid w:val="00334424"/>
    <w:rsid w:val="00337066"/>
    <w:rsid w:val="00340CFF"/>
    <w:rsid w:val="00390EF2"/>
    <w:rsid w:val="003A2A04"/>
    <w:rsid w:val="003A47C5"/>
    <w:rsid w:val="003B593C"/>
    <w:rsid w:val="003D5B7E"/>
    <w:rsid w:val="003E6CC3"/>
    <w:rsid w:val="003F3D51"/>
    <w:rsid w:val="003F7FDF"/>
    <w:rsid w:val="00400829"/>
    <w:rsid w:val="00414F95"/>
    <w:rsid w:val="004212BA"/>
    <w:rsid w:val="00422760"/>
    <w:rsid w:val="00435A39"/>
    <w:rsid w:val="004423D9"/>
    <w:rsid w:val="004561D5"/>
    <w:rsid w:val="004873E2"/>
    <w:rsid w:val="00487EEF"/>
    <w:rsid w:val="004C016C"/>
    <w:rsid w:val="004D0499"/>
    <w:rsid w:val="004D1F14"/>
    <w:rsid w:val="00522D41"/>
    <w:rsid w:val="00526A42"/>
    <w:rsid w:val="00561A77"/>
    <w:rsid w:val="005634DA"/>
    <w:rsid w:val="00564CD0"/>
    <w:rsid w:val="00571A4D"/>
    <w:rsid w:val="005827D2"/>
    <w:rsid w:val="00583EDF"/>
    <w:rsid w:val="005936A9"/>
    <w:rsid w:val="00595376"/>
    <w:rsid w:val="005B36EF"/>
    <w:rsid w:val="005B523B"/>
    <w:rsid w:val="005C4967"/>
    <w:rsid w:val="005D3519"/>
    <w:rsid w:val="005D5A71"/>
    <w:rsid w:val="005D5FB9"/>
    <w:rsid w:val="00600B35"/>
    <w:rsid w:val="00602CFC"/>
    <w:rsid w:val="006127B5"/>
    <w:rsid w:val="006279CA"/>
    <w:rsid w:val="0064554F"/>
    <w:rsid w:val="00651F6C"/>
    <w:rsid w:val="006576D4"/>
    <w:rsid w:val="006608D3"/>
    <w:rsid w:val="006740A2"/>
    <w:rsid w:val="006A2D0F"/>
    <w:rsid w:val="006D68B0"/>
    <w:rsid w:val="006D747E"/>
    <w:rsid w:val="00710A6F"/>
    <w:rsid w:val="007179C3"/>
    <w:rsid w:val="00723ECB"/>
    <w:rsid w:val="007434B4"/>
    <w:rsid w:val="007479BD"/>
    <w:rsid w:val="00781CD1"/>
    <w:rsid w:val="00791E48"/>
    <w:rsid w:val="007B036D"/>
    <w:rsid w:val="007C7C21"/>
    <w:rsid w:val="007D5171"/>
    <w:rsid w:val="007D6710"/>
    <w:rsid w:val="007E20CA"/>
    <w:rsid w:val="007E681A"/>
    <w:rsid w:val="007F57D9"/>
    <w:rsid w:val="008010E7"/>
    <w:rsid w:val="008033B4"/>
    <w:rsid w:val="00803CD7"/>
    <w:rsid w:val="00805198"/>
    <w:rsid w:val="008119C3"/>
    <w:rsid w:val="0084345D"/>
    <w:rsid w:val="00851F7D"/>
    <w:rsid w:val="00857C0D"/>
    <w:rsid w:val="00857E3F"/>
    <w:rsid w:val="00862DAF"/>
    <w:rsid w:val="00876558"/>
    <w:rsid w:val="00881F33"/>
    <w:rsid w:val="00896BFD"/>
    <w:rsid w:val="008A2B6C"/>
    <w:rsid w:val="008D70D2"/>
    <w:rsid w:val="008E18E0"/>
    <w:rsid w:val="0096186C"/>
    <w:rsid w:val="00972E01"/>
    <w:rsid w:val="0099736E"/>
    <w:rsid w:val="009A630C"/>
    <w:rsid w:val="009B2CE4"/>
    <w:rsid w:val="009C0B1A"/>
    <w:rsid w:val="009C3A77"/>
    <w:rsid w:val="009C59AF"/>
    <w:rsid w:val="009D4B12"/>
    <w:rsid w:val="009D6F27"/>
    <w:rsid w:val="00A132F0"/>
    <w:rsid w:val="00A325C9"/>
    <w:rsid w:val="00A4431B"/>
    <w:rsid w:val="00A55B9B"/>
    <w:rsid w:val="00A55EF9"/>
    <w:rsid w:val="00A61DFF"/>
    <w:rsid w:val="00A70224"/>
    <w:rsid w:val="00A72C9A"/>
    <w:rsid w:val="00A963AB"/>
    <w:rsid w:val="00AA6FA1"/>
    <w:rsid w:val="00AC1FB2"/>
    <w:rsid w:val="00AD5262"/>
    <w:rsid w:val="00AE771D"/>
    <w:rsid w:val="00B0138B"/>
    <w:rsid w:val="00B01F70"/>
    <w:rsid w:val="00B0509A"/>
    <w:rsid w:val="00B205F6"/>
    <w:rsid w:val="00B315B7"/>
    <w:rsid w:val="00B348A0"/>
    <w:rsid w:val="00B37016"/>
    <w:rsid w:val="00B56C61"/>
    <w:rsid w:val="00B84D0B"/>
    <w:rsid w:val="00B97005"/>
    <w:rsid w:val="00BB12D3"/>
    <w:rsid w:val="00BD7540"/>
    <w:rsid w:val="00BF2E48"/>
    <w:rsid w:val="00BF42C7"/>
    <w:rsid w:val="00C03ADA"/>
    <w:rsid w:val="00C25C12"/>
    <w:rsid w:val="00C44750"/>
    <w:rsid w:val="00C614B4"/>
    <w:rsid w:val="00C6396D"/>
    <w:rsid w:val="00C65ADB"/>
    <w:rsid w:val="00C76443"/>
    <w:rsid w:val="00C76F62"/>
    <w:rsid w:val="00C8073D"/>
    <w:rsid w:val="00C862EB"/>
    <w:rsid w:val="00C87673"/>
    <w:rsid w:val="00C9242A"/>
    <w:rsid w:val="00CB0D11"/>
    <w:rsid w:val="00CD463E"/>
    <w:rsid w:val="00CE5979"/>
    <w:rsid w:val="00D121AD"/>
    <w:rsid w:val="00D1375B"/>
    <w:rsid w:val="00D74802"/>
    <w:rsid w:val="00D75F08"/>
    <w:rsid w:val="00D86AB5"/>
    <w:rsid w:val="00D974EA"/>
    <w:rsid w:val="00D97C34"/>
    <w:rsid w:val="00DA6C61"/>
    <w:rsid w:val="00DA7899"/>
    <w:rsid w:val="00E0415F"/>
    <w:rsid w:val="00E16D94"/>
    <w:rsid w:val="00E2084F"/>
    <w:rsid w:val="00E35DD4"/>
    <w:rsid w:val="00E53E26"/>
    <w:rsid w:val="00E6710C"/>
    <w:rsid w:val="00E70AFC"/>
    <w:rsid w:val="00EA20C3"/>
    <w:rsid w:val="00EA5697"/>
    <w:rsid w:val="00EB3242"/>
    <w:rsid w:val="00EB66AA"/>
    <w:rsid w:val="00EE3ED7"/>
    <w:rsid w:val="00EE4BEB"/>
    <w:rsid w:val="00EE7983"/>
    <w:rsid w:val="00EF0252"/>
    <w:rsid w:val="00F020A2"/>
    <w:rsid w:val="00F11BF6"/>
    <w:rsid w:val="00F24133"/>
    <w:rsid w:val="00F2499D"/>
    <w:rsid w:val="00F4601E"/>
    <w:rsid w:val="00F530D3"/>
    <w:rsid w:val="00F53E67"/>
    <w:rsid w:val="00FB4574"/>
    <w:rsid w:val="00FB5E8A"/>
    <w:rsid w:val="00FD26A7"/>
    <w:rsid w:val="00FE145D"/>
    <w:rsid w:val="00FE1957"/>
    <w:rsid w:val="00FE31E5"/>
    <w:rsid w:val="00FF05C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AFB2241"/>
  <w14:defaultImageDpi w14:val="300"/>
  <w15:docId w15:val="{DBFCDEC9-6020-4A3E-BDE9-CF321387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val="fr-FR" w:eastAsia="fr-FR"/>
    </w:rPr>
  </w:style>
  <w:style w:type="paragraph" w:styleId="Heading1">
    <w:name w:val="heading 1"/>
    <w:basedOn w:val="Normal"/>
    <w:next w:val="Normal"/>
    <w:autoRedefine/>
    <w:qFormat/>
    <w:rsid w:val="00184229"/>
    <w:pPr>
      <w:keepNext/>
      <w:spacing w:before="120" w:after="120"/>
      <w:ind w:left="426"/>
      <w:outlineLvl w:val="0"/>
    </w:pPr>
    <w:rPr>
      <w:rFonts w:ascii="Verdana" w:hAnsi="Verdana"/>
      <w:b/>
      <w:bCs/>
      <w:i/>
      <w:iCs/>
      <w:color w:val="000000" w:themeColor="text1"/>
      <w:u w:val="single"/>
      <w:lang w:val="en-GB" w:eastAsia="en-US"/>
    </w:rPr>
  </w:style>
  <w:style w:type="paragraph" w:styleId="Heading2">
    <w:name w:val="heading 2"/>
    <w:basedOn w:val="Normal"/>
    <w:next w:val="Normal"/>
    <w:qFormat/>
    <w:pPr>
      <w:keepNext/>
      <w:outlineLvl w:val="1"/>
    </w:pPr>
    <w:rPr>
      <w:rFonts w:ascii="Arial" w:hAnsi="Arial"/>
      <w:i/>
      <w:sz w:val="24"/>
      <w:lang w:val="en-GB"/>
    </w:rPr>
  </w:style>
  <w:style w:type="paragraph" w:styleId="Heading6">
    <w:name w:val="heading 6"/>
    <w:basedOn w:val="Normal"/>
    <w:next w:val="Normal"/>
    <w:qFormat/>
    <w:pPr>
      <w:keepNext/>
      <w:ind w:left="-142" w:right="-292"/>
      <w:jc w:val="right"/>
      <w:outlineLvl w:val="5"/>
    </w:pPr>
    <w:rPr>
      <w:rFonts w:eastAsia="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
    <w:name w:val="tab"/>
    <w:basedOn w:val="Normal"/>
    <w:pPr>
      <w:tabs>
        <w:tab w:val="left" w:pos="240"/>
      </w:tabs>
      <w:jc w:val="both"/>
    </w:pPr>
    <w:rPr>
      <w:rFonts w:ascii="Geneva" w:eastAsia="Times New Roman" w:hAnsi="Geneva"/>
      <w:sz w:val="24"/>
    </w:rPr>
  </w:style>
  <w:style w:type="paragraph" w:styleId="BodyText">
    <w:name w:val="Body Text"/>
    <w:basedOn w:val="Normal"/>
    <w:rPr>
      <w:rFonts w:eastAsia="Times New Roman"/>
      <w:sz w:val="24"/>
      <w:lang w:val="en-G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2">
    <w:name w:val="Body Text 2"/>
    <w:basedOn w:val="Normal"/>
    <w:autoRedefine/>
    <w:rsid w:val="00F91418"/>
    <w:pPr>
      <w:spacing w:before="60" w:after="60"/>
      <w:ind w:left="425"/>
    </w:pPr>
    <w:rPr>
      <w:rFonts w:ascii="Arial" w:eastAsia="Times New Roman" w:hAnsi="Arial"/>
      <w:sz w:val="22"/>
      <w:szCs w:val="24"/>
      <w:lang w:val="en-GB" w:eastAsia="en-US"/>
    </w:rPr>
  </w:style>
  <w:style w:type="paragraph" w:styleId="BalloonText">
    <w:name w:val="Balloon Text"/>
    <w:basedOn w:val="Normal"/>
    <w:semiHidden/>
    <w:rsid w:val="009E11A1"/>
    <w:rPr>
      <w:rFonts w:ascii="Lucida Grande" w:hAnsi="Lucida Grande"/>
      <w:sz w:val="18"/>
      <w:szCs w:val="18"/>
    </w:rPr>
  </w:style>
  <w:style w:type="paragraph" w:customStyle="1" w:styleId="Grillemoyenne21">
    <w:name w:val="Grille moyenne 21"/>
    <w:uiPriority w:val="1"/>
    <w:qFormat/>
    <w:rsid w:val="0061199A"/>
    <w:rPr>
      <w:rFonts w:ascii="Cambria" w:eastAsia="Cambria" w:hAnsi="Cambria"/>
      <w:sz w:val="22"/>
      <w:szCs w:val="22"/>
      <w:lang w:val="fr-FR"/>
    </w:rPr>
  </w:style>
  <w:style w:type="paragraph" w:customStyle="1" w:styleId="Grillemoyenne1-Accent21">
    <w:name w:val="Grille moyenne 1 - Accent 21"/>
    <w:basedOn w:val="Normal"/>
    <w:uiPriority w:val="34"/>
    <w:qFormat/>
    <w:rsid w:val="0061199A"/>
    <w:pPr>
      <w:spacing w:after="200" w:line="276" w:lineRule="auto"/>
      <w:ind w:left="720"/>
      <w:contextualSpacing/>
    </w:pPr>
    <w:rPr>
      <w:rFonts w:ascii="Cambria" w:eastAsia="Cambria" w:hAnsi="Cambria"/>
      <w:sz w:val="22"/>
      <w:szCs w:val="22"/>
      <w:lang w:eastAsia="en-US"/>
    </w:rPr>
  </w:style>
  <w:style w:type="paragraph" w:customStyle="1" w:styleId="Listemoyenne2-Accent21">
    <w:name w:val="Liste moyenne 2 - Accent 21"/>
    <w:hidden/>
    <w:rsid w:val="00846764"/>
    <w:rPr>
      <w:rFonts w:ascii="Helvetica" w:hAnsi="Helvetica"/>
      <w:lang w:val="fr-FR" w:eastAsia="fr-FR"/>
    </w:rPr>
  </w:style>
  <w:style w:type="character" w:styleId="CommentReference">
    <w:name w:val="annotation reference"/>
    <w:rsid w:val="00846764"/>
    <w:rPr>
      <w:sz w:val="18"/>
      <w:szCs w:val="18"/>
    </w:rPr>
  </w:style>
  <w:style w:type="paragraph" w:styleId="CommentText">
    <w:name w:val="annotation text"/>
    <w:basedOn w:val="Normal"/>
    <w:link w:val="CommentTextChar"/>
    <w:rsid w:val="00846764"/>
    <w:rPr>
      <w:sz w:val="24"/>
      <w:szCs w:val="24"/>
      <w:lang w:eastAsia="x-none"/>
    </w:rPr>
  </w:style>
  <w:style w:type="character" w:customStyle="1" w:styleId="CommentTextChar">
    <w:name w:val="Comment Text Char"/>
    <w:link w:val="CommentText"/>
    <w:rsid w:val="00846764"/>
    <w:rPr>
      <w:rFonts w:ascii="Helvetica" w:hAnsi="Helvetica"/>
      <w:sz w:val="24"/>
      <w:szCs w:val="24"/>
      <w:lang w:val="fr-FR"/>
    </w:rPr>
  </w:style>
  <w:style w:type="paragraph" w:styleId="CommentSubject">
    <w:name w:val="annotation subject"/>
    <w:basedOn w:val="CommentText"/>
    <w:next w:val="CommentText"/>
    <w:link w:val="CommentSubjectChar"/>
    <w:rsid w:val="00846764"/>
    <w:rPr>
      <w:b/>
      <w:bCs/>
    </w:rPr>
  </w:style>
  <w:style w:type="character" w:customStyle="1" w:styleId="CommentSubjectChar">
    <w:name w:val="Comment Subject Char"/>
    <w:link w:val="CommentSubject"/>
    <w:rsid w:val="00846764"/>
    <w:rPr>
      <w:rFonts w:ascii="Helvetica" w:hAnsi="Helvetica"/>
      <w:b/>
      <w:bCs/>
      <w:sz w:val="24"/>
      <w:szCs w:val="24"/>
      <w:lang w:val="fr-FR"/>
    </w:rPr>
  </w:style>
  <w:style w:type="paragraph" w:styleId="ListBullet3">
    <w:name w:val="List Bullet 3"/>
    <w:basedOn w:val="Normal"/>
    <w:autoRedefine/>
    <w:unhideWhenUsed/>
    <w:qFormat/>
    <w:rsid w:val="00595376"/>
    <w:pPr>
      <w:numPr>
        <w:numId w:val="29"/>
      </w:numPr>
      <w:spacing w:before="80" w:after="80"/>
      <w:ind w:left="1281" w:hanging="357"/>
    </w:pPr>
    <w:rPr>
      <w:rFonts w:ascii="Verdana" w:hAnsi="Verdana" w:cs="Arial"/>
      <w:color w:val="000000" w:themeColor="text1"/>
      <w:lang w:val="en-GB"/>
    </w:rPr>
  </w:style>
  <w:style w:type="paragraph" w:styleId="ListBullet2">
    <w:name w:val="List Bullet 2"/>
    <w:basedOn w:val="Normal"/>
    <w:rsid w:val="009A630C"/>
    <w:pPr>
      <w:numPr>
        <w:numId w:val="30"/>
      </w:numPr>
      <w:contextualSpacing/>
    </w:pPr>
  </w:style>
  <w:style w:type="paragraph" w:styleId="NormalWeb">
    <w:name w:val="Normal (Web)"/>
    <w:basedOn w:val="Normal"/>
    <w:uiPriority w:val="99"/>
    <w:unhideWhenUsed/>
    <w:rsid w:val="00D74802"/>
    <w:pPr>
      <w:spacing w:before="100" w:beforeAutospacing="1" w:after="100" w:afterAutospacing="1"/>
    </w:pPr>
    <w:rPr>
      <w:rFonts w:ascii="Times New Roman" w:eastAsiaTheme="minorHAnsi" w:hAnsi="Times New Roman"/>
      <w:sz w:val="24"/>
      <w:szCs w:val="24"/>
      <w:lang w:val="fr-LU" w:eastAsia="fr-LU"/>
    </w:rPr>
  </w:style>
  <w:style w:type="paragraph" w:styleId="ListParagraph">
    <w:name w:val="List Paragraph"/>
    <w:basedOn w:val="Normal"/>
    <w:uiPriority w:val="34"/>
    <w:qFormat/>
    <w:rsid w:val="000C3C7F"/>
    <w:pPr>
      <w:ind w:left="720"/>
      <w:contextualSpacing/>
    </w:pPr>
  </w:style>
  <w:style w:type="table" w:styleId="TableGrid">
    <w:name w:val="Table Grid"/>
    <w:basedOn w:val="TableNormal"/>
    <w:rsid w:val="003F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autoRedefine/>
    <w:unhideWhenUsed/>
    <w:qFormat/>
    <w:rsid w:val="00595376"/>
    <w:pPr>
      <w:numPr>
        <w:numId w:val="42"/>
      </w:numPr>
      <w:spacing w:before="60" w:after="60"/>
      <w:ind w:left="1560" w:hanging="284"/>
    </w:pPr>
    <w:rPr>
      <w:rFonts w:ascii="Verdana" w:hAnsi="Verdana"/>
      <w:lang w:val="en-GB"/>
    </w:rPr>
  </w:style>
  <w:style w:type="paragraph" w:styleId="ListBullet5">
    <w:name w:val="List Bullet 5"/>
    <w:basedOn w:val="Normal"/>
    <w:autoRedefine/>
    <w:unhideWhenUsed/>
    <w:qFormat/>
    <w:rsid w:val="00F2499D"/>
    <w:pPr>
      <w:numPr>
        <w:numId w:val="44"/>
      </w:numPr>
      <w:ind w:left="1843" w:hanging="283"/>
      <w:contextualSpacing/>
    </w:pPr>
    <w:rPr>
      <w:rFonts w:ascii="Verdana" w:hAnsi="Verdana"/>
      <w:lang w:val="en-GB"/>
    </w:rPr>
  </w:style>
  <w:style w:type="paragraph" w:customStyle="1" w:styleId="Default">
    <w:name w:val="Default"/>
    <w:rsid w:val="00251EC7"/>
    <w:pPr>
      <w:autoSpaceDE w:val="0"/>
      <w:autoSpaceDN w:val="0"/>
      <w:adjustRightInd w:val="0"/>
    </w:pPr>
    <w:rPr>
      <w:rFonts w:ascii="Times New Roman" w:eastAsia="Times New Roman" w:hAnsi="Times New Roman"/>
      <w:color w:val="000000"/>
      <w:sz w:val="24"/>
      <w:szCs w:val="24"/>
      <w:lang w:val="fr-FR" w:eastAsia="fr-FR"/>
    </w:rPr>
  </w:style>
  <w:style w:type="character" w:styleId="EndnoteReference">
    <w:name w:val="endnote reference"/>
    <w:rsid w:val="00997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469240">
      <w:bodyDiv w:val="1"/>
      <w:marLeft w:val="0"/>
      <w:marRight w:val="0"/>
      <w:marTop w:val="0"/>
      <w:marBottom w:val="0"/>
      <w:divBdr>
        <w:top w:val="none" w:sz="0" w:space="0" w:color="auto"/>
        <w:left w:val="none" w:sz="0" w:space="0" w:color="auto"/>
        <w:bottom w:val="none" w:sz="0" w:space="0" w:color="auto"/>
        <w:right w:val="none" w:sz="0" w:space="0" w:color="auto"/>
      </w:divBdr>
    </w:div>
    <w:div w:id="545529530">
      <w:bodyDiv w:val="1"/>
      <w:marLeft w:val="0"/>
      <w:marRight w:val="0"/>
      <w:marTop w:val="0"/>
      <w:marBottom w:val="0"/>
      <w:divBdr>
        <w:top w:val="none" w:sz="0" w:space="0" w:color="auto"/>
        <w:left w:val="none" w:sz="0" w:space="0" w:color="auto"/>
        <w:bottom w:val="none" w:sz="0" w:space="0" w:color="auto"/>
        <w:right w:val="none" w:sz="0" w:space="0" w:color="auto"/>
      </w:divBdr>
    </w:div>
    <w:div w:id="920988345">
      <w:bodyDiv w:val="1"/>
      <w:marLeft w:val="0"/>
      <w:marRight w:val="0"/>
      <w:marTop w:val="0"/>
      <w:marBottom w:val="0"/>
      <w:divBdr>
        <w:top w:val="none" w:sz="0" w:space="0" w:color="auto"/>
        <w:left w:val="none" w:sz="0" w:space="0" w:color="auto"/>
        <w:bottom w:val="none" w:sz="0" w:space="0" w:color="auto"/>
        <w:right w:val="none" w:sz="0" w:space="0" w:color="auto"/>
      </w:divBdr>
    </w:div>
    <w:div w:id="1382485979">
      <w:bodyDiv w:val="1"/>
      <w:marLeft w:val="0"/>
      <w:marRight w:val="0"/>
      <w:marTop w:val="0"/>
      <w:marBottom w:val="0"/>
      <w:divBdr>
        <w:top w:val="none" w:sz="0" w:space="0" w:color="auto"/>
        <w:left w:val="none" w:sz="0" w:space="0" w:color="auto"/>
        <w:bottom w:val="none" w:sz="0" w:space="0" w:color="auto"/>
        <w:right w:val="none" w:sz="0" w:space="0" w:color="auto"/>
      </w:divBdr>
    </w:div>
    <w:div w:id="1392919439">
      <w:bodyDiv w:val="1"/>
      <w:marLeft w:val="0"/>
      <w:marRight w:val="0"/>
      <w:marTop w:val="0"/>
      <w:marBottom w:val="0"/>
      <w:divBdr>
        <w:top w:val="none" w:sz="0" w:space="0" w:color="auto"/>
        <w:left w:val="none" w:sz="0" w:space="0" w:color="auto"/>
        <w:bottom w:val="none" w:sz="0" w:space="0" w:color="auto"/>
        <w:right w:val="none" w:sz="0" w:space="0" w:color="auto"/>
      </w:divBdr>
    </w:div>
    <w:div w:id="1565332482">
      <w:bodyDiv w:val="1"/>
      <w:marLeft w:val="0"/>
      <w:marRight w:val="0"/>
      <w:marTop w:val="0"/>
      <w:marBottom w:val="0"/>
      <w:divBdr>
        <w:top w:val="none" w:sz="0" w:space="0" w:color="auto"/>
        <w:left w:val="none" w:sz="0" w:space="0" w:color="auto"/>
        <w:bottom w:val="none" w:sz="0" w:space="0" w:color="auto"/>
        <w:right w:val="none" w:sz="0" w:space="0" w:color="auto"/>
      </w:divBdr>
    </w:div>
    <w:div w:id="1799377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6FEC8.A4241230"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F5178-DACA-47FC-BC2C-09A322B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1120</Words>
  <Characters>6125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Multinational Seminar for East European countries / July 2001</vt:lpstr>
      <vt:lpstr>Multinational Seminar for East European countries / July 2001</vt:lpstr>
    </vt:vector>
  </TitlesOfParts>
  <Company>ABBL</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Multinational Seminar for East European countries / July 2001</dc:title>
  <dc:subject/>
  <dc:creator>Olivier</dc:creator>
  <cp:keywords/>
  <cp:lastModifiedBy>Corine KLIP</cp:lastModifiedBy>
  <cp:revision>32</cp:revision>
  <cp:lastPrinted>2019-02-08T09:09:00Z</cp:lastPrinted>
  <dcterms:created xsi:type="dcterms:W3CDTF">2021-02-09T08:14:00Z</dcterms:created>
  <dcterms:modified xsi:type="dcterms:W3CDTF">2021-02-25T11:32:00Z</dcterms:modified>
</cp:coreProperties>
</file>