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F4FB" w14:textId="77777777" w:rsidR="009B7E58" w:rsidRPr="008C761D" w:rsidRDefault="009B7E58" w:rsidP="00E84CD0">
      <w:pPr>
        <w:spacing w:line="240" w:lineRule="auto"/>
        <w:jc w:val="both"/>
        <w:rPr>
          <w:rFonts w:cs="Calibri"/>
          <w:lang w:val="en-US"/>
        </w:rPr>
      </w:pPr>
    </w:p>
    <w:p w14:paraId="35060AEA" w14:textId="77777777" w:rsidR="009B7E58" w:rsidRPr="008C761D" w:rsidRDefault="00C91FA1" w:rsidP="00E84CD0">
      <w:pPr>
        <w:spacing w:line="240" w:lineRule="auto"/>
        <w:jc w:val="both"/>
        <w:rPr>
          <w:rFonts w:cs="Calibri"/>
          <w:lang w:val="en-US"/>
        </w:rPr>
      </w:pPr>
      <w:r w:rsidRPr="008C761D">
        <w:rPr>
          <w:rFonts w:cs="Calibri"/>
          <w:noProof/>
          <w:lang w:eastAsia="mk-MK"/>
        </w:rPr>
        <w:drawing>
          <wp:anchor distT="0" distB="0" distL="0" distR="0" simplePos="0" relativeHeight="251652096" behindDoc="0" locked="0" layoutInCell="1" allowOverlap="1" wp14:anchorId="558E2821" wp14:editId="3BE88D07">
            <wp:simplePos x="0" y="0"/>
            <wp:positionH relativeFrom="column">
              <wp:posOffset>2312670</wp:posOffset>
            </wp:positionH>
            <wp:positionV relativeFrom="paragraph">
              <wp:posOffset>658495</wp:posOffset>
            </wp:positionV>
            <wp:extent cx="937260" cy="984885"/>
            <wp:effectExtent l="0" t="0" r="0" b="0"/>
            <wp:wrapTopAndBottom/>
            <wp:docPr id="1658163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84885"/>
                    </a:xfrm>
                    <a:prstGeom prst="rect">
                      <a:avLst/>
                    </a:prstGeom>
                    <a:solidFill>
                      <a:srgbClr val="FFFFFF"/>
                    </a:solidFill>
                    <a:ln>
                      <a:noFill/>
                    </a:ln>
                  </pic:spPr>
                </pic:pic>
              </a:graphicData>
            </a:graphic>
          </wp:anchor>
        </w:drawing>
      </w:r>
    </w:p>
    <w:p w14:paraId="43DD8E28" w14:textId="77777777" w:rsidR="009B7E58" w:rsidRPr="008C761D" w:rsidRDefault="009B7E58" w:rsidP="00E84CD0">
      <w:pPr>
        <w:spacing w:line="240" w:lineRule="auto"/>
        <w:jc w:val="both"/>
        <w:rPr>
          <w:rFonts w:cs="Calibri"/>
          <w:lang w:val="en-US"/>
        </w:rPr>
      </w:pPr>
    </w:p>
    <w:p w14:paraId="25A3803E" w14:textId="77777777" w:rsidR="00577E52" w:rsidRPr="008C761D" w:rsidRDefault="00577E52" w:rsidP="00E84CD0">
      <w:pPr>
        <w:spacing w:after="120" w:line="240" w:lineRule="auto"/>
        <w:jc w:val="center"/>
        <w:rPr>
          <w:rFonts w:eastAsia="MS PGothic" w:cs="Calibri"/>
          <w:b/>
          <w:color w:val="002060"/>
          <w:lang w:val="en-US" w:eastAsia="zh-CN"/>
        </w:rPr>
      </w:pPr>
      <w:r w:rsidRPr="008C761D">
        <w:rPr>
          <w:rFonts w:eastAsia="MS PGothic" w:cs="Calibri"/>
          <w:b/>
          <w:color w:val="002060"/>
          <w:lang w:val="en-US" w:eastAsia="zh-CN"/>
        </w:rPr>
        <w:t>REPUBLIC OF</w:t>
      </w:r>
      <w:r w:rsidR="00C93667" w:rsidRPr="008C761D">
        <w:rPr>
          <w:rFonts w:eastAsia="MS PGothic" w:cs="Calibri"/>
          <w:b/>
          <w:color w:val="002060"/>
          <w:lang w:val="en-US" w:eastAsia="zh-CN"/>
        </w:rPr>
        <w:t>NORTH</w:t>
      </w:r>
      <w:r w:rsidRPr="008C761D">
        <w:rPr>
          <w:rFonts w:eastAsia="MS PGothic" w:cs="Calibri"/>
          <w:b/>
          <w:color w:val="002060"/>
          <w:lang w:val="en-US" w:eastAsia="zh-CN"/>
        </w:rPr>
        <w:t xml:space="preserve"> MACEDONIA</w:t>
      </w:r>
    </w:p>
    <w:p w14:paraId="0C7B954E" w14:textId="77777777" w:rsidR="00577E52" w:rsidRPr="008C761D" w:rsidRDefault="00577E52" w:rsidP="00E84CD0">
      <w:pPr>
        <w:spacing w:after="120" w:line="240" w:lineRule="auto"/>
        <w:jc w:val="center"/>
        <w:rPr>
          <w:rFonts w:eastAsia="MS PGothic" w:cs="Calibri"/>
          <w:b/>
          <w:color w:val="002060"/>
          <w:lang w:val="en-US" w:eastAsia="zh-CN"/>
        </w:rPr>
      </w:pPr>
      <w:r w:rsidRPr="008C761D">
        <w:rPr>
          <w:rFonts w:eastAsia="MS PGothic" w:cs="Calibri"/>
          <w:b/>
          <w:color w:val="002060"/>
          <w:lang w:val="en-US" w:eastAsia="zh-CN"/>
        </w:rPr>
        <w:t>MINISTRY OF FINANCE</w:t>
      </w:r>
    </w:p>
    <w:p w14:paraId="7C1B8F73" w14:textId="77777777" w:rsidR="00E37D83" w:rsidRPr="008C761D" w:rsidRDefault="00174835" w:rsidP="00E84CD0">
      <w:pPr>
        <w:spacing w:line="240" w:lineRule="auto"/>
        <w:jc w:val="both"/>
        <w:rPr>
          <w:rFonts w:cs="Calibri"/>
          <w:b/>
          <w:color w:val="002060"/>
          <w:lang w:val="en-US"/>
        </w:rPr>
      </w:pPr>
      <w:r>
        <w:rPr>
          <w:rFonts w:cs="Calibri"/>
          <w:b/>
          <w:noProof/>
          <w:color w:val="002060"/>
          <w:lang w:val="en-US" w:eastAsia="mk-MK"/>
        </w:rPr>
        <w:pict w14:anchorId="0D4110D0">
          <v:rect id="Rectangle 5" o:spid="_x0000_s2061" style="position:absolute;left:0;text-align:left;margin-left:-21pt;margin-top:367.5pt;width:615pt;height:3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3ppAIAAJYFAAAOAAAAZHJzL2Uyb0RvYy54bWysVE1v2zAMvQ/YfxB0X+04nzXqFF3TFgO6&#10;rVg37MzIsi1MljRJidP++lGykyb7uGy7GJJIPj6Sz7y43LWSbLl1QquCjs5SSrhiuhSqLuiXz7dv&#10;FpQ4D6oEqRUv6BN39HL5+tVFZ3Ke6UbLkluCIMrlnSlo473Jk8SxhrfgzrThCo2Vti14vNo6KS10&#10;iN7KJEvTWdJpWxqrGXcOX1e9kS4jflVx5j9WleOeyIIiNx+/Nn7X4ZssLyCvLZhGsIEG/AWLFoTC&#10;pAeoFXggGyt+gWoFs9rpyp8x3Sa6qgTjsQasZpT+VM1jA4bHWrA5zhza5P4fLPuwfbBElDi72XQ8&#10;m87TCU5MQYuz+oTdA1VLTqahT51xObo/mgcbKnXmXrNvjih93aAXv3IG/REHw/dP1uqu4VAi4VGA&#10;SE4wwsUhGll373WJCWHjdezirrJtyIH9Ibs4rKfDsPjOE4aP88UonaY4U4a28fn5dJLFcSaQ78ON&#10;df6O65aEQ0Et8ovwsL13PtCBfO8yzK68FVISq/1X4ZvY/sA8Gh3G9AdiNBaUxmdn6/W1tGQLKLDz&#10;t6vsZtW7Q9tCFJdroOS9fTLL5rGVkAu1vRtckMWAEhnV7jgLVog1hpffZeprOI0YhYg/h0TwfyKH&#10;fOt9M6RQBIdf0OmkT0scA8mDnOK84w8RmxrySkU6tGTzPT8txcF4Ut/odjyfjQcId+zWCo8LQ4q2&#10;oIs+ZexyUNmNKuPZg5D9GalKNcguKK0Xsd+td+gY5LfW5RMKEAceVYaLDA+Nts+UdLgUCuq+b8By&#10;SuQ7FUS8yBaLsEbibTKdo+SIPTGtj02gGIIVlHlLsU/hcu377bMxVtQNZuvlpfQVir8SUZYvzAbu&#10;+PP32ugXVdgux/fo9bJOlz8AAAD//wMAUEsDBBQABgAIAAAAIQD2HyKL4gAAAA0BAAAPAAAAZHJz&#10;L2Rvd25yZXYueG1sTI9PS8NAEMXvgt9hGcFbu/nTxhCzKSoIXhRsBa/b7DQJZmdDdpum/fROT3r7&#10;Pebx5r1yM9teTDj6zpGCeBmBQKqd6ahR8LV7XeQgfNBkdO8IFZzRw6a6vSl1YdyJPnHahkZwCPlC&#10;K2hDGAopfd2i1X7pBiS+HdxodWA5NtKM+sThtpdJFGXS6o74Q6sHfGmx/tkerYILnQ/5vMsm8/52&#10;icxH/D0/r1Ol7u/mp0cQAefwZ4Zrfa4OFXfauyMZL3oFi1XCW4KCh3TNcHXEec60Z0qzVQKyKuX/&#10;FdUvAAAA//8DAFBLAQItABQABgAIAAAAIQC2gziS/gAAAOEBAAATAAAAAAAAAAAAAAAAAAAAAABb&#10;Q29udGVudF9UeXBlc10ueG1sUEsBAi0AFAAGAAgAAAAhADj9If/WAAAAlAEAAAsAAAAAAAAAAAAA&#10;AAAALwEAAF9yZWxzLy5yZWxzUEsBAi0AFAAGAAgAAAAhAFB1jemkAgAAlgUAAA4AAAAAAAAAAAAA&#10;AAAALgIAAGRycy9lMm9Eb2MueG1sUEsBAi0AFAAGAAgAAAAhAPYfIoviAAAADQEAAA8AAAAAAAAA&#10;AAAAAAAA/gQAAGRycy9kb3ducmV2LnhtbFBLBQYAAAAABAAEAPMAAAANBgAAAAA=&#10;" fillcolor="#48616e" strokecolor="#1f3763" strokeweight="1pt">
            <v:fill color2="#9bd2ed" rotate="t" focus="50%" type="gradient"/>
            <o:lock v:ext="edit" aspectratio="t"/>
            <v:textbox inset="14.4pt,,14.4pt">
              <w:txbxContent>
                <w:p w14:paraId="63F0E162" w14:textId="5744B1CE" w:rsidR="0093115D" w:rsidRPr="007030F8" w:rsidRDefault="007030F8" w:rsidP="009B7E58">
                  <w:pPr>
                    <w:pStyle w:val="Ingetavstnd1"/>
                    <w:jc w:val="center"/>
                    <w:rPr>
                      <w:rFonts w:ascii="StobiSans Regular" w:hAnsi="StobiSans Regular"/>
                      <w:b/>
                      <w:color w:val="000000"/>
                      <w:sz w:val="56"/>
                      <w:szCs w:val="56"/>
                      <w:lang w:val="mk-MK"/>
                    </w:rPr>
                  </w:pPr>
                  <w:r w:rsidRPr="007030F8">
                    <w:rPr>
                      <w:rFonts w:ascii="StobiSans Regular" w:hAnsi="StobiSans Regular"/>
                      <w:b/>
                      <w:color w:val="000000"/>
                      <w:sz w:val="56"/>
                      <w:szCs w:val="56"/>
                      <w:lang w:val="mk-MK"/>
                    </w:rPr>
                    <w:t>DRAFT</w:t>
                  </w:r>
                </w:p>
                <w:p w14:paraId="2B0359B3" w14:textId="77777777" w:rsidR="0093115D" w:rsidRPr="00C91FA1" w:rsidRDefault="0093115D" w:rsidP="004F1113">
                  <w:pPr>
                    <w:pStyle w:val="Ingetavstnd1"/>
                    <w:jc w:val="center"/>
                    <w:rPr>
                      <w:rFonts w:ascii="StobiSans Regular" w:hAnsi="StobiSans Regular"/>
                      <w:b/>
                      <w:color w:val="000000"/>
                      <w:sz w:val="56"/>
                      <w:szCs w:val="56"/>
                      <w:lang w:val="mk-MK"/>
                    </w:rPr>
                  </w:pPr>
                  <w:r w:rsidRPr="00C91FA1">
                    <w:rPr>
                      <w:rFonts w:ascii="StobiSans Regular" w:hAnsi="StobiSans Regular"/>
                      <w:b/>
                      <w:color w:val="000000"/>
                      <w:sz w:val="56"/>
                      <w:szCs w:val="56"/>
                      <w:lang w:val="mk-MK"/>
                    </w:rPr>
                    <w:t xml:space="preserve">Public Financial Management </w:t>
                  </w:r>
                </w:p>
                <w:p w14:paraId="3A94ED7D" w14:textId="77777777" w:rsidR="0093115D" w:rsidRPr="00C91FA1" w:rsidRDefault="0093115D" w:rsidP="00A17308">
                  <w:pPr>
                    <w:pStyle w:val="Ingetavstnd1"/>
                    <w:jc w:val="center"/>
                    <w:rPr>
                      <w:rFonts w:ascii="StobiSans Regular" w:hAnsi="StobiSans Regular"/>
                      <w:b/>
                      <w:color w:val="000000"/>
                      <w:sz w:val="56"/>
                      <w:szCs w:val="56"/>
                      <w:lang w:val="mk-MK"/>
                    </w:rPr>
                  </w:pPr>
                  <w:r w:rsidRPr="00C91FA1">
                    <w:rPr>
                      <w:rFonts w:ascii="StobiSans Regular" w:hAnsi="StobiSans Regular"/>
                      <w:b/>
                      <w:color w:val="000000"/>
                      <w:sz w:val="56"/>
                      <w:szCs w:val="56"/>
                      <w:lang w:val="mk-MK"/>
                    </w:rPr>
                    <w:t>Reform Programme</w:t>
                  </w:r>
                </w:p>
                <w:p w14:paraId="7E67967E" w14:textId="77777777" w:rsidR="0093115D" w:rsidRPr="00C91FA1" w:rsidRDefault="0093115D" w:rsidP="005C30F3">
                  <w:pPr>
                    <w:spacing w:before="240" w:after="0" w:line="240" w:lineRule="auto"/>
                    <w:ind w:left="142"/>
                    <w:jc w:val="center"/>
                    <w:rPr>
                      <w:rFonts w:ascii="StobiSans Regular" w:eastAsia="MS PGothic" w:hAnsi="StobiSans Regular"/>
                      <w:b/>
                      <w:color w:val="000000"/>
                      <w:sz w:val="56"/>
                      <w:szCs w:val="56"/>
                      <w:lang w:eastAsia="zh-CN"/>
                    </w:rPr>
                  </w:pPr>
                  <w:r w:rsidRPr="00C91FA1">
                    <w:rPr>
                      <w:rFonts w:ascii="StobiSans Regular" w:eastAsia="MS PGothic" w:hAnsi="StobiSans Regular"/>
                      <w:b/>
                      <w:color w:val="000000"/>
                      <w:sz w:val="56"/>
                      <w:szCs w:val="56"/>
                      <w:lang w:eastAsia="zh-CN"/>
                    </w:rPr>
                    <w:t>„SMART PUBLIC FINANCES“</w:t>
                  </w:r>
                </w:p>
                <w:p w14:paraId="670567EB" w14:textId="77777777" w:rsidR="0093115D" w:rsidRPr="00C91FA1" w:rsidRDefault="0093115D" w:rsidP="00DF4073">
                  <w:pPr>
                    <w:pStyle w:val="Ingetavstnd1"/>
                    <w:spacing w:before="240"/>
                    <w:jc w:val="center"/>
                    <w:rPr>
                      <w:rFonts w:ascii="StobiSans Regular" w:hAnsi="StobiSans Regular"/>
                      <w:b/>
                      <w:color w:val="000000"/>
                      <w:sz w:val="56"/>
                      <w:szCs w:val="56"/>
                    </w:rPr>
                  </w:pPr>
                  <w:r w:rsidRPr="00C91FA1">
                    <w:rPr>
                      <w:rFonts w:ascii="StobiSans Regular" w:hAnsi="StobiSans Regular"/>
                      <w:b/>
                      <w:color w:val="000000"/>
                      <w:sz w:val="56"/>
                      <w:szCs w:val="56"/>
                      <w:lang w:val="mk-MK"/>
                    </w:rPr>
                    <w:t>202</w:t>
                  </w:r>
                  <w:r w:rsidRPr="00C91FA1">
                    <w:rPr>
                      <w:rFonts w:ascii="StobiSans Regular" w:hAnsi="StobiSans Regular"/>
                      <w:b/>
                      <w:color w:val="000000"/>
                      <w:sz w:val="56"/>
                      <w:szCs w:val="56"/>
                    </w:rPr>
                    <w:t>4</w:t>
                  </w:r>
                  <w:r w:rsidRPr="00C91FA1">
                    <w:rPr>
                      <w:rFonts w:ascii="StobiSans Regular" w:hAnsi="StobiSans Regular"/>
                      <w:b/>
                      <w:color w:val="000000"/>
                      <w:sz w:val="56"/>
                      <w:szCs w:val="56"/>
                      <w:lang w:val="mk-MK"/>
                    </w:rPr>
                    <w:t xml:space="preserve"> – 202</w:t>
                  </w:r>
                  <w:r w:rsidRPr="00C91FA1">
                    <w:rPr>
                      <w:rFonts w:ascii="StobiSans Regular" w:hAnsi="StobiSans Regular"/>
                      <w:b/>
                      <w:color w:val="000000"/>
                      <w:sz w:val="56"/>
                      <w:szCs w:val="56"/>
                    </w:rPr>
                    <w:t>7</w:t>
                  </w:r>
                </w:p>
                <w:p w14:paraId="55707DDC" w14:textId="77777777" w:rsidR="0093115D" w:rsidRPr="00E50D10" w:rsidRDefault="0093115D" w:rsidP="009B7E58">
                  <w:pPr>
                    <w:pStyle w:val="Ingetavstnd1"/>
                    <w:jc w:val="right"/>
                    <w:rPr>
                      <w:color w:val="FFFFFF"/>
                      <w:sz w:val="56"/>
                      <w:szCs w:val="72"/>
                      <w:lang w:val="sv-SE"/>
                    </w:rPr>
                  </w:pPr>
                </w:p>
              </w:txbxContent>
            </v:textbox>
            <w10:wrap anchorx="page" anchory="page"/>
          </v:rect>
        </w:pict>
      </w:r>
    </w:p>
    <w:p w14:paraId="485B1EDF" w14:textId="77777777" w:rsidR="009B7E58" w:rsidRPr="008C761D" w:rsidRDefault="009B7E58" w:rsidP="00E84CD0">
      <w:pPr>
        <w:spacing w:line="240" w:lineRule="auto"/>
        <w:jc w:val="both"/>
        <w:rPr>
          <w:rFonts w:cs="Calibri"/>
          <w:b/>
          <w:color w:val="002060"/>
          <w:lang w:val="en-US"/>
        </w:rPr>
      </w:pPr>
    </w:p>
    <w:p w14:paraId="6ABC20A9" w14:textId="77777777" w:rsidR="009B7E58" w:rsidRPr="008C761D" w:rsidRDefault="009B7E58" w:rsidP="00E84CD0">
      <w:pPr>
        <w:spacing w:line="240" w:lineRule="auto"/>
        <w:jc w:val="both"/>
        <w:rPr>
          <w:rFonts w:cs="Calibri"/>
          <w:lang w:val="en-US"/>
        </w:rPr>
      </w:pPr>
    </w:p>
    <w:p w14:paraId="4E3DD074" w14:textId="77777777" w:rsidR="009B7E58" w:rsidRPr="008C761D" w:rsidRDefault="009B7E58" w:rsidP="00E84CD0">
      <w:pPr>
        <w:spacing w:line="240" w:lineRule="auto"/>
        <w:jc w:val="both"/>
        <w:rPr>
          <w:rFonts w:cs="Calibri"/>
          <w:lang w:val="en-US"/>
        </w:rPr>
      </w:pPr>
    </w:p>
    <w:p w14:paraId="3472E2E9" w14:textId="77777777" w:rsidR="009B7E58" w:rsidRPr="008C761D" w:rsidRDefault="009B7E58" w:rsidP="00E84CD0">
      <w:pPr>
        <w:spacing w:line="240" w:lineRule="auto"/>
        <w:jc w:val="both"/>
        <w:rPr>
          <w:rFonts w:cs="Calibri"/>
          <w:lang w:val="en-US"/>
        </w:rPr>
      </w:pPr>
    </w:p>
    <w:p w14:paraId="3677C648" w14:textId="77777777" w:rsidR="009B7E58" w:rsidRPr="008C761D" w:rsidRDefault="009B7E58" w:rsidP="00E84CD0">
      <w:pPr>
        <w:spacing w:line="240" w:lineRule="auto"/>
        <w:jc w:val="both"/>
        <w:rPr>
          <w:rFonts w:cs="Calibri"/>
          <w:lang w:val="en-US"/>
        </w:rPr>
      </w:pPr>
    </w:p>
    <w:p w14:paraId="2BFE967E" w14:textId="77777777" w:rsidR="009B7E58" w:rsidRPr="008C761D" w:rsidRDefault="009B7E58" w:rsidP="00E84CD0">
      <w:pPr>
        <w:spacing w:line="240" w:lineRule="auto"/>
        <w:jc w:val="both"/>
        <w:rPr>
          <w:rFonts w:cs="Calibri"/>
          <w:lang w:val="en-US"/>
        </w:rPr>
      </w:pPr>
    </w:p>
    <w:p w14:paraId="60E02D8C" w14:textId="77777777" w:rsidR="009B7E58" w:rsidRPr="008C761D" w:rsidRDefault="009B7E58" w:rsidP="00E84CD0">
      <w:pPr>
        <w:spacing w:line="240" w:lineRule="auto"/>
        <w:jc w:val="both"/>
        <w:rPr>
          <w:rFonts w:cs="Calibri"/>
          <w:lang w:val="en-US"/>
        </w:rPr>
      </w:pPr>
    </w:p>
    <w:p w14:paraId="13404288" w14:textId="77777777" w:rsidR="009B7E58" w:rsidRPr="008C761D" w:rsidRDefault="009B7E58" w:rsidP="00E84CD0">
      <w:pPr>
        <w:spacing w:line="240" w:lineRule="auto"/>
        <w:jc w:val="both"/>
        <w:rPr>
          <w:rFonts w:cs="Calibri"/>
          <w:lang w:val="en-US"/>
        </w:rPr>
      </w:pPr>
    </w:p>
    <w:p w14:paraId="234519C0" w14:textId="77777777" w:rsidR="009B7E58" w:rsidRPr="008C761D" w:rsidRDefault="009B7E58" w:rsidP="00E84CD0">
      <w:pPr>
        <w:spacing w:line="240" w:lineRule="auto"/>
        <w:jc w:val="both"/>
        <w:rPr>
          <w:rFonts w:cs="Calibri"/>
          <w:lang w:val="en-US"/>
        </w:rPr>
      </w:pPr>
    </w:p>
    <w:p w14:paraId="2CF99306" w14:textId="77777777" w:rsidR="009B7E58" w:rsidRPr="008C761D" w:rsidRDefault="009B7E58" w:rsidP="00E84CD0">
      <w:pPr>
        <w:spacing w:line="240" w:lineRule="auto"/>
        <w:jc w:val="both"/>
        <w:rPr>
          <w:rFonts w:cs="Calibri"/>
          <w:lang w:val="en-US"/>
        </w:rPr>
      </w:pPr>
    </w:p>
    <w:p w14:paraId="7D8A1076" w14:textId="77777777" w:rsidR="009B7E58" w:rsidRPr="008C761D" w:rsidRDefault="009B7E58" w:rsidP="00E84CD0">
      <w:pPr>
        <w:spacing w:line="240" w:lineRule="auto"/>
        <w:jc w:val="both"/>
        <w:rPr>
          <w:rFonts w:cs="Calibri"/>
          <w:lang w:val="en-US"/>
        </w:rPr>
      </w:pPr>
    </w:p>
    <w:p w14:paraId="34A6836B" w14:textId="77777777" w:rsidR="009B7E58" w:rsidRPr="008C761D" w:rsidRDefault="009B7E58" w:rsidP="00E84CD0">
      <w:pPr>
        <w:spacing w:line="240" w:lineRule="auto"/>
        <w:jc w:val="both"/>
        <w:rPr>
          <w:rFonts w:cs="Calibri"/>
          <w:lang w:val="en-US"/>
        </w:rPr>
      </w:pPr>
    </w:p>
    <w:p w14:paraId="730C5FC8" w14:textId="77777777" w:rsidR="009B7E58" w:rsidRPr="008C761D" w:rsidRDefault="00577E52" w:rsidP="00E84CD0">
      <w:pPr>
        <w:spacing w:line="240" w:lineRule="auto"/>
        <w:jc w:val="both"/>
        <w:rPr>
          <w:rFonts w:cs="Calibri"/>
          <w:b/>
          <w:color w:val="002060"/>
          <w:lang w:val="en-US"/>
        </w:rPr>
      </w:pPr>
      <w:r w:rsidRPr="008C761D">
        <w:rPr>
          <w:rFonts w:cs="Calibri"/>
          <w:b/>
          <w:color w:val="002060"/>
          <w:lang w:val="en-US"/>
        </w:rPr>
        <w:t xml:space="preserve">March 2022 </w:t>
      </w:r>
    </w:p>
    <w:p w14:paraId="3CC37989" w14:textId="77777777" w:rsidR="00D00A68" w:rsidRPr="008C761D" w:rsidRDefault="00D00A68" w:rsidP="00E84CD0">
      <w:pPr>
        <w:spacing w:line="240" w:lineRule="auto"/>
        <w:jc w:val="both"/>
        <w:rPr>
          <w:rFonts w:eastAsia="MS PGothic" w:cs="Calibri"/>
          <w:b/>
          <w:bCs/>
          <w:color w:val="CD0000"/>
          <w:lang w:val="en-US" w:eastAsia="zh-CN"/>
        </w:rPr>
      </w:pPr>
    </w:p>
    <w:p w14:paraId="321A5C9B" w14:textId="77777777" w:rsidR="00966148" w:rsidRPr="008C761D" w:rsidRDefault="00527D2D" w:rsidP="00E84CD0">
      <w:pPr>
        <w:shd w:val="clear" w:color="auto" w:fill="FFFFFF"/>
        <w:spacing w:after="120" w:line="240" w:lineRule="auto"/>
        <w:jc w:val="both"/>
        <w:rPr>
          <w:rFonts w:eastAsia="MS PGothic" w:cs="Calibri"/>
          <w:b/>
          <w:bCs/>
          <w:color w:val="2F5496"/>
          <w:kern w:val="32"/>
          <w:sz w:val="40"/>
          <w:szCs w:val="40"/>
          <w:lang w:val="en-US" w:eastAsia="zh-CN"/>
        </w:rPr>
      </w:pPr>
      <w:r w:rsidRPr="008C761D">
        <w:rPr>
          <w:rFonts w:eastAsia="MS PGothic" w:cs="Calibri"/>
          <w:b/>
          <w:lang w:val="en-US" w:eastAsia="zh-CN"/>
        </w:rPr>
        <w:br w:type="page"/>
      </w:r>
      <w:r w:rsidR="00966148" w:rsidRPr="008C761D">
        <w:rPr>
          <w:rFonts w:eastAsia="MS PGothic" w:cs="Calibri"/>
          <w:b/>
          <w:bCs/>
          <w:color w:val="2F5496"/>
          <w:kern w:val="32"/>
          <w:sz w:val="40"/>
          <w:szCs w:val="40"/>
          <w:lang w:val="en-US" w:eastAsia="zh-CN"/>
        </w:rPr>
        <w:lastRenderedPageBreak/>
        <w:t>PREFACE</w:t>
      </w:r>
    </w:p>
    <w:p w14:paraId="385F6600" w14:textId="77777777" w:rsidR="00ED0A76" w:rsidRPr="008C761D" w:rsidRDefault="00ED0A76" w:rsidP="00ED0A76">
      <w:pPr>
        <w:shd w:val="clear" w:color="auto" w:fill="FFFFFF"/>
        <w:spacing w:after="120" w:line="240" w:lineRule="auto"/>
        <w:jc w:val="both"/>
        <w:rPr>
          <w:rFonts w:eastAsia="MS PGothic" w:cs="Calibri"/>
          <w:i/>
          <w:color w:val="202124"/>
          <w:lang w:val="en-US" w:eastAsia="zh-CN"/>
        </w:rPr>
      </w:pPr>
    </w:p>
    <w:p w14:paraId="3ED8D09D" w14:textId="61C7ACBE" w:rsidR="00A2147E" w:rsidRPr="008C761D" w:rsidRDefault="00A2147E" w:rsidP="00A2147E">
      <w:pPr>
        <w:pStyle w:val="NormalWeb"/>
        <w:shd w:val="clear" w:color="auto" w:fill="FFFFFF"/>
        <w:spacing w:before="0" w:after="198"/>
        <w:jc w:val="both"/>
        <w:rPr>
          <w:rFonts w:ascii="Calibri" w:hAnsi="Calibri"/>
          <w:i/>
          <w:sz w:val="22"/>
          <w:szCs w:val="22"/>
          <w:lang w:val="en-US"/>
        </w:rPr>
      </w:pPr>
      <w:r w:rsidRPr="008C761D">
        <w:rPr>
          <w:rFonts w:ascii="Calibri" w:hAnsi="Calibri" w:cs="Arial"/>
          <w:i/>
          <w:sz w:val="22"/>
          <w:szCs w:val="22"/>
          <w:lang w:val="en-US"/>
        </w:rPr>
        <w:t>Amid global energy and price crisis, fiscal sustainability and prudent public finances are crucial factor for economic growth and prosperous future for any country.</w:t>
      </w:r>
      <w:r w:rsidR="00212B36">
        <w:rPr>
          <w:rFonts w:ascii="Calibri" w:hAnsi="Calibri" w:cs="Arial"/>
          <w:i/>
          <w:sz w:val="22"/>
          <w:szCs w:val="22"/>
          <w:lang w:val="en-US"/>
        </w:rPr>
        <w:t xml:space="preserve"> </w:t>
      </w:r>
      <w:r w:rsidRPr="008C761D">
        <w:rPr>
          <w:rFonts w:ascii="Calibri" w:hAnsi="Calibri" w:cs="Arial"/>
          <w:i/>
          <w:sz w:val="22"/>
          <w:szCs w:val="22"/>
          <w:lang w:val="en-US"/>
        </w:rPr>
        <w:t>To that end, implementing coherent, integrated and sustainable policies is a key.</w:t>
      </w:r>
      <w:r w:rsidR="00212B36">
        <w:rPr>
          <w:rFonts w:ascii="Calibri" w:hAnsi="Calibri" w:cs="Arial"/>
          <w:i/>
          <w:sz w:val="22"/>
          <w:szCs w:val="22"/>
          <w:lang w:val="en-US"/>
        </w:rPr>
        <w:t xml:space="preserve"> </w:t>
      </w:r>
      <w:r w:rsidRPr="008C761D">
        <w:rPr>
          <w:rFonts w:ascii="Calibri" w:hAnsi="Calibri" w:cs="Geneva"/>
          <w:i/>
          <w:sz w:val="22"/>
          <w:szCs w:val="22"/>
          <w:lang w:val="en-US"/>
        </w:rPr>
        <w:t>For the purpose of maintaining the economic flows, the Government is strongly committed to the reform agenda for improved public finance management and managing the risks arising from the ongoing crisis, aimed at getting the country back to the pre-pandemic growth trajectory.</w:t>
      </w:r>
      <w:r w:rsidR="00212B36">
        <w:rPr>
          <w:rFonts w:ascii="Calibri" w:hAnsi="Calibri" w:cs="Geneva"/>
          <w:i/>
          <w:sz w:val="22"/>
          <w:szCs w:val="22"/>
          <w:lang w:val="en-US"/>
        </w:rPr>
        <w:t xml:space="preserve"> </w:t>
      </w:r>
      <w:r w:rsidRPr="008C761D">
        <w:rPr>
          <w:rFonts w:ascii="Calibri" w:hAnsi="Calibri" w:cs="Geneva"/>
          <w:i/>
          <w:sz w:val="22"/>
          <w:szCs w:val="22"/>
          <w:lang w:val="en-US"/>
        </w:rPr>
        <w:t>Against such background, domestic economy has shown great resilience to the subsequent shocks induced by global factors.</w:t>
      </w:r>
      <w:r w:rsidR="00212B36">
        <w:rPr>
          <w:rFonts w:ascii="Calibri" w:hAnsi="Calibri" w:cs="Geneva"/>
          <w:i/>
          <w:sz w:val="22"/>
          <w:szCs w:val="22"/>
          <w:lang w:val="en-US"/>
        </w:rPr>
        <w:t xml:space="preserve"> </w:t>
      </w:r>
      <w:r w:rsidRPr="008C761D">
        <w:rPr>
          <w:rFonts w:ascii="Calibri" w:hAnsi="Calibri" w:cs="Arial"/>
          <w:i/>
          <w:sz w:val="22"/>
          <w:szCs w:val="22"/>
          <w:lang w:val="en-US"/>
        </w:rPr>
        <w:t>Timely response of the fiscal policy by rapid reaction, vast array of anti-crisis measures and substantial fiscal stimulus, has continuously and considerably limited the effects of these shocks.</w:t>
      </w:r>
      <w:r w:rsidR="00212B36">
        <w:rPr>
          <w:rFonts w:ascii="Calibri" w:hAnsi="Calibri" w:cs="Arial"/>
          <w:i/>
          <w:sz w:val="22"/>
          <w:szCs w:val="22"/>
          <w:lang w:val="en-US"/>
        </w:rPr>
        <w:t xml:space="preserve"> </w:t>
      </w:r>
      <w:r w:rsidRPr="008C761D">
        <w:rPr>
          <w:rFonts w:ascii="Calibri" w:hAnsi="Calibri" w:cs="Arial"/>
          <w:i/>
          <w:sz w:val="22"/>
          <w:szCs w:val="22"/>
          <w:lang w:val="en-US"/>
        </w:rPr>
        <w:t>From the very outset of the crisis, in addition to continuing the measures aimed at support and recovery during and after the pandemic, the Government responded timely to the end of slowing down the spillover effect of the imported inflation, thus ensuring full and stable supply of electricity and avoiding the price shocks.</w:t>
      </w:r>
      <w:r w:rsidR="00212B36">
        <w:rPr>
          <w:rFonts w:ascii="Calibri" w:hAnsi="Calibri" w:cs="Arial"/>
          <w:i/>
          <w:sz w:val="22"/>
          <w:szCs w:val="22"/>
          <w:lang w:val="en-US"/>
        </w:rPr>
        <w:t xml:space="preserve"> </w:t>
      </w:r>
      <w:r w:rsidRPr="008C761D">
        <w:rPr>
          <w:rFonts w:ascii="Calibri" w:hAnsi="Calibri" w:cs="Arial"/>
          <w:i/>
          <w:sz w:val="22"/>
          <w:szCs w:val="22"/>
          <w:lang w:val="en-US"/>
        </w:rPr>
        <w:t>The measures were targeted at the vulnerable categories of citizens and businesses affected by the crisis, with the main objectives being to protect the living standard, maintain companies’ liquidity and support investments in energy efficiency and renewable energy sources, all to the end of ensuring energy stability in the long term and basis for sustainable economic growth rates in the medium term.</w:t>
      </w:r>
    </w:p>
    <w:p w14:paraId="1EC7DCDF" w14:textId="77777777" w:rsidR="00A2147E" w:rsidRPr="008C761D" w:rsidRDefault="00A2147E" w:rsidP="00A2147E">
      <w:pPr>
        <w:pStyle w:val="NormalWeb"/>
        <w:shd w:val="clear" w:color="auto" w:fill="FFFFFF"/>
        <w:spacing w:before="0" w:after="198"/>
        <w:jc w:val="both"/>
        <w:rPr>
          <w:rFonts w:ascii="Calibri" w:hAnsi="Calibri"/>
          <w:i/>
          <w:sz w:val="22"/>
          <w:szCs w:val="22"/>
          <w:lang w:val="en-US"/>
        </w:rPr>
      </w:pPr>
      <w:r w:rsidRPr="008C761D">
        <w:rPr>
          <w:rFonts w:ascii="Calibri" w:hAnsi="Calibri" w:cs="Arial"/>
          <w:i/>
          <w:sz w:val="22"/>
          <w:szCs w:val="22"/>
          <w:lang w:val="en-US"/>
        </w:rPr>
        <w:t>All this can be achieved by stabilizing the inflation and speeding up the implementation of capital projects, as well as strongly focusing on the implementation of structural reforms.</w:t>
      </w:r>
    </w:p>
    <w:p w14:paraId="74711593" w14:textId="43B345B4" w:rsidR="00A2147E" w:rsidRPr="008C761D" w:rsidRDefault="00A2147E" w:rsidP="00A2147E">
      <w:pPr>
        <w:pStyle w:val="NormalWeb"/>
        <w:shd w:val="clear" w:color="auto" w:fill="FFFFFF"/>
        <w:spacing w:before="0" w:after="198"/>
        <w:jc w:val="both"/>
        <w:rPr>
          <w:rFonts w:ascii="Calibri" w:hAnsi="Calibri"/>
          <w:i/>
          <w:sz w:val="22"/>
          <w:szCs w:val="22"/>
          <w:lang w:val="en-US"/>
        </w:rPr>
      </w:pPr>
      <w:r w:rsidRPr="008C761D">
        <w:rPr>
          <w:rFonts w:ascii="Calibri" w:hAnsi="Calibri" w:cs="Arial"/>
          <w:i/>
          <w:sz w:val="22"/>
          <w:szCs w:val="22"/>
          <w:lang w:val="en-US"/>
        </w:rPr>
        <w:t>Projected public capital investments, reaching all-time record high level of EUR 800 million in 2023, are a positive boost for the economic growth.</w:t>
      </w:r>
      <w:r w:rsidR="00212B36">
        <w:rPr>
          <w:rFonts w:ascii="Calibri" w:hAnsi="Calibri" w:cs="Arial"/>
          <w:i/>
          <w:sz w:val="22"/>
          <w:szCs w:val="22"/>
          <w:lang w:val="en-US"/>
        </w:rPr>
        <w:t xml:space="preserve"> </w:t>
      </w:r>
      <w:r w:rsidRPr="008C761D">
        <w:rPr>
          <w:rFonts w:ascii="Calibri" w:hAnsi="Calibri" w:cs="Arial"/>
          <w:i/>
          <w:sz w:val="22"/>
          <w:szCs w:val="22"/>
          <w:lang w:val="en-US"/>
        </w:rPr>
        <w:t>Key projects in the field of road and rail infrastructure, energy, utilities infrastructure, etc., has already been launched.</w:t>
      </w:r>
      <w:r w:rsidR="00212B36">
        <w:rPr>
          <w:rFonts w:ascii="Calibri" w:hAnsi="Calibri" w:cs="Arial"/>
          <w:i/>
          <w:sz w:val="22"/>
          <w:szCs w:val="22"/>
          <w:lang w:val="en-US"/>
        </w:rPr>
        <w:t xml:space="preserve"> </w:t>
      </w:r>
      <w:r w:rsidRPr="008C761D">
        <w:rPr>
          <w:rFonts w:ascii="Calibri" w:hAnsi="Calibri" w:cs="Geneva"/>
          <w:i/>
          <w:sz w:val="22"/>
          <w:szCs w:val="22"/>
          <w:lang w:val="en-US"/>
        </w:rPr>
        <w:t>Despite the narrow fiscal room, fiscal consolidation resumes by reducing the budget deficit, optimizing the costs of the sources of its financing, fully targeting it towards financing investment projects.</w:t>
      </w:r>
    </w:p>
    <w:p w14:paraId="31559BF1" w14:textId="11148C09" w:rsidR="00A2147E" w:rsidRPr="008C761D" w:rsidRDefault="00A2147E" w:rsidP="00A2147E">
      <w:pPr>
        <w:pStyle w:val="NormalWeb"/>
        <w:shd w:val="clear" w:color="auto" w:fill="FFFFFF"/>
        <w:spacing w:before="0" w:after="198"/>
        <w:jc w:val="both"/>
        <w:rPr>
          <w:rFonts w:ascii="Calibri" w:hAnsi="Calibri" w:cs="Arial"/>
          <w:i/>
          <w:sz w:val="22"/>
          <w:szCs w:val="22"/>
          <w:lang w:val="en-US"/>
        </w:rPr>
      </w:pPr>
      <w:r w:rsidRPr="008C761D">
        <w:rPr>
          <w:rFonts w:ascii="Calibri" w:hAnsi="Calibri" w:cs="Arial"/>
          <w:i/>
          <w:sz w:val="22"/>
          <w:szCs w:val="22"/>
          <w:lang w:val="en-US"/>
        </w:rPr>
        <w:t xml:space="preserve">Public Financial Management Reform Programme or “Smart Public </w:t>
      </w:r>
      <w:proofErr w:type="gramStart"/>
      <w:r w:rsidRPr="008C761D">
        <w:rPr>
          <w:rFonts w:ascii="Calibri" w:hAnsi="Calibri" w:cs="Arial"/>
          <w:i/>
          <w:sz w:val="22"/>
          <w:szCs w:val="22"/>
          <w:lang w:val="en-US"/>
        </w:rPr>
        <w:t>Finances“ is</w:t>
      </w:r>
      <w:proofErr w:type="gramEnd"/>
      <w:r w:rsidRPr="008C761D">
        <w:rPr>
          <w:rFonts w:ascii="Calibri" w:hAnsi="Calibri" w:cs="Arial"/>
          <w:i/>
          <w:sz w:val="22"/>
          <w:szCs w:val="22"/>
          <w:lang w:val="en-US"/>
        </w:rPr>
        <w:t xml:space="preserve"> designed to address all weaknesses identified in recent diagnostics of the international organisations (PEFA, PIMA, TADAT, SIGMA).</w:t>
      </w:r>
      <w:r w:rsidR="00212B36">
        <w:rPr>
          <w:rFonts w:ascii="Calibri" w:hAnsi="Calibri" w:cs="Arial"/>
          <w:i/>
          <w:sz w:val="22"/>
          <w:szCs w:val="22"/>
          <w:lang w:val="en-US"/>
        </w:rPr>
        <w:t xml:space="preserve"> </w:t>
      </w:r>
      <w:r w:rsidRPr="008C761D">
        <w:rPr>
          <w:rFonts w:ascii="Calibri" w:hAnsi="Calibri" w:cs="Arial"/>
          <w:i/>
          <w:sz w:val="22"/>
          <w:szCs w:val="22"/>
          <w:lang w:val="en-US"/>
        </w:rPr>
        <w:t>It covers reforms in the area of public internal financial control, public procurement, external audit and public financial management, i.e. all aspects the European Union evaluates. </w:t>
      </w:r>
    </w:p>
    <w:p w14:paraId="3C4C49FD" w14:textId="1E4F5F95" w:rsidR="00A2147E" w:rsidRPr="008C761D" w:rsidRDefault="00A2147E" w:rsidP="00A2147E">
      <w:pPr>
        <w:pStyle w:val="NormalWeb"/>
        <w:shd w:val="clear" w:color="auto" w:fill="FFFFFF"/>
        <w:spacing w:before="0" w:after="198"/>
        <w:jc w:val="both"/>
        <w:rPr>
          <w:rFonts w:ascii="Calibri" w:hAnsi="Calibri" w:cs="Arial"/>
          <w:i/>
          <w:color w:val="FF0000"/>
          <w:sz w:val="22"/>
          <w:szCs w:val="22"/>
          <w:lang w:val="en-US"/>
        </w:rPr>
      </w:pPr>
      <w:r w:rsidRPr="008C761D">
        <w:rPr>
          <w:rFonts w:ascii="Calibri" w:hAnsi="Calibri" w:cs="Calibri"/>
          <w:i/>
          <w:sz w:val="22"/>
          <w:szCs w:val="22"/>
          <w:lang w:val="en-US"/>
        </w:rPr>
        <w:t>Growth Plan for the Western Balkans 2024-2027, an EU instrument, is expected to double the size of the economy in the coming 10 years and bring Republic of North Macedonia closer to the EU’s single market and the EU Member States’ standard.</w:t>
      </w:r>
      <w:r w:rsidR="00212B36">
        <w:rPr>
          <w:rFonts w:ascii="Calibri" w:hAnsi="Calibri" w:cs="Calibri"/>
          <w:i/>
          <w:sz w:val="22"/>
          <w:szCs w:val="22"/>
          <w:lang w:val="en-US"/>
        </w:rPr>
        <w:t xml:space="preserve"> </w:t>
      </w:r>
      <w:r w:rsidRPr="008C761D">
        <w:rPr>
          <w:rFonts w:ascii="Calibri" w:hAnsi="Calibri" w:cs="Geneva"/>
          <w:i/>
          <w:color w:val="232323"/>
          <w:sz w:val="22"/>
          <w:szCs w:val="22"/>
          <w:lang w:val="en-US"/>
        </w:rPr>
        <w:t xml:space="preserve">The country is expected to have EUR 860 million available to speed up the implementation of the reform agenda as regards the structural reforms under the most recent Economic Reform Programme and the ones adopted at the Economic and Financial Dialogue between the EU and Western Balkan countries and </w:t>
      </w:r>
      <w:r w:rsidRPr="008C761D">
        <w:rPr>
          <w:rFonts w:ascii="Calibri" w:hAnsi="Calibri" w:cs="Calibri"/>
          <w:i/>
          <w:sz w:val="22"/>
          <w:szCs w:val="22"/>
          <w:lang w:val="en-US"/>
        </w:rPr>
        <w:t>Türkiye</w:t>
      </w:r>
      <w:r w:rsidRPr="008C761D">
        <w:rPr>
          <w:rFonts w:ascii="Calibri" w:hAnsi="Calibri" w:cs="Geneva"/>
          <w:i/>
          <w:color w:val="232323"/>
          <w:sz w:val="22"/>
          <w:szCs w:val="22"/>
          <w:lang w:val="en-US"/>
        </w:rPr>
        <w:t>.</w:t>
      </w:r>
      <w:r w:rsidR="00212B36">
        <w:rPr>
          <w:rFonts w:ascii="Calibri" w:hAnsi="Calibri" w:cs="Geneva"/>
          <w:i/>
          <w:color w:val="232323"/>
          <w:sz w:val="22"/>
          <w:szCs w:val="22"/>
          <w:lang w:val="en-US"/>
        </w:rPr>
        <w:t xml:space="preserve"> </w:t>
      </w:r>
      <w:r w:rsidRPr="008C761D">
        <w:rPr>
          <w:rFonts w:ascii="Calibri" w:hAnsi="Calibri" w:cs="Calibri"/>
          <w:i/>
          <w:sz w:val="22"/>
          <w:szCs w:val="22"/>
          <w:lang w:val="en-US"/>
        </w:rPr>
        <w:t>Most of the necessary reforms has already been implemented, with their implementation continuing through coherent, integrated and sustainable policies boosting the sustainable development.</w:t>
      </w:r>
    </w:p>
    <w:p w14:paraId="55BF35CB" w14:textId="77777777" w:rsidR="00A2147E" w:rsidRPr="008C761D" w:rsidRDefault="00A2147E" w:rsidP="00A2147E">
      <w:pPr>
        <w:spacing w:line="240" w:lineRule="auto"/>
        <w:jc w:val="both"/>
        <w:rPr>
          <w:color w:val="202124"/>
          <w:lang w:val="en-US" w:eastAsia="zh-CN"/>
        </w:rPr>
      </w:pPr>
      <w:r w:rsidRPr="008C761D">
        <w:rPr>
          <w:rFonts w:eastAsia="MS PGothic" w:cs="Calibri"/>
          <w:b/>
          <w:i/>
          <w:color w:val="202124"/>
          <w:lang w:val="en-US" w:eastAsia="zh-CN"/>
        </w:rPr>
        <w:t>Fatmir Besimi, Ph.D., Minister of Finance</w:t>
      </w:r>
    </w:p>
    <w:p w14:paraId="237F8025" w14:textId="77777777" w:rsidR="002F640E" w:rsidRPr="008C761D" w:rsidRDefault="002F640E" w:rsidP="00ED0A76">
      <w:pPr>
        <w:shd w:val="clear" w:color="auto" w:fill="FFFFFF"/>
        <w:spacing w:after="120" w:line="240" w:lineRule="auto"/>
        <w:jc w:val="both"/>
        <w:rPr>
          <w:rFonts w:eastAsia="MS PGothic" w:cs="Calibri"/>
          <w:i/>
          <w:color w:val="202124"/>
          <w:lang w:val="en-US" w:eastAsia="zh-CN"/>
        </w:rPr>
      </w:pPr>
    </w:p>
    <w:p w14:paraId="6D63C549" w14:textId="77777777" w:rsidR="002F640E" w:rsidRPr="008C761D" w:rsidRDefault="002F640E" w:rsidP="00ED0A76">
      <w:pPr>
        <w:shd w:val="clear" w:color="auto" w:fill="FFFFFF"/>
        <w:spacing w:after="120" w:line="240" w:lineRule="auto"/>
        <w:jc w:val="both"/>
        <w:rPr>
          <w:rFonts w:eastAsia="MS PGothic" w:cs="Calibri"/>
          <w:i/>
          <w:color w:val="202124"/>
          <w:lang w:val="en-US" w:eastAsia="zh-CN"/>
        </w:rPr>
      </w:pPr>
    </w:p>
    <w:p w14:paraId="2794640D" w14:textId="77777777" w:rsidR="002F640E" w:rsidRPr="008C761D" w:rsidRDefault="002F640E" w:rsidP="00ED0A76">
      <w:pPr>
        <w:shd w:val="clear" w:color="auto" w:fill="FFFFFF"/>
        <w:spacing w:after="120" w:line="240" w:lineRule="auto"/>
        <w:jc w:val="both"/>
        <w:rPr>
          <w:rFonts w:eastAsia="MS PGothic" w:cs="Calibri"/>
          <w:i/>
          <w:color w:val="202124"/>
          <w:lang w:val="en-US" w:eastAsia="zh-CN"/>
        </w:rPr>
      </w:pPr>
    </w:p>
    <w:p w14:paraId="02CF1B2C" w14:textId="77777777" w:rsidR="002F640E" w:rsidRPr="008C761D" w:rsidRDefault="002F640E" w:rsidP="00ED0A76">
      <w:pPr>
        <w:shd w:val="clear" w:color="auto" w:fill="FFFFFF"/>
        <w:spacing w:after="120" w:line="240" w:lineRule="auto"/>
        <w:jc w:val="both"/>
        <w:rPr>
          <w:rFonts w:cs="Calibri"/>
          <w:i/>
          <w:color w:val="232323"/>
          <w:shd w:val="clear" w:color="auto" w:fill="FFFFFF"/>
          <w:lang w:val="en-US"/>
        </w:rPr>
      </w:pPr>
    </w:p>
    <w:p w14:paraId="5E520F4B" w14:textId="77777777" w:rsidR="00577E52" w:rsidRPr="008C761D" w:rsidRDefault="00966148" w:rsidP="00ED0A76">
      <w:pPr>
        <w:shd w:val="clear" w:color="auto" w:fill="FFFFFF"/>
        <w:spacing w:after="120" w:line="240" w:lineRule="auto"/>
        <w:jc w:val="both"/>
        <w:rPr>
          <w:rFonts w:eastAsia="MS PGothic" w:cs="Calibri"/>
          <w:b/>
          <w:color w:val="000000"/>
          <w:lang w:val="en-US" w:eastAsia="zh-CN"/>
        </w:rPr>
      </w:pPr>
      <w:r w:rsidRPr="008C761D">
        <w:rPr>
          <w:rFonts w:eastAsia="MS PGothic" w:cs="Calibri"/>
          <w:b/>
          <w:lang w:val="en-US" w:eastAsia="zh-CN"/>
        </w:rPr>
        <w:br w:type="page"/>
      </w:r>
      <w:r w:rsidR="00577E52" w:rsidRPr="008C761D">
        <w:rPr>
          <w:rFonts w:eastAsia="MS PGothic" w:cs="Calibri"/>
          <w:b/>
          <w:bCs/>
          <w:color w:val="2F5496"/>
          <w:kern w:val="32"/>
          <w:sz w:val="40"/>
          <w:szCs w:val="40"/>
          <w:lang w:val="en-US" w:eastAsia="zh-CN"/>
        </w:rPr>
        <w:lastRenderedPageBreak/>
        <w:t>ACRONYMS AND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604"/>
      </w:tblGrid>
      <w:tr w:rsidR="0027559D" w:rsidRPr="008C761D" w14:paraId="41BDB9FD" w14:textId="77777777" w:rsidTr="004C6518">
        <w:tc>
          <w:tcPr>
            <w:tcW w:w="1638" w:type="dxa"/>
            <w:shd w:val="clear" w:color="auto" w:fill="auto"/>
          </w:tcPr>
          <w:p w14:paraId="0D21A5D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AEO</w:t>
            </w:r>
          </w:p>
        </w:tc>
        <w:tc>
          <w:tcPr>
            <w:tcW w:w="7604" w:type="dxa"/>
            <w:shd w:val="clear" w:color="auto" w:fill="auto"/>
          </w:tcPr>
          <w:p w14:paraId="5EE2E6D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Authorized Economic Operator</w:t>
            </w:r>
          </w:p>
        </w:tc>
      </w:tr>
      <w:tr w:rsidR="0027559D" w:rsidRPr="008C761D" w14:paraId="2E73ED0A" w14:textId="77777777" w:rsidTr="004C6518">
        <w:tc>
          <w:tcPr>
            <w:tcW w:w="1638" w:type="dxa"/>
            <w:shd w:val="clear" w:color="auto" w:fill="auto"/>
          </w:tcPr>
          <w:p w14:paraId="2695057D"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CRM</w:t>
            </w:r>
          </w:p>
        </w:tc>
        <w:tc>
          <w:tcPr>
            <w:tcW w:w="7604" w:type="dxa"/>
            <w:shd w:val="clear" w:color="auto" w:fill="auto"/>
          </w:tcPr>
          <w:p w14:paraId="3E00597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Compliance Risk Management</w:t>
            </w:r>
          </w:p>
        </w:tc>
      </w:tr>
      <w:tr w:rsidR="0027559D" w:rsidRPr="008C761D" w14:paraId="625BACD9" w14:textId="77777777" w:rsidTr="004C6518">
        <w:tc>
          <w:tcPr>
            <w:tcW w:w="1638" w:type="dxa"/>
            <w:shd w:val="clear" w:color="auto" w:fill="auto"/>
          </w:tcPr>
          <w:p w14:paraId="305959D2"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CHU</w:t>
            </w:r>
          </w:p>
        </w:tc>
        <w:tc>
          <w:tcPr>
            <w:tcW w:w="7604" w:type="dxa"/>
            <w:shd w:val="clear" w:color="auto" w:fill="auto"/>
          </w:tcPr>
          <w:p w14:paraId="6ED7A82D"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Central Harmonisation Unit</w:t>
            </w:r>
          </w:p>
        </w:tc>
      </w:tr>
      <w:tr w:rsidR="0027559D" w:rsidRPr="008C761D" w14:paraId="4C0DCEF4" w14:textId="77777777" w:rsidTr="004C6518">
        <w:tc>
          <w:tcPr>
            <w:tcW w:w="1638" w:type="dxa"/>
            <w:shd w:val="clear" w:color="auto" w:fill="auto"/>
          </w:tcPr>
          <w:p w14:paraId="7202ED4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CA</w:t>
            </w:r>
          </w:p>
        </w:tc>
        <w:tc>
          <w:tcPr>
            <w:tcW w:w="7604" w:type="dxa"/>
            <w:shd w:val="clear" w:color="auto" w:fill="auto"/>
          </w:tcPr>
          <w:p w14:paraId="7554AA1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Customs Administration</w:t>
            </w:r>
          </w:p>
        </w:tc>
      </w:tr>
      <w:tr w:rsidR="00887F6F" w:rsidRPr="008C761D" w14:paraId="1CA61CAB" w14:textId="77777777" w:rsidTr="004C6518">
        <w:tc>
          <w:tcPr>
            <w:tcW w:w="1638" w:type="dxa"/>
            <w:shd w:val="clear" w:color="auto" w:fill="auto"/>
          </w:tcPr>
          <w:p w14:paraId="0B5678F6" w14:textId="33421D21" w:rsidR="00887F6F" w:rsidRPr="008C761D" w:rsidRDefault="00887F6F" w:rsidP="0027559D">
            <w:pPr>
              <w:spacing w:after="120" w:line="264" w:lineRule="auto"/>
              <w:jc w:val="both"/>
              <w:rPr>
                <w:rFonts w:eastAsia="MS PGothic" w:cs="Calibri"/>
                <w:lang w:val="en-US" w:eastAsia="zh-CN"/>
              </w:rPr>
            </w:pPr>
            <w:r>
              <w:rPr>
                <w:rFonts w:eastAsia="MS PGothic" w:cs="Calibri"/>
                <w:lang w:val="en-US" w:eastAsia="zh-CN"/>
              </w:rPr>
              <w:t>CIT</w:t>
            </w:r>
          </w:p>
        </w:tc>
        <w:tc>
          <w:tcPr>
            <w:tcW w:w="7604" w:type="dxa"/>
            <w:shd w:val="clear" w:color="auto" w:fill="auto"/>
          </w:tcPr>
          <w:p w14:paraId="0F6B2639" w14:textId="40530B98" w:rsidR="00887F6F" w:rsidRPr="008C761D" w:rsidRDefault="00887F6F" w:rsidP="0027559D">
            <w:pPr>
              <w:spacing w:after="120" w:line="264" w:lineRule="auto"/>
              <w:jc w:val="both"/>
              <w:rPr>
                <w:rFonts w:eastAsia="MS PGothic" w:cs="Calibri"/>
                <w:lang w:val="en-US" w:eastAsia="zh-CN"/>
              </w:rPr>
            </w:pPr>
            <w:r>
              <w:rPr>
                <w:rFonts w:eastAsia="MS PGothic" w:cs="Calibri"/>
                <w:lang w:val="en-US" w:eastAsia="zh-CN"/>
              </w:rPr>
              <w:t>Corporate Income Tax</w:t>
            </w:r>
          </w:p>
        </w:tc>
      </w:tr>
      <w:tr w:rsidR="0027559D" w:rsidRPr="008C761D" w14:paraId="2AF83591" w14:textId="77777777" w:rsidTr="004C6518">
        <w:tc>
          <w:tcPr>
            <w:tcW w:w="1638" w:type="dxa"/>
            <w:shd w:val="clear" w:color="auto" w:fill="auto"/>
          </w:tcPr>
          <w:p w14:paraId="17CA485E"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ERP</w:t>
            </w:r>
          </w:p>
        </w:tc>
        <w:tc>
          <w:tcPr>
            <w:tcW w:w="7604" w:type="dxa"/>
            <w:shd w:val="clear" w:color="auto" w:fill="auto"/>
          </w:tcPr>
          <w:p w14:paraId="4646F37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Economic Reform Programme</w:t>
            </w:r>
          </w:p>
        </w:tc>
      </w:tr>
      <w:tr w:rsidR="0027559D" w:rsidRPr="008C761D" w14:paraId="352BFA8C" w14:textId="77777777" w:rsidTr="004C6518">
        <w:tc>
          <w:tcPr>
            <w:tcW w:w="1638" w:type="dxa"/>
            <w:shd w:val="clear" w:color="auto" w:fill="auto"/>
          </w:tcPr>
          <w:p w14:paraId="0F2BBAC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ESPP</w:t>
            </w:r>
          </w:p>
        </w:tc>
        <w:tc>
          <w:tcPr>
            <w:tcW w:w="7604" w:type="dxa"/>
            <w:shd w:val="clear" w:color="auto" w:fill="auto"/>
          </w:tcPr>
          <w:p w14:paraId="1BA8C8CC"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Electronic System for Public Procurement</w:t>
            </w:r>
          </w:p>
        </w:tc>
      </w:tr>
      <w:tr w:rsidR="0027559D" w:rsidRPr="008C761D" w14:paraId="46DA42C2" w14:textId="77777777" w:rsidTr="004C6518">
        <w:tc>
          <w:tcPr>
            <w:tcW w:w="1638" w:type="dxa"/>
            <w:shd w:val="clear" w:color="auto" w:fill="auto"/>
          </w:tcPr>
          <w:p w14:paraId="7337AECA"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GDP</w:t>
            </w:r>
          </w:p>
        </w:tc>
        <w:tc>
          <w:tcPr>
            <w:tcW w:w="7604" w:type="dxa"/>
            <w:shd w:val="clear" w:color="auto" w:fill="auto"/>
          </w:tcPr>
          <w:p w14:paraId="3A3964BC" w14:textId="20D9720B"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Gross Dome</w:t>
            </w:r>
            <w:r w:rsidR="00E351AA">
              <w:rPr>
                <w:rFonts w:eastAsia="MS PGothic" w:cs="Calibri"/>
                <w:lang w:val="en-US" w:eastAsia="zh-CN"/>
              </w:rPr>
              <w:t>s</w:t>
            </w:r>
            <w:r w:rsidRPr="008C761D">
              <w:rPr>
                <w:rFonts w:eastAsia="MS PGothic" w:cs="Calibri"/>
                <w:lang w:val="en-US" w:eastAsia="zh-CN"/>
              </w:rPr>
              <w:t>tic Product</w:t>
            </w:r>
          </w:p>
        </w:tc>
      </w:tr>
      <w:tr w:rsidR="0027559D" w:rsidRPr="008C761D" w14:paraId="38B39705" w14:textId="77777777" w:rsidTr="004C6518">
        <w:tc>
          <w:tcPr>
            <w:tcW w:w="1638" w:type="dxa"/>
            <w:shd w:val="clear" w:color="auto" w:fill="auto"/>
          </w:tcPr>
          <w:p w14:paraId="3E3FEABD"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IMF</w:t>
            </w:r>
          </w:p>
        </w:tc>
        <w:tc>
          <w:tcPr>
            <w:tcW w:w="7604" w:type="dxa"/>
            <w:shd w:val="clear" w:color="auto" w:fill="auto"/>
          </w:tcPr>
          <w:p w14:paraId="351D1B78"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International Monetary Found</w:t>
            </w:r>
          </w:p>
        </w:tc>
      </w:tr>
      <w:tr w:rsidR="0027559D" w:rsidRPr="008C761D" w14:paraId="37471579" w14:textId="77777777" w:rsidTr="004C6518">
        <w:tc>
          <w:tcPr>
            <w:tcW w:w="1638" w:type="dxa"/>
            <w:shd w:val="clear" w:color="auto" w:fill="auto"/>
          </w:tcPr>
          <w:p w14:paraId="5CB57F2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IFMIS</w:t>
            </w:r>
          </w:p>
        </w:tc>
        <w:tc>
          <w:tcPr>
            <w:tcW w:w="7604" w:type="dxa"/>
            <w:shd w:val="clear" w:color="auto" w:fill="auto"/>
          </w:tcPr>
          <w:p w14:paraId="39DB9099" w14:textId="77777777" w:rsidR="0027559D" w:rsidRPr="008C761D" w:rsidRDefault="0027559D" w:rsidP="000D19F6">
            <w:pPr>
              <w:spacing w:after="120" w:line="264" w:lineRule="auto"/>
              <w:jc w:val="both"/>
              <w:rPr>
                <w:rFonts w:eastAsia="MS PGothic" w:cs="Calibri"/>
                <w:lang w:val="en-US" w:eastAsia="zh-CN"/>
              </w:rPr>
            </w:pPr>
            <w:r w:rsidRPr="008C761D">
              <w:rPr>
                <w:rFonts w:eastAsia="MS PGothic" w:cs="Calibri"/>
                <w:lang w:val="en-US" w:eastAsia="zh-CN"/>
              </w:rPr>
              <w:t xml:space="preserve">Integrated Financial </w:t>
            </w:r>
            <w:r w:rsidR="000D19F6" w:rsidRPr="008C761D">
              <w:rPr>
                <w:rFonts w:eastAsia="MS PGothic" w:cs="Calibri"/>
                <w:lang w:val="en-US" w:eastAsia="zh-CN"/>
              </w:rPr>
              <w:t xml:space="preserve">Management </w:t>
            </w:r>
            <w:r w:rsidRPr="008C761D">
              <w:rPr>
                <w:rFonts w:eastAsia="MS PGothic" w:cs="Calibri"/>
                <w:lang w:val="en-US" w:eastAsia="zh-CN"/>
              </w:rPr>
              <w:t>Information System</w:t>
            </w:r>
          </w:p>
        </w:tc>
      </w:tr>
      <w:tr w:rsidR="0027559D" w:rsidRPr="008C761D" w14:paraId="7D20EB6F" w14:textId="77777777" w:rsidTr="004C6518">
        <w:tc>
          <w:tcPr>
            <w:tcW w:w="1638" w:type="dxa"/>
            <w:shd w:val="clear" w:color="auto" w:fill="auto"/>
          </w:tcPr>
          <w:p w14:paraId="3D0F9F4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ITIS</w:t>
            </w:r>
          </w:p>
        </w:tc>
        <w:tc>
          <w:tcPr>
            <w:tcW w:w="7604" w:type="dxa"/>
            <w:shd w:val="clear" w:color="auto" w:fill="auto"/>
          </w:tcPr>
          <w:p w14:paraId="1B5DEB84"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Integrated Tax Information System</w:t>
            </w:r>
          </w:p>
        </w:tc>
      </w:tr>
      <w:tr w:rsidR="0027559D" w:rsidRPr="008C761D" w14:paraId="0FCF6DBA" w14:textId="77777777" w:rsidTr="004C6518">
        <w:tc>
          <w:tcPr>
            <w:tcW w:w="1638" w:type="dxa"/>
            <w:shd w:val="clear" w:color="auto" w:fill="auto"/>
          </w:tcPr>
          <w:p w14:paraId="72F50246"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 xml:space="preserve">ICT </w:t>
            </w:r>
          </w:p>
        </w:tc>
        <w:tc>
          <w:tcPr>
            <w:tcW w:w="7604" w:type="dxa"/>
            <w:shd w:val="clear" w:color="auto" w:fill="auto"/>
          </w:tcPr>
          <w:p w14:paraId="3C65287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Information and Communication Technology</w:t>
            </w:r>
          </w:p>
        </w:tc>
      </w:tr>
      <w:tr w:rsidR="0027559D" w:rsidRPr="008C761D" w14:paraId="65FB479F" w14:textId="77777777" w:rsidTr="004C6518">
        <w:tc>
          <w:tcPr>
            <w:tcW w:w="1638" w:type="dxa"/>
            <w:shd w:val="clear" w:color="auto" w:fill="auto"/>
          </w:tcPr>
          <w:p w14:paraId="23B12707"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INTOSAI</w:t>
            </w:r>
          </w:p>
        </w:tc>
        <w:tc>
          <w:tcPr>
            <w:tcW w:w="7604" w:type="dxa"/>
            <w:shd w:val="clear" w:color="auto" w:fill="auto"/>
          </w:tcPr>
          <w:p w14:paraId="5E3302B2"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International Organisation of Supreme Audit Institution</w:t>
            </w:r>
          </w:p>
        </w:tc>
      </w:tr>
      <w:tr w:rsidR="0027559D" w:rsidRPr="008C761D" w14:paraId="0E1F0963" w14:textId="77777777" w:rsidTr="004C6518">
        <w:tc>
          <w:tcPr>
            <w:tcW w:w="1638" w:type="dxa"/>
            <w:shd w:val="clear" w:color="auto" w:fill="auto"/>
          </w:tcPr>
          <w:p w14:paraId="73F77A3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MoF</w:t>
            </w:r>
          </w:p>
        </w:tc>
        <w:tc>
          <w:tcPr>
            <w:tcW w:w="7604" w:type="dxa"/>
            <w:shd w:val="clear" w:color="auto" w:fill="auto"/>
          </w:tcPr>
          <w:p w14:paraId="7819BAC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Ministry of Finance</w:t>
            </w:r>
          </w:p>
        </w:tc>
      </w:tr>
      <w:tr w:rsidR="0027559D" w:rsidRPr="008C761D" w14:paraId="2FC3DD69" w14:textId="77777777" w:rsidTr="004C6518">
        <w:tc>
          <w:tcPr>
            <w:tcW w:w="1638" w:type="dxa"/>
            <w:shd w:val="clear" w:color="auto" w:fill="auto"/>
          </w:tcPr>
          <w:p w14:paraId="57B7CB2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 xml:space="preserve">ME </w:t>
            </w:r>
          </w:p>
        </w:tc>
        <w:tc>
          <w:tcPr>
            <w:tcW w:w="7604" w:type="dxa"/>
            <w:shd w:val="clear" w:color="auto" w:fill="auto"/>
          </w:tcPr>
          <w:p w14:paraId="40F91C6A"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Ministry of Economy</w:t>
            </w:r>
          </w:p>
        </w:tc>
      </w:tr>
      <w:tr w:rsidR="0027559D" w:rsidRPr="008C761D" w14:paraId="1E5B8FBD" w14:textId="77777777" w:rsidTr="004C6518">
        <w:tc>
          <w:tcPr>
            <w:tcW w:w="1638" w:type="dxa"/>
            <w:shd w:val="clear" w:color="auto" w:fill="auto"/>
          </w:tcPr>
          <w:p w14:paraId="0811C2E4"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MASP</w:t>
            </w:r>
          </w:p>
        </w:tc>
        <w:tc>
          <w:tcPr>
            <w:tcW w:w="7604" w:type="dxa"/>
            <w:shd w:val="clear" w:color="auto" w:fill="auto"/>
          </w:tcPr>
          <w:p w14:paraId="2C6E4BB8"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Multi</w:t>
            </w:r>
            <w:r w:rsidR="000D19F6" w:rsidRPr="008C761D">
              <w:rPr>
                <w:rFonts w:eastAsia="MS PGothic" w:cs="Calibri"/>
                <w:lang w:val="en-US" w:eastAsia="zh-CN"/>
              </w:rPr>
              <w:t>-</w:t>
            </w:r>
            <w:r w:rsidRPr="008C761D">
              <w:rPr>
                <w:rFonts w:eastAsia="MS PGothic" w:cs="Calibri"/>
                <w:lang w:val="en-US" w:eastAsia="zh-CN"/>
              </w:rPr>
              <w:t xml:space="preserve">annual Strategic Plan </w:t>
            </w:r>
          </w:p>
        </w:tc>
      </w:tr>
      <w:tr w:rsidR="00614B59" w:rsidRPr="008C761D" w14:paraId="49BDB772" w14:textId="77777777" w:rsidTr="004C6518">
        <w:tc>
          <w:tcPr>
            <w:tcW w:w="1638" w:type="dxa"/>
            <w:shd w:val="clear" w:color="auto" w:fill="auto"/>
          </w:tcPr>
          <w:p w14:paraId="763A3F74" w14:textId="4794656A"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NEDC</w:t>
            </w:r>
          </w:p>
        </w:tc>
        <w:tc>
          <w:tcPr>
            <w:tcW w:w="7604" w:type="dxa"/>
            <w:shd w:val="clear" w:color="auto" w:fill="auto"/>
          </w:tcPr>
          <w:p w14:paraId="33A13010" w14:textId="7D9A1AF4"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New European Driving Cycle</w:t>
            </w:r>
          </w:p>
        </w:tc>
      </w:tr>
      <w:tr w:rsidR="0027559D" w:rsidRPr="008C761D" w14:paraId="73247262" w14:textId="77777777" w:rsidTr="004C6518">
        <w:tc>
          <w:tcPr>
            <w:tcW w:w="1638" w:type="dxa"/>
            <w:shd w:val="clear" w:color="auto" w:fill="auto"/>
          </w:tcPr>
          <w:p w14:paraId="39A5FA7C"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OECD</w:t>
            </w:r>
          </w:p>
        </w:tc>
        <w:tc>
          <w:tcPr>
            <w:tcW w:w="7604" w:type="dxa"/>
            <w:shd w:val="clear" w:color="auto" w:fill="auto"/>
          </w:tcPr>
          <w:p w14:paraId="2F87430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Organisation for Economic Cooperation and Development</w:t>
            </w:r>
          </w:p>
        </w:tc>
      </w:tr>
      <w:tr w:rsidR="0027559D" w:rsidRPr="008C761D" w14:paraId="6EF9C276" w14:textId="77777777" w:rsidTr="004C6518">
        <w:tc>
          <w:tcPr>
            <w:tcW w:w="1638" w:type="dxa"/>
            <w:shd w:val="clear" w:color="auto" w:fill="auto"/>
          </w:tcPr>
          <w:p w14:paraId="584514E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OBL</w:t>
            </w:r>
          </w:p>
        </w:tc>
        <w:tc>
          <w:tcPr>
            <w:tcW w:w="7604" w:type="dxa"/>
            <w:shd w:val="clear" w:color="auto" w:fill="auto"/>
          </w:tcPr>
          <w:p w14:paraId="6D40EE1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Organic Budget Law</w:t>
            </w:r>
          </w:p>
        </w:tc>
      </w:tr>
      <w:tr w:rsidR="0027559D" w:rsidRPr="008C761D" w14:paraId="34268643" w14:textId="77777777" w:rsidTr="004C6518">
        <w:tc>
          <w:tcPr>
            <w:tcW w:w="1638" w:type="dxa"/>
            <w:shd w:val="clear" w:color="auto" w:fill="auto"/>
          </w:tcPr>
          <w:p w14:paraId="7EA6235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PFM</w:t>
            </w:r>
          </w:p>
        </w:tc>
        <w:tc>
          <w:tcPr>
            <w:tcW w:w="7604" w:type="dxa"/>
            <w:shd w:val="clear" w:color="auto" w:fill="auto"/>
          </w:tcPr>
          <w:p w14:paraId="46A7F31D" w14:textId="77777777" w:rsidR="0027559D" w:rsidRPr="008C761D" w:rsidRDefault="0027559D" w:rsidP="000D19F6">
            <w:pPr>
              <w:spacing w:after="120" w:line="264" w:lineRule="auto"/>
              <w:jc w:val="both"/>
              <w:rPr>
                <w:rFonts w:eastAsia="MS PGothic" w:cs="Calibri"/>
                <w:lang w:val="en-US" w:eastAsia="zh-CN"/>
              </w:rPr>
            </w:pPr>
            <w:r w:rsidRPr="008C761D">
              <w:rPr>
                <w:rFonts w:eastAsia="MS PGothic" w:cs="Calibri"/>
                <w:lang w:val="en-US" w:eastAsia="zh-CN"/>
              </w:rPr>
              <w:t xml:space="preserve">Public Financial </w:t>
            </w:r>
            <w:r w:rsidR="000D19F6" w:rsidRPr="008C761D">
              <w:rPr>
                <w:rFonts w:eastAsia="MS PGothic" w:cs="Calibri"/>
                <w:lang w:val="en-US" w:eastAsia="zh-CN"/>
              </w:rPr>
              <w:t>Management</w:t>
            </w:r>
          </w:p>
        </w:tc>
      </w:tr>
      <w:tr w:rsidR="0027559D" w:rsidRPr="008C761D" w14:paraId="2B267D5A" w14:textId="77777777" w:rsidTr="004C6518">
        <w:tc>
          <w:tcPr>
            <w:tcW w:w="1638" w:type="dxa"/>
            <w:shd w:val="clear" w:color="auto" w:fill="auto"/>
          </w:tcPr>
          <w:p w14:paraId="44F9934E"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PEFA</w:t>
            </w:r>
          </w:p>
        </w:tc>
        <w:tc>
          <w:tcPr>
            <w:tcW w:w="7604" w:type="dxa"/>
            <w:shd w:val="clear" w:color="auto" w:fill="auto"/>
          </w:tcPr>
          <w:p w14:paraId="3594DE72"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Expenditure and Financial Accountability</w:t>
            </w:r>
          </w:p>
        </w:tc>
      </w:tr>
      <w:tr w:rsidR="00887F6F" w:rsidRPr="008C761D" w14:paraId="5BC6C5AF" w14:textId="77777777" w:rsidTr="004C6518">
        <w:tc>
          <w:tcPr>
            <w:tcW w:w="1638" w:type="dxa"/>
            <w:shd w:val="clear" w:color="auto" w:fill="auto"/>
          </w:tcPr>
          <w:p w14:paraId="02E0E08C" w14:textId="3D0092C6" w:rsidR="00887F6F" w:rsidRPr="008C761D" w:rsidRDefault="00887F6F" w:rsidP="0027559D">
            <w:pPr>
              <w:spacing w:after="120" w:line="264" w:lineRule="auto"/>
              <w:jc w:val="both"/>
              <w:rPr>
                <w:rFonts w:eastAsia="MS PGothic" w:cs="Calibri"/>
                <w:lang w:val="en-US" w:eastAsia="zh-CN"/>
              </w:rPr>
            </w:pPr>
            <w:r>
              <w:rPr>
                <w:rFonts w:eastAsia="MS PGothic" w:cs="Calibri"/>
                <w:lang w:val="en-US" w:eastAsia="zh-CN"/>
              </w:rPr>
              <w:t>PIT</w:t>
            </w:r>
          </w:p>
        </w:tc>
        <w:tc>
          <w:tcPr>
            <w:tcW w:w="7604" w:type="dxa"/>
            <w:shd w:val="clear" w:color="auto" w:fill="auto"/>
          </w:tcPr>
          <w:p w14:paraId="0812FED4" w14:textId="237C9E8B" w:rsidR="00887F6F" w:rsidRPr="008C761D" w:rsidRDefault="00887F6F" w:rsidP="0027559D">
            <w:pPr>
              <w:spacing w:after="120" w:line="264" w:lineRule="auto"/>
              <w:jc w:val="both"/>
              <w:rPr>
                <w:rFonts w:eastAsia="MS PGothic" w:cs="Calibri"/>
                <w:lang w:val="en-US" w:eastAsia="zh-CN"/>
              </w:rPr>
            </w:pPr>
            <w:r>
              <w:rPr>
                <w:rFonts w:eastAsia="MS PGothic" w:cs="Calibri"/>
                <w:lang w:val="en-US" w:eastAsia="zh-CN"/>
              </w:rPr>
              <w:t>Personal Income Tax</w:t>
            </w:r>
          </w:p>
        </w:tc>
      </w:tr>
      <w:tr w:rsidR="0027559D" w:rsidRPr="008C761D" w14:paraId="4703FD56" w14:textId="77777777" w:rsidTr="004C6518">
        <w:tc>
          <w:tcPr>
            <w:tcW w:w="1638" w:type="dxa"/>
            <w:shd w:val="clear" w:color="auto" w:fill="auto"/>
          </w:tcPr>
          <w:p w14:paraId="7EA3B989"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PRO</w:t>
            </w:r>
          </w:p>
        </w:tc>
        <w:tc>
          <w:tcPr>
            <w:tcW w:w="7604" w:type="dxa"/>
            <w:shd w:val="clear" w:color="auto" w:fill="auto"/>
          </w:tcPr>
          <w:p w14:paraId="6A11C6C9"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Revenue Office</w:t>
            </w:r>
          </w:p>
        </w:tc>
      </w:tr>
      <w:tr w:rsidR="0027559D" w:rsidRPr="008C761D" w14:paraId="3A5E9ACD" w14:textId="77777777" w:rsidTr="004C6518">
        <w:tc>
          <w:tcPr>
            <w:tcW w:w="1638" w:type="dxa"/>
            <w:shd w:val="clear" w:color="auto" w:fill="auto"/>
          </w:tcPr>
          <w:p w14:paraId="7F1AB0CB"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PPB</w:t>
            </w:r>
          </w:p>
        </w:tc>
        <w:tc>
          <w:tcPr>
            <w:tcW w:w="7604" w:type="dxa"/>
            <w:shd w:val="clear" w:color="auto" w:fill="auto"/>
          </w:tcPr>
          <w:p w14:paraId="3DFD52C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Procurement Bureau</w:t>
            </w:r>
          </w:p>
        </w:tc>
      </w:tr>
      <w:tr w:rsidR="0027559D" w:rsidRPr="008C761D" w14:paraId="46B0D245" w14:textId="77777777" w:rsidTr="004C6518">
        <w:tc>
          <w:tcPr>
            <w:tcW w:w="1638" w:type="dxa"/>
            <w:shd w:val="clear" w:color="auto" w:fill="auto"/>
          </w:tcPr>
          <w:p w14:paraId="5A658EE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PPP</w:t>
            </w:r>
          </w:p>
        </w:tc>
        <w:tc>
          <w:tcPr>
            <w:tcW w:w="7604" w:type="dxa"/>
            <w:shd w:val="clear" w:color="auto" w:fill="auto"/>
          </w:tcPr>
          <w:p w14:paraId="0527108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Private Partnerships</w:t>
            </w:r>
          </w:p>
        </w:tc>
      </w:tr>
      <w:tr w:rsidR="0027559D" w:rsidRPr="008C761D" w14:paraId="39350CE0" w14:textId="77777777" w:rsidTr="004C6518">
        <w:tc>
          <w:tcPr>
            <w:tcW w:w="1638" w:type="dxa"/>
            <w:shd w:val="clear" w:color="auto" w:fill="auto"/>
          </w:tcPr>
          <w:p w14:paraId="087F7DC2"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PIM</w:t>
            </w:r>
          </w:p>
        </w:tc>
        <w:tc>
          <w:tcPr>
            <w:tcW w:w="7604" w:type="dxa"/>
            <w:shd w:val="clear" w:color="auto" w:fill="auto"/>
          </w:tcPr>
          <w:p w14:paraId="1E08230B" w14:textId="77777777" w:rsidR="0027559D" w:rsidRPr="008C761D" w:rsidRDefault="0027559D" w:rsidP="000D19F6">
            <w:pPr>
              <w:spacing w:after="120" w:line="264" w:lineRule="auto"/>
              <w:jc w:val="both"/>
              <w:rPr>
                <w:rFonts w:eastAsia="MS PGothic" w:cs="Calibri"/>
                <w:lang w:val="en-US" w:eastAsia="zh-CN"/>
              </w:rPr>
            </w:pPr>
            <w:r w:rsidRPr="008C761D">
              <w:rPr>
                <w:rFonts w:eastAsia="MS PGothic" w:cs="Calibri"/>
                <w:lang w:val="en-US" w:eastAsia="zh-CN"/>
              </w:rPr>
              <w:t xml:space="preserve">Public Investment </w:t>
            </w:r>
            <w:r w:rsidR="000D19F6" w:rsidRPr="008C761D">
              <w:rPr>
                <w:rFonts w:eastAsia="MS PGothic" w:cs="Calibri"/>
                <w:lang w:val="en-US" w:eastAsia="zh-CN"/>
              </w:rPr>
              <w:t>Management</w:t>
            </w:r>
          </w:p>
        </w:tc>
      </w:tr>
      <w:tr w:rsidR="0027559D" w:rsidRPr="008C761D" w14:paraId="0A810C3C" w14:textId="77777777" w:rsidTr="004C6518">
        <w:tc>
          <w:tcPr>
            <w:tcW w:w="1638" w:type="dxa"/>
            <w:shd w:val="clear" w:color="auto" w:fill="auto"/>
          </w:tcPr>
          <w:p w14:paraId="433BC9D6"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PIFC</w:t>
            </w:r>
          </w:p>
        </w:tc>
        <w:tc>
          <w:tcPr>
            <w:tcW w:w="7604" w:type="dxa"/>
            <w:shd w:val="clear" w:color="auto" w:fill="auto"/>
          </w:tcPr>
          <w:p w14:paraId="67BAF62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Internal Financial Control</w:t>
            </w:r>
          </w:p>
        </w:tc>
      </w:tr>
      <w:tr w:rsidR="0027559D" w:rsidRPr="008C761D" w14:paraId="465CECA6" w14:textId="77777777" w:rsidTr="004C6518">
        <w:tc>
          <w:tcPr>
            <w:tcW w:w="1638" w:type="dxa"/>
            <w:shd w:val="clear" w:color="auto" w:fill="auto"/>
          </w:tcPr>
          <w:p w14:paraId="13BF0EC6"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PIMA</w:t>
            </w:r>
          </w:p>
        </w:tc>
        <w:tc>
          <w:tcPr>
            <w:tcW w:w="7604" w:type="dxa"/>
            <w:shd w:val="clear" w:color="auto" w:fill="auto"/>
          </w:tcPr>
          <w:p w14:paraId="23A68584" w14:textId="77777777" w:rsidR="0027559D" w:rsidRPr="008C761D" w:rsidRDefault="0027559D" w:rsidP="00B1312A">
            <w:pPr>
              <w:spacing w:after="120" w:line="264" w:lineRule="auto"/>
              <w:jc w:val="both"/>
              <w:rPr>
                <w:rFonts w:eastAsia="MS PGothic" w:cs="Calibri"/>
                <w:lang w:val="en-US" w:eastAsia="zh-CN"/>
              </w:rPr>
            </w:pPr>
            <w:r w:rsidRPr="008C761D">
              <w:rPr>
                <w:rFonts w:eastAsia="MS PGothic" w:cs="Calibri"/>
                <w:lang w:val="en-US" w:eastAsia="zh-CN"/>
              </w:rPr>
              <w:t xml:space="preserve">Public Investment </w:t>
            </w:r>
            <w:r w:rsidR="00B1312A" w:rsidRPr="008C761D">
              <w:rPr>
                <w:rFonts w:eastAsia="MS PGothic" w:cs="Calibri"/>
                <w:lang w:val="en-US" w:eastAsia="zh-CN"/>
              </w:rPr>
              <w:t xml:space="preserve">Management </w:t>
            </w:r>
            <w:r w:rsidRPr="008C761D">
              <w:rPr>
                <w:rFonts w:eastAsia="MS PGothic" w:cs="Calibri"/>
                <w:lang w:val="en-US" w:eastAsia="zh-CN"/>
              </w:rPr>
              <w:t>Assessment</w:t>
            </w:r>
          </w:p>
        </w:tc>
      </w:tr>
      <w:tr w:rsidR="0027559D" w:rsidRPr="008C761D" w14:paraId="668BE103" w14:textId="77777777" w:rsidTr="004C6518">
        <w:tc>
          <w:tcPr>
            <w:tcW w:w="1638" w:type="dxa"/>
            <w:shd w:val="clear" w:color="auto" w:fill="auto"/>
          </w:tcPr>
          <w:p w14:paraId="75EF7205"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 xml:space="preserve">PAR </w:t>
            </w:r>
          </w:p>
        </w:tc>
        <w:tc>
          <w:tcPr>
            <w:tcW w:w="7604" w:type="dxa"/>
            <w:shd w:val="clear" w:color="auto" w:fill="auto"/>
          </w:tcPr>
          <w:p w14:paraId="7DF62239"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Public Administration Reform</w:t>
            </w:r>
          </w:p>
        </w:tc>
      </w:tr>
      <w:tr w:rsidR="0027559D" w:rsidRPr="008C761D" w14:paraId="7C8FDB7F" w14:textId="77777777" w:rsidTr="004C6518">
        <w:tc>
          <w:tcPr>
            <w:tcW w:w="1638" w:type="dxa"/>
            <w:shd w:val="clear" w:color="auto" w:fill="auto"/>
          </w:tcPr>
          <w:p w14:paraId="1F44171E"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SIGMA</w:t>
            </w:r>
          </w:p>
        </w:tc>
        <w:tc>
          <w:tcPr>
            <w:tcW w:w="7604" w:type="dxa"/>
            <w:shd w:val="clear" w:color="auto" w:fill="auto"/>
          </w:tcPr>
          <w:p w14:paraId="1237AA60" w14:textId="77777777" w:rsidR="0027559D" w:rsidRPr="008C761D" w:rsidRDefault="00EC5DD8" w:rsidP="0027559D">
            <w:pPr>
              <w:spacing w:after="120" w:line="264" w:lineRule="auto"/>
              <w:jc w:val="both"/>
              <w:rPr>
                <w:rFonts w:eastAsia="MS PGothic" w:cs="Calibri"/>
                <w:lang w:val="en-US" w:eastAsia="zh-CN"/>
              </w:rPr>
            </w:pPr>
            <w:r w:rsidRPr="008C761D">
              <w:rPr>
                <w:rFonts w:eastAsia="MS PGothic" w:cs="Calibri"/>
                <w:lang w:val="en-US" w:eastAsia="zh-CN"/>
              </w:rPr>
              <w:t>Support for Improvement in Governance and Management</w:t>
            </w:r>
          </w:p>
        </w:tc>
      </w:tr>
      <w:tr w:rsidR="0027559D" w:rsidRPr="008C761D" w14:paraId="3AB5EDE0" w14:textId="77777777" w:rsidTr="004C6518">
        <w:tc>
          <w:tcPr>
            <w:tcW w:w="1638" w:type="dxa"/>
            <w:shd w:val="clear" w:color="auto" w:fill="auto"/>
          </w:tcPr>
          <w:p w14:paraId="35E480F0"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SWG</w:t>
            </w:r>
          </w:p>
        </w:tc>
        <w:tc>
          <w:tcPr>
            <w:tcW w:w="7604" w:type="dxa"/>
            <w:shd w:val="clear" w:color="auto" w:fill="auto"/>
          </w:tcPr>
          <w:p w14:paraId="1A333CF3"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Sector Working Group</w:t>
            </w:r>
          </w:p>
        </w:tc>
      </w:tr>
      <w:tr w:rsidR="0027559D" w:rsidRPr="008C761D" w14:paraId="05D1CF87" w14:textId="77777777" w:rsidTr="004C6518">
        <w:tc>
          <w:tcPr>
            <w:tcW w:w="1638" w:type="dxa"/>
            <w:shd w:val="clear" w:color="auto" w:fill="auto"/>
          </w:tcPr>
          <w:p w14:paraId="70737BAB"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lastRenderedPageBreak/>
              <w:t>SAC</w:t>
            </w:r>
          </w:p>
        </w:tc>
        <w:tc>
          <w:tcPr>
            <w:tcW w:w="7604" w:type="dxa"/>
            <w:shd w:val="clear" w:color="auto" w:fill="auto"/>
          </w:tcPr>
          <w:p w14:paraId="195C5266"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State Appeals Commission</w:t>
            </w:r>
          </w:p>
        </w:tc>
      </w:tr>
      <w:tr w:rsidR="0027559D" w:rsidRPr="008C761D" w14:paraId="643DF496" w14:textId="77777777" w:rsidTr="004C6518">
        <w:tc>
          <w:tcPr>
            <w:tcW w:w="1638" w:type="dxa"/>
            <w:shd w:val="clear" w:color="auto" w:fill="auto"/>
          </w:tcPr>
          <w:p w14:paraId="5D13118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SAO</w:t>
            </w:r>
          </w:p>
        </w:tc>
        <w:tc>
          <w:tcPr>
            <w:tcW w:w="7604" w:type="dxa"/>
            <w:shd w:val="clear" w:color="auto" w:fill="auto"/>
          </w:tcPr>
          <w:p w14:paraId="3F957889"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State Audit Office</w:t>
            </w:r>
          </w:p>
        </w:tc>
      </w:tr>
      <w:tr w:rsidR="0027559D" w:rsidRPr="008C761D" w14:paraId="64FFFE0F" w14:textId="77777777" w:rsidTr="004C6518">
        <w:tc>
          <w:tcPr>
            <w:tcW w:w="1638" w:type="dxa"/>
            <w:shd w:val="clear" w:color="auto" w:fill="auto"/>
          </w:tcPr>
          <w:p w14:paraId="37DD1002"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TADAT</w:t>
            </w:r>
          </w:p>
        </w:tc>
        <w:tc>
          <w:tcPr>
            <w:tcW w:w="7604" w:type="dxa"/>
            <w:shd w:val="clear" w:color="auto" w:fill="auto"/>
          </w:tcPr>
          <w:p w14:paraId="36BBFDAF"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Tax Administration Diagnostic Assessment Tool</w:t>
            </w:r>
          </w:p>
        </w:tc>
      </w:tr>
      <w:tr w:rsidR="0027559D" w:rsidRPr="008C761D" w14:paraId="184CDE22" w14:textId="77777777" w:rsidTr="004C6518">
        <w:tc>
          <w:tcPr>
            <w:tcW w:w="1638" w:type="dxa"/>
            <w:shd w:val="clear" w:color="auto" w:fill="auto"/>
          </w:tcPr>
          <w:p w14:paraId="4BC27D56"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UESPPP</w:t>
            </w:r>
          </w:p>
        </w:tc>
        <w:tc>
          <w:tcPr>
            <w:tcW w:w="7604" w:type="dxa"/>
            <w:shd w:val="clear" w:color="auto" w:fill="auto"/>
          </w:tcPr>
          <w:p w14:paraId="7F4F17B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 xml:space="preserve">Unified Electronic Public Private Partnership System </w:t>
            </w:r>
          </w:p>
        </w:tc>
      </w:tr>
      <w:tr w:rsidR="0027559D" w:rsidRPr="008C761D" w14:paraId="115025C8" w14:textId="77777777" w:rsidTr="004C6518">
        <w:tc>
          <w:tcPr>
            <w:tcW w:w="1638" w:type="dxa"/>
            <w:shd w:val="clear" w:color="auto" w:fill="auto"/>
          </w:tcPr>
          <w:p w14:paraId="57F2898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 xml:space="preserve">VAT </w:t>
            </w:r>
          </w:p>
        </w:tc>
        <w:tc>
          <w:tcPr>
            <w:tcW w:w="7604" w:type="dxa"/>
            <w:shd w:val="clear" w:color="auto" w:fill="auto"/>
          </w:tcPr>
          <w:p w14:paraId="0E91FAD3"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Value Added Tax</w:t>
            </w:r>
          </w:p>
        </w:tc>
      </w:tr>
      <w:tr w:rsidR="00614B59" w:rsidRPr="008C761D" w14:paraId="4B189A4A" w14:textId="77777777" w:rsidTr="004C6518">
        <w:tc>
          <w:tcPr>
            <w:tcW w:w="1638" w:type="dxa"/>
            <w:shd w:val="clear" w:color="auto" w:fill="auto"/>
          </w:tcPr>
          <w:p w14:paraId="6DCCBFB5" w14:textId="03D5FEC4"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WAP</w:t>
            </w:r>
          </w:p>
        </w:tc>
        <w:tc>
          <w:tcPr>
            <w:tcW w:w="7604" w:type="dxa"/>
            <w:shd w:val="clear" w:color="auto" w:fill="auto"/>
          </w:tcPr>
          <w:p w14:paraId="62E37551" w14:textId="7FEE7162"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Weighted Average Price</w:t>
            </w:r>
          </w:p>
        </w:tc>
      </w:tr>
      <w:tr w:rsidR="00614B59" w:rsidRPr="008C761D" w14:paraId="5DB52A03" w14:textId="77777777" w:rsidTr="004C6518">
        <w:tc>
          <w:tcPr>
            <w:tcW w:w="1638" w:type="dxa"/>
            <w:shd w:val="clear" w:color="auto" w:fill="auto"/>
          </w:tcPr>
          <w:p w14:paraId="33F72E56" w14:textId="3BF3A117"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WALTP</w:t>
            </w:r>
          </w:p>
        </w:tc>
        <w:tc>
          <w:tcPr>
            <w:tcW w:w="7604" w:type="dxa"/>
            <w:shd w:val="clear" w:color="auto" w:fill="auto"/>
          </w:tcPr>
          <w:p w14:paraId="2CB959C2" w14:textId="77690ECA" w:rsidR="00614B59" w:rsidRPr="008C761D" w:rsidRDefault="00614B59" w:rsidP="0027559D">
            <w:pPr>
              <w:spacing w:after="120" w:line="264" w:lineRule="auto"/>
              <w:jc w:val="both"/>
              <w:rPr>
                <w:rFonts w:eastAsia="MS PGothic" w:cs="Calibri"/>
                <w:lang w:val="en-US" w:eastAsia="zh-CN"/>
              </w:rPr>
            </w:pPr>
            <w:r>
              <w:rPr>
                <w:rFonts w:eastAsia="MS PGothic" w:cs="Calibri"/>
                <w:lang w:val="en-US" w:eastAsia="zh-CN"/>
              </w:rPr>
              <w:t>Worldwide Harmonised Light Wehicle Test Procedure</w:t>
            </w:r>
          </w:p>
        </w:tc>
      </w:tr>
      <w:tr w:rsidR="0027559D" w:rsidRPr="008C761D" w14:paraId="64B99CB4" w14:textId="77777777" w:rsidTr="004C6518">
        <w:tc>
          <w:tcPr>
            <w:tcW w:w="1638" w:type="dxa"/>
            <w:shd w:val="clear" w:color="auto" w:fill="auto"/>
          </w:tcPr>
          <w:p w14:paraId="4AC614D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WB</w:t>
            </w:r>
          </w:p>
        </w:tc>
        <w:tc>
          <w:tcPr>
            <w:tcW w:w="7604" w:type="dxa"/>
            <w:shd w:val="clear" w:color="auto" w:fill="auto"/>
          </w:tcPr>
          <w:p w14:paraId="2C196161" w14:textId="77777777" w:rsidR="0027559D" w:rsidRPr="008C761D" w:rsidRDefault="0027559D" w:rsidP="0027559D">
            <w:pPr>
              <w:spacing w:after="120" w:line="264" w:lineRule="auto"/>
              <w:jc w:val="both"/>
              <w:rPr>
                <w:rFonts w:eastAsia="MS PGothic" w:cs="Calibri"/>
                <w:lang w:val="en-US" w:eastAsia="zh-CN"/>
              </w:rPr>
            </w:pPr>
            <w:r w:rsidRPr="008C761D">
              <w:rPr>
                <w:rFonts w:eastAsia="MS PGothic" w:cs="Calibri"/>
                <w:lang w:val="en-US" w:eastAsia="zh-CN"/>
              </w:rPr>
              <w:t>World Bank</w:t>
            </w:r>
          </w:p>
        </w:tc>
      </w:tr>
    </w:tbl>
    <w:p w14:paraId="3FBD96C2" w14:textId="77777777" w:rsidR="00577E52" w:rsidRPr="008C761D" w:rsidRDefault="00577E52" w:rsidP="00E84CD0">
      <w:pPr>
        <w:shd w:val="clear" w:color="auto" w:fill="FFFFFF"/>
        <w:spacing w:after="120" w:line="240" w:lineRule="auto"/>
        <w:jc w:val="both"/>
        <w:rPr>
          <w:rFonts w:eastAsia="MS PGothic" w:cs="Calibri"/>
          <w:b/>
          <w:lang w:val="en-US" w:eastAsia="zh-CN"/>
        </w:rPr>
      </w:pPr>
    </w:p>
    <w:p w14:paraId="674D637F" w14:textId="77777777" w:rsidR="0074523B" w:rsidRPr="008C761D" w:rsidRDefault="0074523B" w:rsidP="00E84CD0">
      <w:pPr>
        <w:spacing w:line="240" w:lineRule="auto"/>
        <w:jc w:val="both"/>
        <w:rPr>
          <w:rFonts w:cs="Calibri"/>
          <w:lang w:val="en-US"/>
        </w:rPr>
      </w:pPr>
    </w:p>
    <w:p w14:paraId="1EEEE2DE" w14:textId="77777777" w:rsidR="00E04B56" w:rsidRPr="008C761D" w:rsidRDefault="00E04B56" w:rsidP="00E84CD0">
      <w:pPr>
        <w:pStyle w:val="TOCHeading"/>
        <w:spacing w:line="240" w:lineRule="auto"/>
        <w:jc w:val="both"/>
        <w:rPr>
          <w:rFonts w:ascii="Calibri" w:hAnsi="Calibri" w:cs="Calibri"/>
          <w:color w:val="000000"/>
          <w:lang w:val="en-US"/>
        </w:rPr>
      </w:pPr>
      <w:r w:rsidRPr="008C761D">
        <w:rPr>
          <w:rFonts w:ascii="Calibri" w:hAnsi="Calibri" w:cs="Calibri"/>
          <w:color w:val="000000"/>
          <w:lang w:val="en-US"/>
        </w:rPr>
        <w:lastRenderedPageBreak/>
        <w:t>Contents</w:t>
      </w:r>
    </w:p>
    <w:p w14:paraId="4D822F6C" w14:textId="77777777" w:rsidR="00504F55" w:rsidRPr="008C761D" w:rsidRDefault="00504F55" w:rsidP="00504F55">
      <w:pPr>
        <w:rPr>
          <w:lang w:val="en-US"/>
        </w:rPr>
      </w:pPr>
    </w:p>
    <w:p w14:paraId="109DB386" w14:textId="5B08465C" w:rsidR="00B3498B" w:rsidRDefault="006A55CA">
      <w:pPr>
        <w:pStyle w:val="TOC1"/>
        <w:tabs>
          <w:tab w:val="right" w:leader="dot" w:pos="9016"/>
        </w:tabs>
        <w:rPr>
          <w:rFonts w:asciiTheme="minorHAnsi" w:eastAsiaTheme="minorEastAsia" w:hAnsiTheme="minorHAnsi" w:cstheme="minorBidi"/>
          <w:noProof/>
          <w:lang w:val="en-US"/>
        </w:rPr>
      </w:pPr>
      <w:r w:rsidRPr="008C761D">
        <w:rPr>
          <w:rFonts w:cs="Calibri"/>
          <w:lang w:val="en-US"/>
        </w:rPr>
        <w:fldChar w:fldCharType="begin"/>
      </w:r>
      <w:r w:rsidR="00E04B56" w:rsidRPr="008C761D">
        <w:rPr>
          <w:rFonts w:cs="Calibri"/>
          <w:lang w:val="en-US"/>
        </w:rPr>
        <w:instrText xml:space="preserve"> TOC \o "1-3" \h \z \u </w:instrText>
      </w:r>
      <w:r w:rsidRPr="008C761D">
        <w:rPr>
          <w:rFonts w:cs="Calibri"/>
          <w:lang w:val="en-US"/>
        </w:rPr>
        <w:fldChar w:fldCharType="separate"/>
      </w:r>
      <w:hyperlink w:anchor="_Toc160611806" w:history="1">
        <w:r w:rsidR="00B3498B" w:rsidRPr="0068641E">
          <w:rPr>
            <w:rStyle w:val="Hyperlink"/>
            <w:rFonts w:eastAsia="MS PGothic" w:cs="Calibri"/>
            <w:noProof/>
            <w:lang w:val="en-US" w:eastAsia="zh-CN"/>
          </w:rPr>
          <w:t>Introduction</w:t>
        </w:r>
        <w:r w:rsidR="00B3498B">
          <w:rPr>
            <w:noProof/>
            <w:webHidden/>
          </w:rPr>
          <w:tab/>
        </w:r>
        <w:r w:rsidR="00B3498B">
          <w:rPr>
            <w:noProof/>
            <w:webHidden/>
          </w:rPr>
          <w:fldChar w:fldCharType="begin"/>
        </w:r>
        <w:r w:rsidR="00B3498B">
          <w:rPr>
            <w:noProof/>
            <w:webHidden/>
          </w:rPr>
          <w:instrText xml:space="preserve"> PAGEREF _Toc160611806 \h </w:instrText>
        </w:r>
        <w:r w:rsidR="00B3498B">
          <w:rPr>
            <w:noProof/>
            <w:webHidden/>
          </w:rPr>
        </w:r>
        <w:r w:rsidR="00B3498B">
          <w:rPr>
            <w:noProof/>
            <w:webHidden/>
          </w:rPr>
          <w:fldChar w:fldCharType="separate"/>
        </w:r>
        <w:r w:rsidR="00B3498B">
          <w:rPr>
            <w:noProof/>
            <w:webHidden/>
          </w:rPr>
          <w:t>7</w:t>
        </w:r>
        <w:r w:rsidR="00B3498B">
          <w:rPr>
            <w:noProof/>
            <w:webHidden/>
          </w:rPr>
          <w:fldChar w:fldCharType="end"/>
        </w:r>
      </w:hyperlink>
    </w:p>
    <w:p w14:paraId="0CFCE770" w14:textId="4036C992" w:rsidR="00B3498B" w:rsidRDefault="00174835">
      <w:pPr>
        <w:pStyle w:val="TOC1"/>
        <w:tabs>
          <w:tab w:val="right" w:leader="dot" w:pos="9016"/>
        </w:tabs>
        <w:rPr>
          <w:rFonts w:asciiTheme="minorHAnsi" w:eastAsiaTheme="minorEastAsia" w:hAnsiTheme="minorHAnsi" w:cstheme="minorBidi"/>
          <w:noProof/>
          <w:lang w:val="en-US"/>
        </w:rPr>
      </w:pPr>
      <w:hyperlink w:anchor="_Toc160611807" w:history="1">
        <w:r w:rsidR="00B3498B" w:rsidRPr="0068641E">
          <w:rPr>
            <w:rStyle w:val="Hyperlink"/>
            <w:rFonts w:eastAsia="MS PGothic" w:cs="Calibri"/>
            <w:noProof/>
            <w:lang w:val="en-US" w:eastAsia="zh-CN"/>
          </w:rPr>
          <w:t>Chapter I: Background of the PFM Reform Programme</w:t>
        </w:r>
        <w:r w:rsidR="00B3498B">
          <w:rPr>
            <w:noProof/>
            <w:webHidden/>
          </w:rPr>
          <w:tab/>
        </w:r>
        <w:r w:rsidR="00B3498B">
          <w:rPr>
            <w:noProof/>
            <w:webHidden/>
          </w:rPr>
          <w:fldChar w:fldCharType="begin"/>
        </w:r>
        <w:r w:rsidR="00B3498B">
          <w:rPr>
            <w:noProof/>
            <w:webHidden/>
          </w:rPr>
          <w:instrText xml:space="preserve"> PAGEREF _Toc160611807 \h </w:instrText>
        </w:r>
        <w:r w:rsidR="00B3498B">
          <w:rPr>
            <w:noProof/>
            <w:webHidden/>
          </w:rPr>
        </w:r>
        <w:r w:rsidR="00B3498B">
          <w:rPr>
            <w:noProof/>
            <w:webHidden/>
          </w:rPr>
          <w:fldChar w:fldCharType="separate"/>
        </w:r>
        <w:r w:rsidR="00B3498B">
          <w:rPr>
            <w:noProof/>
            <w:webHidden/>
          </w:rPr>
          <w:t>9</w:t>
        </w:r>
        <w:r w:rsidR="00B3498B">
          <w:rPr>
            <w:noProof/>
            <w:webHidden/>
          </w:rPr>
          <w:fldChar w:fldCharType="end"/>
        </w:r>
      </w:hyperlink>
    </w:p>
    <w:p w14:paraId="5D47594D" w14:textId="407EDDE2" w:rsidR="00B3498B" w:rsidRDefault="00174835">
      <w:pPr>
        <w:pStyle w:val="TOC1"/>
        <w:tabs>
          <w:tab w:val="right" w:leader="dot" w:pos="9016"/>
        </w:tabs>
        <w:rPr>
          <w:rFonts w:asciiTheme="minorHAnsi" w:eastAsiaTheme="minorEastAsia" w:hAnsiTheme="minorHAnsi" w:cstheme="minorBidi"/>
          <w:noProof/>
          <w:lang w:val="en-US"/>
        </w:rPr>
      </w:pPr>
      <w:hyperlink w:anchor="_Toc160611808" w:history="1">
        <w:r w:rsidR="00B3498B" w:rsidRPr="0068641E">
          <w:rPr>
            <w:rStyle w:val="Hyperlink"/>
            <w:rFonts w:cs="Calibri"/>
            <w:noProof/>
            <w:lang w:val="en-US"/>
          </w:rPr>
          <w:t>Chapter II. Pillars, Priorities, Measures and Outcomes</w:t>
        </w:r>
        <w:r w:rsidR="00B3498B">
          <w:rPr>
            <w:noProof/>
            <w:webHidden/>
          </w:rPr>
          <w:tab/>
        </w:r>
        <w:r w:rsidR="00B3498B">
          <w:rPr>
            <w:noProof/>
            <w:webHidden/>
          </w:rPr>
          <w:fldChar w:fldCharType="begin"/>
        </w:r>
        <w:r w:rsidR="00B3498B">
          <w:rPr>
            <w:noProof/>
            <w:webHidden/>
          </w:rPr>
          <w:instrText xml:space="preserve"> PAGEREF _Toc160611808 \h </w:instrText>
        </w:r>
        <w:r w:rsidR="00B3498B">
          <w:rPr>
            <w:noProof/>
            <w:webHidden/>
          </w:rPr>
        </w:r>
        <w:r w:rsidR="00B3498B">
          <w:rPr>
            <w:noProof/>
            <w:webHidden/>
          </w:rPr>
          <w:fldChar w:fldCharType="separate"/>
        </w:r>
        <w:r w:rsidR="00B3498B">
          <w:rPr>
            <w:noProof/>
            <w:webHidden/>
          </w:rPr>
          <w:t>22</w:t>
        </w:r>
        <w:r w:rsidR="00B3498B">
          <w:rPr>
            <w:noProof/>
            <w:webHidden/>
          </w:rPr>
          <w:fldChar w:fldCharType="end"/>
        </w:r>
      </w:hyperlink>
    </w:p>
    <w:p w14:paraId="1539BFDC" w14:textId="6F814C40" w:rsidR="00B3498B" w:rsidRDefault="00174835">
      <w:pPr>
        <w:pStyle w:val="TOC1"/>
        <w:tabs>
          <w:tab w:val="right" w:leader="dot" w:pos="9016"/>
        </w:tabs>
        <w:rPr>
          <w:rFonts w:asciiTheme="minorHAnsi" w:eastAsiaTheme="minorEastAsia" w:hAnsiTheme="minorHAnsi" w:cstheme="minorBidi"/>
          <w:noProof/>
          <w:lang w:val="en-US"/>
        </w:rPr>
      </w:pPr>
      <w:hyperlink w:anchor="_Toc160611809" w:history="1">
        <w:r w:rsidR="00B3498B" w:rsidRPr="0068641E">
          <w:rPr>
            <w:rStyle w:val="Hyperlink"/>
            <w:rFonts w:cs="Calibri"/>
            <w:noProof/>
            <w:lang w:val="en-US"/>
          </w:rPr>
          <w:t>PILLAR I - Economic Analysis, Macroeconomic and Fiscal Framework</w:t>
        </w:r>
        <w:r w:rsidR="00B3498B">
          <w:rPr>
            <w:noProof/>
            <w:webHidden/>
          </w:rPr>
          <w:tab/>
        </w:r>
        <w:r w:rsidR="00B3498B">
          <w:rPr>
            <w:noProof/>
            <w:webHidden/>
          </w:rPr>
          <w:fldChar w:fldCharType="begin"/>
        </w:r>
        <w:r w:rsidR="00B3498B">
          <w:rPr>
            <w:noProof/>
            <w:webHidden/>
          </w:rPr>
          <w:instrText xml:space="preserve"> PAGEREF _Toc160611809 \h </w:instrText>
        </w:r>
        <w:r w:rsidR="00B3498B">
          <w:rPr>
            <w:noProof/>
            <w:webHidden/>
          </w:rPr>
        </w:r>
        <w:r w:rsidR="00B3498B">
          <w:rPr>
            <w:noProof/>
            <w:webHidden/>
          </w:rPr>
          <w:fldChar w:fldCharType="separate"/>
        </w:r>
        <w:r w:rsidR="00B3498B">
          <w:rPr>
            <w:noProof/>
            <w:webHidden/>
          </w:rPr>
          <w:t>23</w:t>
        </w:r>
        <w:r w:rsidR="00B3498B">
          <w:rPr>
            <w:noProof/>
            <w:webHidden/>
          </w:rPr>
          <w:fldChar w:fldCharType="end"/>
        </w:r>
      </w:hyperlink>
    </w:p>
    <w:p w14:paraId="63820913" w14:textId="58660194" w:rsidR="00B3498B" w:rsidRDefault="00174835">
      <w:pPr>
        <w:pStyle w:val="TOC1"/>
        <w:tabs>
          <w:tab w:val="right" w:leader="dot" w:pos="9016"/>
        </w:tabs>
        <w:rPr>
          <w:rFonts w:asciiTheme="minorHAnsi" w:eastAsiaTheme="minorEastAsia" w:hAnsiTheme="minorHAnsi" w:cstheme="minorBidi"/>
          <w:noProof/>
          <w:lang w:val="en-US"/>
        </w:rPr>
      </w:pPr>
      <w:hyperlink w:anchor="_Toc160611810" w:history="1">
        <w:r w:rsidR="00B3498B" w:rsidRPr="0068641E">
          <w:rPr>
            <w:rStyle w:val="Hyperlink"/>
            <w:rFonts w:cs="Calibri"/>
            <w:noProof/>
            <w:lang w:val="en-US"/>
          </w:rPr>
          <w:t>Priority 1: Revenue forecasting and reporting</w:t>
        </w:r>
        <w:r w:rsidR="00B3498B">
          <w:rPr>
            <w:noProof/>
            <w:webHidden/>
          </w:rPr>
          <w:tab/>
        </w:r>
        <w:r w:rsidR="00B3498B">
          <w:rPr>
            <w:noProof/>
            <w:webHidden/>
          </w:rPr>
          <w:fldChar w:fldCharType="begin"/>
        </w:r>
        <w:r w:rsidR="00B3498B">
          <w:rPr>
            <w:noProof/>
            <w:webHidden/>
          </w:rPr>
          <w:instrText xml:space="preserve"> PAGEREF _Toc160611810 \h </w:instrText>
        </w:r>
        <w:r w:rsidR="00B3498B">
          <w:rPr>
            <w:noProof/>
            <w:webHidden/>
          </w:rPr>
        </w:r>
        <w:r w:rsidR="00B3498B">
          <w:rPr>
            <w:noProof/>
            <w:webHidden/>
          </w:rPr>
          <w:fldChar w:fldCharType="separate"/>
        </w:r>
        <w:r w:rsidR="00B3498B">
          <w:rPr>
            <w:noProof/>
            <w:webHidden/>
          </w:rPr>
          <w:t>25</w:t>
        </w:r>
        <w:r w:rsidR="00B3498B">
          <w:rPr>
            <w:noProof/>
            <w:webHidden/>
          </w:rPr>
          <w:fldChar w:fldCharType="end"/>
        </w:r>
      </w:hyperlink>
    </w:p>
    <w:p w14:paraId="0EA319E9" w14:textId="51D355BB" w:rsidR="00B3498B" w:rsidRDefault="00174835">
      <w:pPr>
        <w:pStyle w:val="TOC1"/>
        <w:tabs>
          <w:tab w:val="right" w:leader="dot" w:pos="9016"/>
        </w:tabs>
        <w:rPr>
          <w:rFonts w:asciiTheme="minorHAnsi" w:eastAsiaTheme="minorEastAsia" w:hAnsiTheme="minorHAnsi" w:cstheme="minorBidi"/>
          <w:noProof/>
          <w:lang w:val="en-US"/>
        </w:rPr>
      </w:pPr>
      <w:hyperlink w:anchor="_Toc160611811" w:history="1">
        <w:r w:rsidR="00B3498B" w:rsidRPr="0068641E">
          <w:rPr>
            <w:rStyle w:val="Hyperlink"/>
            <w:rFonts w:cs="Calibri"/>
            <w:noProof/>
            <w:lang w:val="en-US"/>
          </w:rPr>
          <w:t>Priority 2: Economic analysis and Macroeconomic forecasting</w:t>
        </w:r>
        <w:r w:rsidR="00B3498B">
          <w:rPr>
            <w:noProof/>
            <w:webHidden/>
          </w:rPr>
          <w:tab/>
        </w:r>
        <w:r w:rsidR="00B3498B">
          <w:rPr>
            <w:noProof/>
            <w:webHidden/>
          </w:rPr>
          <w:fldChar w:fldCharType="begin"/>
        </w:r>
        <w:r w:rsidR="00B3498B">
          <w:rPr>
            <w:noProof/>
            <w:webHidden/>
          </w:rPr>
          <w:instrText xml:space="preserve"> PAGEREF _Toc160611811 \h </w:instrText>
        </w:r>
        <w:r w:rsidR="00B3498B">
          <w:rPr>
            <w:noProof/>
            <w:webHidden/>
          </w:rPr>
        </w:r>
        <w:r w:rsidR="00B3498B">
          <w:rPr>
            <w:noProof/>
            <w:webHidden/>
          </w:rPr>
          <w:fldChar w:fldCharType="separate"/>
        </w:r>
        <w:r w:rsidR="00B3498B">
          <w:rPr>
            <w:noProof/>
            <w:webHidden/>
          </w:rPr>
          <w:t>32</w:t>
        </w:r>
        <w:r w:rsidR="00B3498B">
          <w:rPr>
            <w:noProof/>
            <w:webHidden/>
          </w:rPr>
          <w:fldChar w:fldCharType="end"/>
        </w:r>
      </w:hyperlink>
    </w:p>
    <w:p w14:paraId="2225CABA" w14:textId="0E44015B" w:rsidR="00B3498B" w:rsidRDefault="00174835">
      <w:pPr>
        <w:pStyle w:val="TOC1"/>
        <w:tabs>
          <w:tab w:val="right" w:leader="dot" w:pos="9016"/>
        </w:tabs>
        <w:rPr>
          <w:rFonts w:asciiTheme="minorHAnsi" w:eastAsiaTheme="minorEastAsia" w:hAnsiTheme="minorHAnsi" w:cstheme="minorBidi"/>
          <w:noProof/>
          <w:lang w:val="en-US"/>
        </w:rPr>
      </w:pPr>
      <w:hyperlink w:anchor="_Toc160611812" w:history="1">
        <w:r w:rsidR="00B3498B" w:rsidRPr="0068641E">
          <w:rPr>
            <w:rStyle w:val="Hyperlink"/>
            <w:rFonts w:cs="Calibri"/>
            <w:noProof/>
            <w:lang w:val="en-US"/>
          </w:rPr>
          <w:t>Priority 3: Strengthening Debt Management</w:t>
        </w:r>
        <w:r w:rsidR="00B3498B">
          <w:rPr>
            <w:noProof/>
            <w:webHidden/>
          </w:rPr>
          <w:tab/>
        </w:r>
        <w:r w:rsidR="00B3498B">
          <w:rPr>
            <w:noProof/>
            <w:webHidden/>
          </w:rPr>
          <w:fldChar w:fldCharType="begin"/>
        </w:r>
        <w:r w:rsidR="00B3498B">
          <w:rPr>
            <w:noProof/>
            <w:webHidden/>
          </w:rPr>
          <w:instrText xml:space="preserve"> PAGEREF _Toc160611812 \h </w:instrText>
        </w:r>
        <w:r w:rsidR="00B3498B">
          <w:rPr>
            <w:noProof/>
            <w:webHidden/>
          </w:rPr>
        </w:r>
        <w:r w:rsidR="00B3498B">
          <w:rPr>
            <w:noProof/>
            <w:webHidden/>
          </w:rPr>
          <w:fldChar w:fldCharType="separate"/>
        </w:r>
        <w:r w:rsidR="00B3498B">
          <w:rPr>
            <w:noProof/>
            <w:webHidden/>
          </w:rPr>
          <w:t>40</w:t>
        </w:r>
        <w:r w:rsidR="00B3498B">
          <w:rPr>
            <w:noProof/>
            <w:webHidden/>
          </w:rPr>
          <w:fldChar w:fldCharType="end"/>
        </w:r>
      </w:hyperlink>
    </w:p>
    <w:p w14:paraId="1EDEF533" w14:textId="4CBF4A53" w:rsidR="00B3498B" w:rsidRDefault="00174835">
      <w:pPr>
        <w:pStyle w:val="TOC1"/>
        <w:tabs>
          <w:tab w:val="right" w:leader="dot" w:pos="9016"/>
        </w:tabs>
        <w:rPr>
          <w:rFonts w:asciiTheme="minorHAnsi" w:eastAsiaTheme="minorEastAsia" w:hAnsiTheme="minorHAnsi" w:cstheme="minorBidi"/>
          <w:noProof/>
          <w:lang w:val="en-US"/>
        </w:rPr>
      </w:pPr>
      <w:hyperlink w:anchor="_Toc160611813" w:history="1">
        <w:r w:rsidR="00B3498B" w:rsidRPr="0068641E">
          <w:rPr>
            <w:rStyle w:val="Hyperlink"/>
            <w:rFonts w:eastAsia="MS PGothic" w:cs="Calibri"/>
            <w:noProof/>
            <w:lang w:val="en-US" w:eastAsia="zh-CN"/>
          </w:rPr>
          <w:t>PILLAR II - Revenue Mobilisation</w:t>
        </w:r>
        <w:r w:rsidR="00B3498B">
          <w:rPr>
            <w:noProof/>
            <w:webHidden/>
          </w:rPr>
          <w:tab/>
        </w:r>
        <w:r w:rsidR="00B3498B">
          <w:rPr>
            <w:noProof/>
            <w:webHidden/>
          </w:rPr>
          <w:fldChar w:fldCharType="begin"/>
        </w:r>
        <w:r w:rsidR="00B3498B">
          <w:rPr>
            <w:noProof/>
            <w:webHidden/>
          </w:rPr>
          <w:instrText xml:space="preserve"> PAGEREF _Toc160611813 \h </w:instrText>
        </w:r>
        <w:r w:rsidR="00B3498B">
          <w:rPr>
            <w:noProof/>
            <w:webHidden/>
          </w:rPr>
        </w:r>
        <w:r w:rsidR="00B3498B">
          <w:rPr>
            <w:noProof/>
            <w:webHidden/>
          </w:rPr>
          <w:fldChar w:fldCharType="separate"/>
        </w:r>
        <w:r w:rsidR="00B3498B">
          <w:rPr>
            <w:noProof/>
            <w:webHidden/>
          </w:rPr>
          <w:t>46</w:t>
        </w:r>
        <w:r w:rsidR="00B3498B">
          <w:rPr>
            <w:noProof/>
            <w:webHidden/>
          </w:rPr>
          <w:fldChar w:fldCharType="end"/>
        </w:r>
      </w:hyperlink>
    </w:p>
    <w:p w14:paraId="6A715EC5" w14:textId="5CEDBB96" w:rsidR="00B3498B" w:rsidRDefault="00174835">
      <w:pPr>
        <w:pStyle w:val="TOC1"/>
        <w:tabs>
          <w:tab w:val="right" w:leader="dot" w:pos="9016"/>
        </w:tabs>
        <w:rPr>
          <w:rFonts w:asciiTheme="minorHAnsi" w:eastAsiaTheme="minorEastAsia" w:hAnsiTheme="minorHAnsi" w:cstheme="minorBidi"/>
          <w:noProof/>
          <w:lang w:val="en-US"/>
        </w:rPr>
      </w:pPr>
      <w:hyperlink w:anchor="_Toc160611814" w:history="1">
        <w:r w:rsidR="00B3498B" w:rsidRPr="0068641E">
          <w:rPr>
            <w:rStyle w:val="Hyperlink"/>
            <w:rFonts w:cs="Calibri"/>
            <w:noProof/>
            <w:lang w:val="en-US"/>
          </w:rPr>
          <w:t>Priority 1: Tax and customs policy</w:t>
        </w:r>
        <w:r w:rsidR="00B3498B">
          <w:rPr>
            <w:noProof/>
            <w:webHidden/>
          </w:rPr>
          <w:tab/>
        </w:r>
        <w:r w:rsidR="00B3498B">
          <w:rPr>
            <w:noProof/>
            <w:webHidden/>
          </w:rPr>
          <w:fldChar w:fldCharType="begin"/>
        </w:r>
        <w:r w:rsidR="00B3498B">
          <w:rPr>
            <w:noProof/>
            <w:webHidden/>
          </w:rPr>
          <w:instrText xml:space="preserve"> PAGEREF _Toc160611814 \h </w:instrText>
        </w:r>
        <w:r w:rsidR="00B3498B">
          <w:rPr>
            <w:noProof/>
            <w:webHidden/>
          </w:rPr>
        </w:r>
        <w:r w:rsidR="00B3498B">
          <w:rPr>
            <w:noProof/>
            <w:webHidden/>
          </w:rPr>
          <w:fldChar w:fldCharType="separate"/>
        </w:r>
        <w:r w:rsidR="00B3498B">
          <w:rPr>
            <w:noProof/>
            <w:webHidden/>
          </w:rPr>
          <w:t>48</w:t>
        </w:r>
        <w:r w:rsidR="00B3498B">
          <w:rPr>
            <w:noProof/>
            <w:webHidden/>
          </w:rPr>
          <w:fldChar w:fldCharType="end"/>
        </w:r>
      </w:hyperlink>
    </w:p>
    <w:p w14:paraId="1A4DA314" w14:textId="648610E5" w:rsidR="00B3498B" w:rsidRDefault="00174835">
      <w:pPr>
        <w:pStyle w:val="TOC1"/>
        <w:tabs>
          <w:tab w:val="right" w:leader="dot" w:pos="9016"/>
        </w:tabs>
        <w:rPr>
          <w:rFonts w:asciiTheme="minorHAnsi" w:eastAsiaTheme="minorEastAsia" w:hAnsiTheme="minorHAnsi" w:cstheme="minorBidi"/>
          <w:noProof/>
          <w:lang w:val="en-US"/>
        </w:rPr>
      </w:pPr>
      <w:hyperlink w:anchor="_Toc160611815" w:history="1">
        <w:r w:rsidR="00B3498B" w:rsidRPr="0068641E">
          <w:rPr>
            <w:rStyle w:val="Hyperlink"/>
            <w:rFonts w:cs="Calibri"/>
            <w:noProof/>
            <w:lang w:val="en-US"/>
          </w:rPr>
          <w:t>Priority 2: Tax administration</w:t>
        </w:r>
        <w:r w:rsidR="00B3498B">
          <w:rPr>
            <w:noProof/>
            <w:webHidden/>
          </w:rPr>
          <w:tab/>
        </w:r>
        <w:r w:rsidR="00B3498B">
          <w:rPr>
            <w:noProof/>
            <w:webHidden/>
          </w:rPr>
          <w:fldChar w:fldCharType="begin"/>
        </w:r>
        <w:r w:rsidR="00B3498B">
          <w:rPr>
            <w:noProof/>
            <w:webHidden/>
          </w:rPr>
          <w:instrText xml:space="preserve"> PAGEREF _Toc160611815 \h </w:instrText>
        </w:r>
        <w:r w:rsidR="00B3498B">
          <w:rPr>
            <w:noProof/>
            <w:webHidden/>
          </w:rPr>
        </w:r>
        <w:r w:rsidR="00B3498B">
          <w:rPr>
            <w:noProof/>
            <w:webHidden/>
          </w:rPr>
          <w:fldChar w:fldCharType="separate"/>
        </w:r>
        <w:r w:rsidR="00B3498B">
          <w:rPr>
            <w:noProof/>
            <w:webHidden/>
          </w:rPr>
          <w:t>51</w:t>
        </w:r>
        <w:r w:rsidR="00B3498B">
          <w:rPr>
            <w:noProof/>
            <w:webHidden/>
          </w:rPr>
          <w:fldChar w:fldCharType="end"/>
        </w:r>
      </w:hyperlink>
    </w:p>
    <w:p w14:paraId="2F76053E" w14:textId="42735454" w:rsidR="00B3498B" w:rsidRDefault="00174835">
      <w:pPr>
        <w:pStyle w:val="TOC1"/>
        <w:tabs>
          <w:tab w:val="right" w:leader="dot" w:pos="9016"/>
        </w:tabs>
        <w:rPr>
          <w:rFonts w:asciiTheme="minorHAnsi" w:eastAsiaTheme="minorEastAsia" w:hAnsiTheme="minorHAnsi" w:cstheme="minorBidi"/>
          <w:noProof/>
          <w:lang w:val="en-US"/>
        </w:rPr>
      </w:pPr>
      <w:hyperlink w:anchor="_Toc160611816" w:history="1">
        <w:r w:rsidR="00B3498B" w:rsidRPr="0068641E">
          <w:rPr>
            <w:rStyle w:val="Hyperlink"/>
            <w:rFonts w:cs="Calibri"/>
            <w:noProof/>
            <w:lang w:val="en-US"/>
          </w:rPr>
          <w:t>Priority 3: Customs</w:t>
        </w:r>
        <w:r w:rsidR="00B3498B">
          <w:rPr>
            <w:noProof/>
            <w:webHidden/>
          </w:rPr>
          <w:tab/>
        </w:r>
        <w:r w:rsidR="00B3498B">
          <w:rPr>
            <w:noProof/>
            <w:webHidden/>
          </w:rPr>
          <w:fldChar w:fldCharType="begin"/>
        </w:r>
        <w:r w:rsidR="00B3498B">
          <w:rPr>
            <w:noProof/>
            <w:webHidden/>
          </w:rPr>
          <w:instrText xml:space="preserve"> PAGEREF _Toc160611816 \h </w:instrText>
        </w:r>
        <w:r w:rsidR="00B3498B">
          <w:rPr>
            <w:noProof/>
            <w:webHidden/>
          </w:rPr>
        </w:r>
        <w:r w:rsidR="00B3498B">
          <w:rPr>
            <w:noProof/>
            <w:webHidden/>
          </w:rPr>
          <w:fldChar w:fldCharType="separate"/>
        </w:r>
        <w:r w:rsidR="00B3498B">
          <w:rPr>
            <w:noProof/>
            <w:webHidden/>
          </w:rPr>
          <w:t>61</w:t>
        </w:r>
        <w:r w:rsidR="00B3498B">
          <w:rPr>
            <w:noProof/>
            <w:webHidden/>
          </w:rPr>
          <w:fldChar w:fldCharType="end"/>
        </w:r>
      </w:hyperlink>
    </w:p>
    <w:p w14:paraId="5DB3E03B" w14:textId="4D093D07" w:rsidR="00B3498B" w:rsidRDefault="00174835">
      <w:pPr>
        <w:pStyle w:val="TOC1"/>
        <w:tabs>
          <w:tab w:val="right" w:leader="dot" w:pos="9016"/>
        </w:tabs>
        <w:rPr>
          <w:rFonts w:asciiTheme="minorHAnsi" w:eastAsiaTheme="minorEastAsia" w:hAnsiTheme="minorHAnsi" w:cstheme="minorBidi"/>
          <w:noProof/>
          <w:lang w:val="en-US"/>
        </w:rPr>
      </w:pPr>
      <w:hyperlink w:anchor="_Toc160611817" w:history="1">
        <w:r w:rsidR="00B3498B" w:rsidRPr="0068641E">
          <w:rPr>
            <w:rStyle w:val="Hyperlink"/>
            <w:rFonts w:eastAsia="MS PGothic" w:cs="Calibri"/>
            <w:noProof/>
            <w:lang w:val="en-US" w:eastAsia="zh-CN"/>
          </w:rPr>
          <w:t>PILLAR III: Planning and Budget</w:t>
        </w:r>
        <w:r w:rsidR="00B3498B">
          <w:rPr>
            <w:noProof/>
            <w:webHidden/>
          </w:rPr>
          <w:tab/>
        </w:r>
        <w:r w:rsidR="00B3498B">
          <w:rPr>
            <w:noProof/>
            <w:webHidden/>
          </w:rPr>
          <w:fldChar w:fldCharType="begin"/>
        </w:r>
        <w:r w:rsidR="00B3498B">
          <w:rPr>
            <w:noProof/>
            <w:webHidden/>
          </w:rPr>
          <w:instrText xml:space="preserve"> PAGEREF _Toc160611817 \h </w:instrText>
        </w:r>
        <w:r w:rsidR="00B3498B">
          <w:rPr>
            <w:noProof/>
            <w:webHidden/>
          </w:rPr>
        </w:r>
        <w:r w:rsidR="00B3498B">
          <w:rPr>
            <w:noProof/>
            <w:webHidden/>
          </w:rPr>
          <w:fldChar w:fldCharType="separate"/>
        </w:r>
        <w:r w:rsidR="00B3498B">
          <w:rPr>
            <w:noProof/>
            <w:webHidden/>
          </w:rPr>
          <w:t>71</w:t>
        </w:r>
        <w:r w:rsidR="00B3498B">
          <w:rPr>
            <w:noProof/>
            <w:webHidden/>
          </w:rPr>
          <w:fldChar w:fldCharType="end"/>
        </w:r>
      </w:hyperlink>
    </w:p>
    <w:p w14:paraId="58AE26ED" w14:textId="1F82F26C" w:rsidR="00B3498B" w:rsidRDefault="00174835">
      <w:pPr>
        <w:pStyle w:val="TOC1"/>
        <w:tabs>
          <w:tab w:val="right" w:leader="dot" w:pos="9016"/>
        </w:tabs>
        <w:rPr>
          <w:rFonts w:asciiTheme="minorHAnsi" w:eastAsiaTheme="minorEastAsia" w:hAnsiTheme="minorHAnsi" w:cstheme="minorBidi"/>
          <w:noProof/>
          <w:lang w:val="en-US"/>
        </w:rPr>
      </w:pPr>
      <w:hyperlink w:anchor="_Toc160611818" w:history="1">
        <w:r w:rsidR="00B3498B" w:rsidRPr="0068641E">
          <w:rPr>
            <w:rStyle w:val="Hyperlink"/>
            <w:rFonts w:cs="Calibri"/>
            <w:noProof/>
            <w:lang w:val="en-US"/>
          </w:rPr>
          <w:t>Priority 1: Budget Planning</w:t>
        </w:r>
        <w:r w:rsidR="00B3498B">
          <w:rPr>
            <w:noProof/>
            <w:webHidden/>
          </w:rPr>
          <w:tab/>
        </w:r>
        <w:r w:rsidR="00B3498B">
          <w:rPr>
            <w:noProof/>
            <w:webHidden/>
          </w:rPr>
          <w:fldChar w:fldCharType="begin"/>
        </w:r>
        <w:r w:rsidR="00B3498B">
          <w:rPr>
            <w:noProof/>
            <w:webHidden/>
          </w:rPr>
          <w:instrText xml:space="preserve"> PAGEREF _Toc160611818 \h </w:instrText>
        </w:r>
        <w:r w:rsidR="00B3498B">
          <w:rPr>
            <w:noProof/>
            <w:webHidden/>
          </w:rPr>
        </w:r>
        <w:r w:rsidR="00B3498B">
          <w:rPr>
            <w:noProof/>
            <w:webHidden/>
          </w:rPr>
          <w:fldChar w:fldCharType="separate"/>
        </w:r>
        <w:r w:rsidR="00B3498B">
          <w:rPr>
            <w:noProof/>
            <w:webHidden/>
          </w:rPr>
          <w:t>73</w:t>
        </w:r>
        <w:r w:rsidR="00B3498B">
          <w:rPr>
            <w:noProof/>
            <w:webHidden/>
          </w:rPr>
          <w:fldChar w:fldCharType="end"/>
        </w:r>
      </w:hyperlink>
    </w:p>
    <w:p w14:paraId="2C1836BA" w14:textId="5619C2A7" w:rsidR="00B3498B" w:rsidRDefault="00174835">
      <w:pPr>
        <w:pStyle w:val="TOC1"/>
        <w:tabs>
          <w:tab w:val="right" w:leader="dot" w:pos="9016"/>
        </w:tabs>
        <w:rPr>
          <w:rFonts w:asciiTheme="minorHAnsi" w:eastAsiaTheme="minorEastAsia" w:hAnsiTheme="minorHAnsi" w:cstheme="minorBidi"/>
          <w:noProof/>
          <w:lang w:val="en-US"/>
        </w:rPr>
      </w:pPr>
      <w:hyperlink w:anchor="_Toc160611819" w:history="1">
        <w:r w:rsidR="00B3498B" w:rsidRPr="0068641E">
          <w:rPr>
            <w:rStyle w:val="Hyperlink"/>
            <w:rFonts w:cs="Calibri"/>
            <w:noProof/>
            <w:lang w:val="en-US"/>
          </w:rPr>
          <w:t>Priority 2: Strengthened Public Investment Management</w:t>
        </w:r>
        <w:r w:rsidR="00B3498B">
          <w:rPr>
            <w:noProof/>
            <w:webHidden/>
          </w:rPr>
          <w:tab/>
        </w:r>
        <w:r w:rsidR="00B3498B">
          <w:rPr>
            <w:noProof/>
            <w:webHidden/>
          </w:rPr>
          <w:fldChar w:fldCharType="begin"/>
        </w:r>
        <w:r w:rsidR="00B3498B">
          <w:rPr>
            <w:noProof/>
            <w:webHidden/>
          </w:rPr>
          <w:instrText xml:space="preserve"> PAGEREF _Toc160611819 \h </w:instrText>
        </w:r>
        <w:r w:rsidR="00B3498B">
          <w:rPr>
            <w:noProof/>
            <w:webHidden/>
          </w:rPr>
        </w:r>
        <w:r w:rsidR="00B3498B">
          <w:rPr>
            <w:noProof/>
            <w:webHidden/>
          </w:rPr>
          <w:fldChar w:fldCharType="separate"/>
        </w:r>
        <w:r w:rsidR="00B3498B">
          <w:rPr>
            <w:noProof/>
            <w:webHidden/>
          </w:rPr>
          <w:t>83</w:t>
        </w:r>
        <w:r w:rsidR="00B3498B">
          <w:rPr>
            <w:noProof/>
            <w:webHidden/>
          </w:rPr>
          <w:fldChar w:fldCharType="end"/>
        </w:r>
      </w:hyperlink>
    </w:p>
    <w:p w14:paraId="37F8553D" w14:textId="59434C82" w:rsidR="00B3498B" w:rsidRDefault="00174835">
      <w:pPr>
        <w:pStyle w:val="TOC1"/>
        <w:tabs>
          <w:tab w:val="right" w:leader="dot" w:pos="9016"/>
        </w:tabs>
        <w:rPr>
          <w:rFonts w:asciiTheme="minorHAnsi" w:eastAsiaTheme="minorEastAsia" w:hAnsiTheme="minorHAnsi" w:cstheme="minorBidi"/>
          <w:noProof/>
          <w:lang w:val="en-US"/>
        </w:rPr>
      </w:pPr>
      <w:hyperlink w:anchor="_Toc160611820" w:history="1">
        <w:r w:rsidR="00B3498B" w:rsidRPr="0068641E">
          <w:rPr>
            <w:rStyle w:val="Hyperlink"/>
            <w:rFonts w:cs="Calibri"/>
            <w:noProof/>
            <w:lang w:val="en-US"/>
          </w:rPr>
          <w:t>Priority 3: Strengthen the accounting of budgets and budget users</w:t>
        </w:r>
        <w:r w:rsidR="00B3498B">
          <w:rPr>
            <w:noProof/>
            <w:webHidden/>
          </w:rPr>
          <w:tab/>
        </w:r>
        <w:r w:rsidR="00B3498B">
          <w:rPr>
            <w:noProof/>
            <w:webHidden/>
          </w:rPr>
          <w:fldChar w:fldCharType="begin"/>
        </w:r>
        <w:r w:rsidR="00B3498B">
          <w:rPr>
            <w:noProof/>
            <w:webHidden/>
          </w:rPr>
          <w:instrText xml:space="preserve"> PAGEREF _Toc160611820 \h </w:instrText>
        </w:r>
        <w:r w:rsidR="00B3498B">
          <w:rPr>
            <w:noProof/>
            <w:webHidden/>
          </w:rPr>
        </w:r>
        <w:r w:rsidR="00B3498B">
          <w:rPr>
            <w:noProof/>
            <w:webHidden/>
          </w:rPr>
          <w:fldChar w:fldCharType="separate"/>
        </w:r>
        <w:r w:rsidR="00B3498B">
          <w:rPr>
            <w:noProof/>
            <w:webHidden/>
          </w:rPr>
          <w:t>90</w:t>
        </w:r>
        <w:r w:rsidR="00B3498B">
          <w:rPr>
            <w:noProof/>
            <w:webHidden/>
          </w:rPr>
          <w:fldChar w:fldCharType="end"/>
        </w:r>
      </w:hyperlink>
    </w:p>
    <w:p w14:paraId="4CEACC91" w14:textId="50450585" w:rsidR="00B3498B" w:rsidRDefault="00174835">
      <w:pPr>
        <w:pStyle w:val="TOC1"/>
        <w:tabs>
          <w:tab w:val="right" w:leader="dot" w:pos="9016"/>
        </w:tabs>
        <w:rPr>
          <w:rFonts w:asciiTheme="minorHAnsi" w:eastAsiaTheme="minorEastAsia" w:hAnsiTheme="minorHAnsi" w:cstheme="minorBidi"/>
          <w:noProof/>
          <w:lang w:val="en-US"/>
        </w:rPr>
      </w:pPr>
      <w:hyperlink w:anchor="_Toc160611821" w:history="1">
        <w:r w:rsidR="00B3498B" w:rsidRPr="0068641E">
          <w:rPr>
            <w:rStyle w:val="Hyperlink"/>
            <w:rFonts w:cs="Calibri"/>
            <w:noProof/>
            <w:lang w:val="en-US"/>
          </w:rPr>
          <w:t>PILLAR IV - Public procurement</w:t>
        </w:r>
        <w:r w:rsidR="00B3498B">
          <w:rPr>
            <w:noProof/>
            <w:webHidden/>
          </w:rPr>
          <w:tab/>
        </w:r>
        <w:r w:rsidR="00B3498B">
          <w:rPr>
            <w:noProof/>
            <w:webHidden/>
          </w:rPr>
          <w:fldChar w:fldCharType="begin"/>
        </w:r>
        <w:r w:rsidR="00B3498B">
          <w:rPr>
            <w:noProof/>
            <w:webHidden/>
          </w:rPr>
          <w:instrText xml:space="preserve"> PAGEREF _Toc160611821 \h </w:instrText>
        </w:r>
        <w:r w:rsidR="00B3498B">
          <w:rPr>
            <w:noProof/>
            <w:webHidden/>
          </w:rPr>
        </w:r>
        <w:r w:rsidR="00B3498B">
          <w:rPr>
            <w:noProof/>
            <w:webHidden/>
          </w:rPr>
          <w:fldChar w:fldCharType="separate"/>
        </w:r>
        <w:r w:rsidR="00B3498B">
          <w:rPr>
            <w:noProof/>
            <w:webHidden/>
          </w:rPr>
          <w:t>93</w:t>
        </w:r>
        <w:r w:rsidR="00B3498B">
          <w:rPr>
            <w:noProof/>
            <w:webHidden/>
          </w:rPr>
          <w:fldChar w:fldCharType="end"/>
        </w:r>
      </w:hyperlink>
    </w:p>
    <w:p w14:paraId="66B6B47C" w14:textId="2531D1F0" w:rsidR="00B3498B" w:rsidRDefault="00174835">
      <w:pPr>
        <w:pStyle w:val="TOC1"/>
        <w:tabs>
          <w:tab w:val="right" w:leader="dot" w:pos="9016"/>
        </w:tabs>
        <w:rPr>
          <w:rFonts w:asciiTheme="minorHAnsi" w:eastAsiaTheme="minorEastAsia" w:hAnsiTheme="minorHAnsi" w:cstheme="minorBidi"/>
          <w:noProof/>
          <w:lang w:val="en-US"/>
        </w:rPr>
      </w:pPr>
      <w:hyperlink w:anchor="_Toc160611822" w:history="1">
        <w:r w:rsidR="00B3498B" w:rsidRPr="0068641E">
          <w:rPr>
            <w:rStyle w:val="Hyperlink"/>
            <w:rFonts w:cs="Calibri"/>
            <w:noProof/>
            <w:lang w:val="en-US"/>
          </w:rPr>
          <w:t>Priority 1: Public Procurement Policy</w:t>
        </w:r>
        <w:r w:rsidR="00B3498B">
          <w:rPr>
            <w:noProof/>
            <w:webHidden/>
          </w:rPr>
          <w:tab/>
        </w:r>
        <w:r w:rsidR="00B3498B">
          <w:rPr>
            <w:noProof/>
            <w:webHidden/>
          </w:rPr>
          <w:fldChar w:fldCharType="begin"/>
        </w:r>
        <w:r w:rsidR="00B3498B">
          <w:rPr>
            <w:noProof/>
            <w:webHidden/>
          </w:rPr>
          <w:instrText xml:space="preserve"> PAGEREF _Toc160611822 \h </w:instrText>
        </w:r>
        <w:r w:rsidR="00B3498B">
          <w:rPr>
            <w:noProof/>
            <w:webHidden/>
          </w:rPr>
        </w:r>
        <w:r w:rsidR="00B3498B">
          <w:rPr>
            <w:noProof/>
            <w:webHidden/>
          </w:rPr>
          <w:fldChar w:fldCharType="separate"/>
        </w:r>
        <w:r w:rsidR="00B3498B">
          <w:rPr>
            <w:noProof/>
            <w:webHidden/>
          </w:rPr>
          <w:t>94</w:t>
        </w:r>
        <w:r w:rsidR="00B3498B">
          <w:rPr>
            <w:noProof/>
            <w:webHidden/>
          </w:rPr>
          <w:fldChar w:fldCharType="end"/>
        </w:r>
      </w:hyperlink>
    </w:p>
    <w:p w14:paraId="0A36E2C6" w14:textId="79639954" w:rsidR="00B3498B" w:rsidRDefault="00174835">
      <w:pPr>
        <w:pStyle w:val="TOC1"/>
        <w:tabs>
          <w:tab w:val="right" w:leader="dot" w:pos="9016"/>
        </w:tabs>
        <w:rPr>
          <w:rFonts w:asciiTheme="minorHAnsi" w:eastAsiaTheme="minorEastAsia" w:hAnsiTheme="minorHAnsi" w:cstheme="minorBidi"/>
          <w:noProof/>
          <w:lang w:val="en-US"/>
        </w:rPr>
      </w:pPr>
      <w:hyperlink w:anchor="_Toc160611823" w:history="1">
        <w:r w:rsidR="00B3498B" w:rsidRPr="0068641E">
          <w:rPr>
            <w:rStyle w:val="Hyperlink"/>
            <w:rFonts w:cs="Calibri"/>
            <w:noProof/>
            <w:lang w:val="en-US"/>
          </w:rPr>
          <w:t>Priority 2: Public Private Partnerships (PPPs) and Concession on goods of general interest</w:t>
        </w:r>
        <w:r w:rsidR="00B3498B">
          <w:rPr>
            <w:noProof/>
            <w:webHidden/>
          </w:rPr>
          <w:tab/>
        </w:r>
        <w:r w:rsidR="00B3498B">
          <w:rPr>
            <w:noProof/>
            <w:webHidden/>
          </w:rPr>
          <w:fldChar w:fldCharType="begin"/>
        </w:r>
        <w:r w:rsidR="00B3498B">
          <w:rPr>
            <w:noProof/>
            <w:webHidden/>
          </w:rPr>
          <w:instrText xml:space="preserve"> PAGEREF _Toc160611823 \h </w:instrText>
        </w:r>
        <w:r w:rsidR="00B3498B">
          <w:rPr>
            <w:noProof/>
            <w:webHidden/>
          </w:rPr>
        </w:r>
        <w:r w:rsidR="00B3498B">
          <w:rPr>
            <w:noProof/>
            <w:webHidden/>
          </w:rPr>
          <w:fldChar w:fldCharType="separate"/>
        </w:r>
        <w:r w:rsidR="00B3498B">
          <w:rPr>
            <w:noProof/>
            <w:webHidden/>
          </w:rPr>
          <w:t>100</w:t>
        </w:r>
        <w:r w:rsidR="00B3498B">
          <w:rPr>
            <w:noProof/>
            <w:webHidden/>
          </w:rPr>
          <w:fldChar w:fldCharType="end"/>
        </w:r>
      </w:hyperlink>
    </w:p>
    <w:p w14:paraId="76A684B7" w14:textId="7A7CA45B" w:rsidR="00B3498B" w:rsidRDefault="00174835">
      <w:pPr>
        <w:pStyle w:val="TOC1"/>
        <w:tabs>
          <w:tab w:val="right" w:leader="dot" w:pos="9016"/>
        </w:tabs>
        <w:rPr>
          <w:rFonts w:asciiTheme="minorHAnsi" w:eastAsiaTheme="minorEastAsia" w:hAnsiTheme="minorHAnsi" w:cstheme="minorBidi"/>
          <w:noProof/>
          <w:lang w:val="en-US"/>
        </w:rPr>
      </w:pPr>
      <w:hyperlink w:anchor="_Toc160611824" w:history="1">
        <w:r w:rsidR="00B3498B" w:rsidRPr="0068641E">
          <w:rPr>
            <w:rStyle w:val="Hyperlink"/>
            <w:rFonts w:cs="Calibri"/>
            <w:noProof/>
            <w:lang w:val="en-US"/>
          </w:rPr>
          <w:t>Pillar V: Public finance digitalisation and continu</w:t>
        </w:r>
        <w:r w:rsidR="00B3498B" w:rsidRPr="0068641E">
          <w:rPr>
            <w:rStyle w:val="Hyperlink"/>
            <w:rFonts w:cs="Calibri"/>
            <w:noProof/>
          </w:rPr>
          <w:t>о</w:t>
        </w:r>
        <w:r w:rsidR="00B3498B" w:rsidRPr="0068641E">
          <w:rPr>
            <w:rStyle w:val="Hyperlink"/>
            <w:rFonts w:cs="Calibri"/>
            <w:noProof/>
            <w:lang w:val="en-US"/>
          </w:rPr>
          <w:t>us learning</w:t>
        </w:r>
        <w:r w:rsidR="00B3498B">
          <w:rPr>
            <w:noProof/>
            <w:webHidden/>
          </w:rPr>
          <w:tab/>
        </w:r>
        <w:r w:rsidR="00B3498B">
          <w:rPr>
            <w:noProof/>
            <w:webHidden/>
          </w:rPr>
          <w:fldChar w:fldCharType="begin"/>
        </w:r>
        <w:r w:rsidR="00B3498B">
          <w:rPr>
            <w:noProof/>
            <w:webHidden/>
          </w:rPr>
          <w:instrText xml:space="preserve"> PAGEREF _Toc160611824 \h </w:instrText>
        </w:r>
        <w:r w:rsidR="00B3498B">
          <w:rPr>
            <w:noProof/>
            <w:webHidden/>
          </w:rPr>
        </w:r>
        <w:r w:rsidR="00B3498B">
          <w:rPr>
            <w:noProof/>
            <w:webHidden/>
          </w:rPr>
          <w:fldChar w:fldCharType="separate"/>
        </w:r>
        <w:r w:rsidR="00B3498B">
          <w:rPr>
            <w:noProof/>
            <w:webHidden/>
          </w:rPr>
          <w:t>106</w:t>
        </w:r>
        <w:r w:rsidR="00B3498B">
          <w:rPr>
            <w:noProof/>
            <w:webHidden/>
          </w:rPr>
          <w:fldChar w:fldCharType="end"/>
        </w:r>
      </w:hyperlink>
    </w:p>
    <w:p w14:paraId="6D3E68EC" w14:textId="0BFEA564" w:rsidR="00B3498B" w:rsidRDefault="00174835">
      <w:pPr>
        <w:pStyle w:val="TOC1"/>
        <w:tabs>
          <w:tab w:val="right" w:leader="dot" w:pos="9016"/>
        </w:tabs>
        <w:rPr>
          <w:rFonts w:asciiTheme="minorHAnsi" w:eastAsiaTheme="minorEastAsia" w:hAnsiTheme="minorHAnsi" w:cstheme="minorBidi"/>
          <w:noProof/>
          <w:lang w:val="en-US"/>
        </w:rPr>
      </w:pPr>
      <w:hyperlink w:anchor="_Toc160611825" w:history="1">
        <w:r w:rsidR="00B3498B" w:rsidRPr="0068641E">
          <w:rPr>
            <w:rStyle w:val="Hyperlink"/>
            <w:rFonts w:cs="Calibri"/>
            <w:noProof/>
            <w:lang w:val="en-US"/>
          </w:rPr>
          <w:t>Priority 1: Implementation of an Integrated Financial Management Information System (IFMIS)</w:t>
        </w:r>
        <w:r w:rsidR="00B3498B">
          <w:rPr>
            <w:noProof/>
            <w:webHidden/>
          </w:rPr>
          <w:tab/>
        </w:r>
        <w:r w:rsidR="00B3498B">
          <w:rPr>
            <w:noProof/>
            <w:webHidden/>
          </w:rPr>
          <w:fldChar w:fldCharType="begin"/>
        </w:r>
        <w:r w:rsidR="00B3498B">
          <w:rPr>
            <w:noProof/>
            <w:webHidden/>
          </w:rPr>
          <w:instrText xml:space="preserve"> PAGEREF _Toc160611825 \h </w:instrText>
        </w:r>
        <w:r w:rsidR="00B3498B">
          <w:rPr>
            <w:noProof/>
            <w:webHidden/>
          </w:rPr>
        </w:r>
        <w:r w:rsidR="00B3498B">
          <w:rPr>
            <w:noProof/>
            <w:webHidden/>
          </w:rPr>
          <w:fldChar w:fldCharType="separate"/>
        </w:r>
        <w:r w:rsidR="00B3498B">
          <w:rPr>
            <w:noProof/>
            <w:webHidden/>
          </w:rPr>
          <w:t>107</w:t>
        </w:r>
        <w:r w:rsidR="00B3498B">
          <w:rPr>
            <w:noProof/>
            <w:webHidden/>
          </w:rPr>
          <w:fldChar w:fldCharType="end"/>
        </w:r>
      </w:hyperlink>
    </w:p>
    <w:p w14:paraId="0E4C1D19" w14:textId="4A323356" w:rsidR="00B3498B" w:rsidRDefault="00174835">
      <w:pPr>
        <w:pStyle w:val="TOC1"/>
        <w:tabs>
          <w:tab w:val="right" w:leader="dot" w:pos="9016"/>
        </w:tabs>
        <w:rPr>
          <w:rFonts w:asciiTheme="minorHAnsi" w:eastAsiaTheme="minorEastAsia" w:hAnsiTheme="minorHAnsi" w:cstheme="minorBidi"/>
          <w:noProof/>
          <w:lang w:val="en-US"/>
        </w:rPr>
      </w:pPr>
      <w:hyperlink w:anchor="_Toc160611826" w:history="1">
        <w:r w:rsidR="00B3498B" w:rsidRPr="0068641E">
          <w:rPr>
            <w:rStyle w:val="Hyperlink"/>
            <w:rFonts w:cs="Calibri"/>
            <w:noProof/>
            <w:lang w:val="en-US"/>
          </w:rPr>
          <w:t>Priority 2: Public Finance Academy (Learning organisation)</w:t>
        </w:r>
        <w:r w:rsidR="00B3498B">
          <w:rPr>
            <w:noProof/>
            <w:webHidden/>
          </w:rPr>
          <w:tab/>
        </w:r>
        <w:r w:rsidR="00B3498B">
          <w:rPr>
            <w:noProof/>
            <w:webHidden/>
          </w:rPr>
          <w:fldChar w:fldCharType="begin"/>
        </w:r>
        <w:r w:rsidR="00B3498B">
          <w:rPr>
            <w:noProof/>
            <w:webHidden/>
          </w:rPr>
          <w:instrText xml:space="preserve"> PAGEREF _Toc160611826 \h </w:instrText>
        </w:r>
        <w:r w:rsidR="00B3498B">
          <w:rPr>
            <w:noProof/>
            <w:webHidden/>
          </w:rPr>
        </w:r>
        <w:r w:rsidR="00B3498B">
          <w:rPr>
            <w:noProof/>
            <w:webHidden/>
          </w:rPr>
          <w:fldChar w:fldCharType="separate"/>
        </w:r>
        <w:r w:rsidR="00B3498B">
          <w:rPr>
            <w:noProof/>
            <w:webHidden/>
          </w:rPr>
          <w:t>112</w:t>
        </w:r>
        <w:r w:rsidR="00B3498B">
          <w:rPr>
            <w:noProof/>
            <w:webHidden/>
          </w:rPr>
          <w:fldChar w:fldCharType="end"/>
        </w:r>
      </w:hyperlink>
    </w:p>
    <w:p w14:paraId="19050933" w14:textId="37926176" w:rsidR="00B3498B" w:rsidRDefault="00174835">
      <w:pPr>
        <w:pStyle w:val="TOC1"/>
        <w:tabs>
          <w:tab w:val="right" w:leader="dot" w:pos="9016"/>
        </w:tabs>
        <w:rPr>
          <w:rFonts w:asciiTheme="minorHAnsi" w:eastAsiaTheme="minorEastAsia" w:hAnsiTheme="minorHAnsi" w:cstheme="minorBidi"/>
          <w:noProof/>
          <w:lang w:val="en-US"/>
        </w:rPr>
      </w:pPr>
      <w:hyperlink w:anchor="_Toc160611827" w:history="1">
        <w:r w:rsidR="00B3498B" w:rsidRPr="0068641E">
          <w:rPr>
            <w:rStyle w:val="Hyperlink"/>
            <w:rFonts w:eastAsia="Times New Roman" w:cs="Calibri"/>
            <w:b/>
            <w:bCs/>
            <w:noProof/>
            <w:kern w:val="32"/>
            <w:lang w:val="en-US"/>
          </w:rPr>
          <w:t>PILLAR VI - Public Internal Financial Control</w:t>
        </w:r>
        <w:r w:rsidR="00B3498B">
          <w:rPr>
            <w:noProof/>
            <w:webHidden/>
          </w:rPr>
          <w:tab/>
        </w:r>
        <w:r w:rsidR="00B3498B">
          <w:rPr>
            <w:noProof/>
            <w:webHidden/>
          </w:rPr>
          <w:fldChar w:fldCharType="begin"/>
        </w:r>
        <w:r w:rsidR="00B3498B">
          <w:rPr>
            <w:noProof/>
            <w:webHidden/>
          </w:rPr>
          <w:instrText xml:space="preserve"> PAGEREF _Toc160611827 \h </w:instrText>
        </w:r>
        <w:r w:rsidR="00B3498B">
          <w:rPr>
            <w:noProof/>
            <w:webHidden/>
          </w:rPr>
        </w:r>
        <w:r w:rsidR="00B3498B">
          <w:rPr>
            <w:noProof/>
            <w:webHidden/>
          </w:rPr>
          <w:fldChar w:fldCharType="separate"/>
        </w:r>
        <w:r w:rsidR="00B3498B">
          <w:rPr>
            <w:noProof/>
            <w:webHidden/>
          </w:rPr>
          <w:t>115</w:t>
        </w:r>
        <w:r w:rsidR="00B3498B">
          <w:rPr>
            <w:noProof/>
            <w:webHidden/>
          </w:rPr>
          <w:fldChar w:fldCharType="end"/>
        </w:r>
      </w:hyperlink>
    </w:p>
    <w:p w14:paraId="713E9715" w14:textId="0837AAA1" w:rsidR="00B3498B" w:rsidRDefault="00174835">
      <w:pPr>
        <w:pStyle w:val="TOC1"/>
        <w:tabs>
          <w:tab w:val="right" w:leader="dot" w:pos="9016"/>
        </w:tabs>
        <w:rPr>
          <w:rFonts w:asciiTheme="minorHAnsi" w:eastAsiaTheme="minorEastAsia" w:hAnsiTheme="minorHAnsi" w:cstheme="minorBidi"/>
          <w:noProof/>
          <w:lang w:val="en-US"/>
        </w:rPr>
      </w:pPr>
      <w:hyperlink w:anchor="_Toc160611828" w:history="1">
        <w:r w:rsidR="00B3498B" w:rsidRPr="0068641E">
          <w:rPr>
            <w:rStyle w:val="Hyperlink"/>
            <w:rFonts w:eastAsia="MS PGothic" w:cs="Calibri"/>
            <w:noProof/>
            <w:lang w:val="en-US"/>
          </w:rPr>
          <w:t>Priority 1: Financial Management and Control</w:t>
        </w:r>
        <w:r w:rsidR="00B3498B">
          <w:rPr>
            <w:noProof/>
            <w:webHidden/>
          </w:rPr>
          <w:tab/>
        </w:r>
        <w:r w:rsidR="00B3498B">
          <w:rPr>
            <w:noProof/>
            <w:webHidden/>
          </w:rPr>
          <w:fldChar w:fldCharType="begin"/>
        </w:r>
        <w:r w:rsidR="00B3498B">
          <w:rPr>
            <w:noProof/>
            <w:webHidden/>
          </w:rPr>
          <w:instrText xml:space="preserve"> PAGEREF _Toc160611828 \h </w:instrText>
        </w:r>
        <w:r w:rsidR="00B3498B">
          <w:rPr>
            <w:noProof/>
            <w:webHidden/>
          </w:rPr>
        </w:r>
        <w:r w:rsidR="00B3498B">
          <w:rPr>
            <w:noProof/>
            <w:webHidden/>
          </w:rPr>
          <w:fldChar w:fldCharType="separate"/>
        </w:r>
        <w:r w:rsidR="00B3498B">
          <w:rPr>
            <w:noProof/>
            <w:webHidden/>
          </w:rPr>
          <w:t>116</w:t>
        </w:r>
        <w:r w:rsidR="00B3498B">
          <w:rPr>
            <w:noProof/>
            <w:webHidden/>
          </w:rPr>
          <w:fldChar w:fldCharType="end"/>
        </w:r>
      </w:hyperlink>
    </w:p>
    <w:p w14:paraId="0936EB41" w14:textId="1F6C3FE5" w:rsidR="00B3498B" w:rsidRDefault="00174835">
      <w:pPr>
        <w:pStyle w:val="TOC1"/>
        <w:tabs>
          <w:tab w:val="right" w:leader="dot" w:pos="9016"/>
        </w:tabs>
        <w:rPr>
          <w:rFonts w:asciiTheme="minorHAnsi" w:eastAsiaTheme="minorEastAsia" w:hAnsiTheme="minorHAnsi" w:cstheme="minorBidi"/>
          <w:noProof/>
          <w:lang w:val="en-US"/>
        </w:rPr>
      </w:pPr>
      <w:hyperlink w:anchor="_Toc160611829" w:history="1">
        <w:r w:rsidR="00B3498B" w:rsidRPr="0068641E">
          <w:rPr>
            <w:rStyle w:val="Hyperlink"/>
            <w:rFonts w:eastAsia="MS PGothic" w:cs="Calibri"/>
            <w:noProof/>
            <w:lang w:val="en-US"/>
          </w:rPr>
          <w:t>Priority 2: Internal Audit</w:t>
        </w:r>
        <w:r w:rsidR="00B3498B">
          <w:rPr>
            <w:noProof/>
            <w:webHidden/>
          </w:rPr>
          <w:tab/>
        </w:r>
        <w:r w:rsidR="00B3498B">
          <w:rPr>
            <w:noProof/>
            <w:webHidden/>
          </w:rPr>
          <w:fldChar w:fldCharType="begin"/>
        </w:r>
        <w:r w:rsidR="00B3498B">
          <w:rPr>
            <w:noProof/>
            <w:webHidden/>
          </w:rPr>
          <w:instrText xml:space="preserve"> PAGEREF _Toc160611829 \h </w:instrText>
        </w:r>
        <w:r w:rsidR="00B3498B">
          <w:rPr>
            <w:noProof/>
            <w:webHidden/>
          </w:rPr>
        </w:r>
        <w:r w:rsidR="00B3498B">
          <w:rPr>
            <w:noProof/>
            <w:webHidden/>
          </w:rPr>
          <w:fldChar w:fldCharType="separate"/>
        </w:r>
        <w:r w:rsidR="00B3498B">
          <w:rPr>
            <w:noProof/>
            <w:webHidden/>
          </w:rPr>
          <w:t>119</w:t>
        </w:r>
        <w:r w:rsidR="00B3498B">
          <w:rPr>
            <w:noProof/>
            <w:webHidden/>
          </w:rPr>
          <w:fldChar w:fldCharType="end"/>
        </w:r>
      </w:hyperlink>
    </w:p>
    <w:p w14:paraId="1AEBE260" w14:textId="5CE2B098" w:rsidR="00B3498B" w:rsidRDefault="00174835">
      <w:pPr>
        <w:pStyle w:val="TOC1"/>
        <w:tabs>
          <w:tab w:val="right" w:leader="dot" w:pos="9016"/>
        </w:tabs>
        <w:rPr>
          <w:rFonts w:asciiTheme="minorHAnsi" w:eastAsiaTheme="minorEastAsia" w:hAnsiTheme="minorHAnsi" w:cstheme="minorBidi"/>
          <w:noProof/>
          <w:lang w:val="en-US"/>
        </w:rPr>
      </w:pPr>
      <w:hyperlink w:anchor="_Toc160611830" w:history="1">
        <w:r w:rsidR="00B3498B" w:rsidRPr="0068641E">
          <w:rPr>
            <w:rStyle w:val="Hyperlink"/>
            <w:rFonts w:cs="Calibri"/>
            <w:noProof/>
            <w:lang w:val="en-US"/>
          </w:rPr>
          <w:t xml:space="preserve">PILLAR VII - External </w:t>
        </w:r>
        <w:r w:rsidR="00AA1757">
          <w:rPr>
            <w:rStyle w:val="Hyperlink"/>
            <w:rFonts w:cs="Calibri"/>
            <w:noProof/>
            <w:lang w:val="en-US"/>
          </w:rPr>
          <w:t>Audit</w:t>
        </w:r>
        <w:r w:rsidR="00B3498B" w:rsidRPr="0068641E">
          <w:rPr>
            <w:rStyle w:val="Hyperlink"/>
            <w:rFonts w:cs="Calibri"/>
            <w:noProof/>
            <w:lang w:val="en-US"/>
          </w:rPr>
          <w:t xml:space="preserve"> and Parliamentary Oversight</w:t>
        </w:r>
        <w:r w:rsidR="00B3498B">
          <w:rPr>
            <w:noProof/>
            <w:webHidden/>
          </w:rPr>
          <w:tab/>
        </w:r>
        <w:r w:rsidR="00B3498B">
          <w:rPr>
            <w:noProof/>
            <w:webHidden/>
          </w:rPr>
          <w:fldChar w:fldCharType="begin"/>
        </w:r>
        <w:r w:rsidR="00B3498B">
          <w:rPr>
            <w:noProof/>
            <w:webHidden/>
          </w:rPr>
          <w:instrText xml:space="preserve"> PAGEREF _Toc160611830 \h </w:instrText>
        </w:r>
        <w:r w:rsidR="00B3498B">
          <w:rPr>
            <w:noProof/>
            <w:webHidden/>
          </w:rPr>
        </w:r>
        <w:r w:rsidR="00B3498B">
          <w:rPr>
            <w:noProof/>
            <w:webHidden/>
          </w:rPr>
          <w:fldChar w:fldCharType="separate"/>
        </w:r>
        <w:r w:rsidR="00B3498B">
          <w:rPr>
            <w:noProof/>
            <w:webHidden/>
          </w:rPr>
          <w:t>126</w:t>
        </w:r>
        <w:r w:rsidR="00B3498B">
          <w:rPr>
            <w:noProof/>
            <w:webHidden/>
          </w:rPr>
          <w:fldChar w:fldCharType="end"/>
        </w:r>
      </w:hyperlink>
    </w:p>
    <w:p w14:paraId="66583478" w14:textId="3142451A" w:rsidR="00B3498B" w:rsidRDefault="00174835">
      <w:pPr>
        <w:pStyle w:val="TOC1"/>
        <w:tabs>
          <w:tab w:val="right" w:leader="dot" w:pos="9016"/>
        </w:tabs>
        <w:rPr>
          <w:rFonts w:asciiTheme="minorHAnsi" w:eastAsiaTheme="minorEastAsia" w:hAnsiTheme="minorHAnsi" w:cstheme="minorBidi"/>
          <w:noProof/>
          <w:lang w:val="en-US"/>
        </w:rPr>
      </w:pPr>
      <w:hyperlink w:anchor="_Toc160611831" w:history="1">
        <w:r w:rsidR="00B3498B" w:rsidRPr="0068641E">
          <w:rPr>
            <w:rStyle w:val="Hyperlink"/>
            <w:rFonts w:eastAsia="MS PGothic" w:cs="Calibri"/>
            <w:noProof/>
            <w:lang w:val="en-US"/>
          </w:rPr>
          <w:t>Priority 1: External Audit</w:t>
        </w:r>
        <w:r w:rsidR="00B3498B">
          <w:rPr>
            <w:noProof/>
            <w:webHidden/>
          </w:rPr>
          <w:tab/>
        </w:r>
        <w:r w:rsidR="00B3498B">
          <w:rPr>
            <w:noProof/>
            <w:webHidden/>
          </w:rPr>
          <w:fldChar w:fldCharType="begin"/>
        </w:r>
        <w:r w:rsidR="00B3498B">
          <w:rPr>
            <w:noProof/>
            <w:webHidden/>
          </w:rPr>
          <w:instrText xml:space="preserve"> PAGEREF _Toc160611831 \h </w:instrText>
        </w:r>
        <w:r w:rsidR="00B3498B">
          <w:rPr>
            <w:noProof/>
            <w:webHidden/>
          </w:rPr>
        </w:r>
        <w:r w:rsidR="00B3498B">
          <w:rPr>
            <w:noProof/>
            <w:webHidden/>
          </w:rPr>
          <w:fldChar w:fldCharType="separate"/>
        </w:r>
        <w:r w:rsidR="00B3498B">
          <w:rPr>
            <w:noProof/>
            <w:webHidden/>
          </w:rPr>
          <w:t>127</w:t>
        </w:r>
        <w:r w:rsidR="00B3498B">
          <w:rPr>
            <w:noProof/>
            <w:webHidden/>
          </w:rPr>
          <w:fldChar w:fldCharType="end"/>
        </w:r>
      </w:hyperlink>
    </w:p>
    <w:p w14:paraId="60E1D741" w14:textId="31F2CCCF" w:rsidR="00B3498B" w:rsidRDefault="00174835">
      <w:pPr>
        <w:pStyle w:val="TOC1"/>
        <w:tabs>
          <w:tab w:val="right" w:leader="dot" w:pos="9016"/>
        </w:tabs>
        <w:rPr>
          <w:rFonts w:asciiTheme="minorHAnsi" w:eastAsiaTheme="minorEastAsia" w:hAnsiTheme="minorHAnsi" w:cstheme="minorBidi"/>
          <w:noProof/>
          <w:lang w:val="en-US"/>
        </w:rPr>
      </w:pPr>
      <w:hyperlink w:anchor="_Toc160611832" w:history="1">
        <w:r w:rsidR="00B3498B" w:rsidRPr="0068641E">
          <w:rPr>
            <w:rStyle w:val="Hyperlink"/>
            <w:rFonts w:eastAsia="MS PGothic" w:cs="Calibri"/>
            <w:noProof/>
            <w:lang w:val="en-US"/>
          </w:rPr>
          <w:t>Priority 2: Parliamentary oversight</w:t>
        </w:r>
        <w:r w:rsidR="00B3498B">
          <w:rPr>
            <w:noProof/>
            <w:webHidden/>
          </w:rPr>
          <w:tab/>
        </w:r>
        <w:r w:rsidR="00B3498B">
          <w:rPr>
            <w:noProof/>
            <w:webHidden/>
          </w:rPr>
          <w:fldChar w:fldCharType="begin"/>
        </w:r>
        <w:r w:rsidR="00B3498B">
          <w:rPr>
            <w:noProof/>
            <w:webHidden/>
          </w:rPr>
          <w:instrText xml:space="preserve"> PAGEREF _Toc160611832 \h </w:instrText>
        </w:r>
        <w:r w:rsidR="00B3498B">
          <w:rPr>
            <w:noProof/>
            <w:webHidden/>
          </w:rPr>
        </w:r>
        <w:r w:rsidR="00B3498B">
          <w:rPr>
            <w:noProof/>
            <w:webHidden/>
          </w:rPr>
          <w:fldChar w:fldCharType="separate"/>
        </w:r>
        <w:r w:rsidR="00B3498B">
          <w:rPr>
            <w:noProof/>
            <w:webHidden/>
          </w:rPr>
          <w:t>133</w:t>
        </w:r>
        <w:r w:rsidR="00B3498B">
          <w:rPr>
            <w:noProof/>
            <w:webHidden/>
          </w:rPr>
          <w:fldChar w:fldCharType="end"/>
        </w:r>
      </w:hyperlink>
    </w:p>
    <w:p w14:paraId="530BB586" w14:textId="6D052EF0" w:rsidR="00B3498B" w:rsidRDefault="00174835">
      <w:pPr>
        <w:pStyle w:val="TOC1"/>
        <w:tabs>
          <w:tab w:val="right" w:leader="dot" w:pos="9016"/>
        </w:tabs>
        <w:rPr>
          <w:rFonts w:asciiTheme="minorHAnsi" w:eastAsiaTheme="minorEastAsia" w:hAnsiTheme="minorHAnsi" w:cstheme="minorBidi"/>
          <w:noProof/>
          <w:lang w:val="en-US"/>
        </w:rPr>
      </w:pPr>
      <w:hyperlink w:anchor="_Toc160611833" w:history="1">
        <w:r w:rsidR="00B3498B" w:rsidRPr="0068641E">
          <w:rPr>
            <w:rStyle w:val="Hyperlink"/>
            <w:rFonts w:cs="Calibri"/>
            <w:noProof/>
            <w:lang w:val="en-US"/>
          </w:rPr>
          <w:t>PILLAR VIII - PFM at Local Level</w:t>
        </w:r>
        <w:r w:rsidR="00B3498B">
          <w:rPr>
            <w:noProof/>
            <w:webHidden/>
          </w:rPr>
          <w:tab/>
        </w:r>
        <w:r w:rsidR="00B3498B">
          <w:rPr>
            <w:noProof/>
            <w:webHidden/>
          </w:rPr>
          <w:fldChar w:fldCharType="begin"/>
        </w:r>
        <w:r w:rsidR="00B3498B">
          <w:rPr>
            <w:noProof/>
            <w:webHidden/>
          </w:rPr>
          <w:instrText xml:space="preserve"> PAGEREF _Toc160611833 \h </w:instrText>
        </w:r>
        <w:r w:rsidR="00B3498B">
          <w:rPr>
            <w:noProof/>
            <w:webHidden/>
          </w:rPr>
        </w:r>
        <w:r w:rsidR="00B3498B">
          <w:rPr>
            <w:noProof/>
            <w:webHidden/>
          </w:rPr>
          <w:fldChar w:fldCharType="separate"/>
        </w:r>
        <w:r w:rsidR="00B3498B">
          <w:rPr>
            <w:noProof/>
            <w:webHidden/>
          </w:rPr>
          <w:t>138</w:t>
        </w:r>
        <w:r w:rsidR="00B3498B">
          <w:rPr>
            <w:noProof/>
            <w:webHidden/>
          </w:rPr>
          <w:fldChar w:fldCharType="end"/>
        </w:r>
      </w:hyperlink>
    </w:p>
    <w:p w14:paraId="033FB884" w14:textId="43ECE8CA" w:rsidR="00B3498B" w:rsidRDefault="00174835">
      <w:pPr>
        <w:pStyle w:val="TOC1"/>
        <w:tabs>
          <w:tab w:val="right" w:leader="dot" w:pos="9016"/>
        </w:tabs>
        <w:rPr>
          <w:rFonts w:asciiTheme="minorHAnsi" w:eastAsiaTheme="minorEastAsia" w:hAnsiTheme="minorHAnsi" w:cstheme="minorBidi"/>
          <w:noProof/>
          <w:lang w:val="en-US"/>
        </w:rPr>
      </w:pPr>
      <w:hyperlink w:anchor="_Toc160611834" w:history="1">
        <w:r w:rsidR="00B3498B" w:rsidRPr="0068641E">
          <w:rPr>
            <w:rStyle w:val="Hyperlink"/>
            <w:rFonts w:eastAsia="MS PGothic" w:cs="Calibri"/>
            <w:noProof/>
            <w:lang w:val="en-US"/>
          </w:rPr>
          <w:t>Priority 1: Fiscal decentralisation</w:t>
        </w:r>
        <w:r w:rsidR="00B3498B">
          <w:rPr>
            <w:noProof/>
            <w:webHidden/>
          </w:rPr>
          <w:tab/>
        </w:r>
        <w:r w:rsidR="00B3498B">
          <w:rPr>
            <w:noProof/>
            <w:webHidden/>
          </w:rPr>
          <w:fldChar w:fldCharType="begin"/>
        </w:r>
        <w:r w:rsidR="00B3498B">
          <w:rPr>
            <w:noProof/>
            <w:webHidden/>
          </w:rPr>
          <w:instrText xml:space="preserve"> PAGEREF _Toc160611834 \h </w:instrText>
        </w:r>
        <w:r w:rsidR="00B3498B">
          <w:rPr>
            <w:noProof/>
            <w:webHidden/>
          </w:rPr>
        </w:r>
        <w:r w:rsidR="00B3498B">
          <w:rPr>
            <w:noProof/>
            <w:webHidden/>
          </w:rPr>
          <w:fldChar w:fldCharType="separate"/>
        </w:r>
        <w:r w:rsidR="00B3498B">
          <w:rPr>
            <w:noProof/>
            <w:webHidden/>
          </w:rPr>
          <w:t>139</w:t>
        </w:r>
        <w:r w:rsidR="00B3498B">
          <w:rPr>
            <w:noProof/>
            <w:webHidden/>
          </w:rPr>
          <w:fldChar w:fldCharType="end"/>
        </w:r>
      </w:hyperlink>
    </w:p>
    <w:p w14:paraId="3E964378" w14:textId="211D7B2A" w:rsidR="00B3498B" w:rsidRDefault="00174835">
      <w:pPr>
        <w:pStyle w:val="TOC1"/>
        <w:tabs>
          <w:tab w:val="right" w:leader="dot" w:pos="9016"/>
        </w:tabs>
        <w:rPr>
          <w:rFonts w:asciiTheme="minorHAnsi" w:eastAsiaTheme="minorEastAsia" w:hAnsiTheme="minorHAnsi" w:cstheme="minorBidi"/>
          <w:noProof/>
          <w:lang w:val="en-US"/>
        </w:rPr>
      </w:pPr>
      <w:hyperlink w:anchor="_Toc160611835" w:history="1">
        <w:r w:rsidR="00B3498B" w:rsidRPr="0068641E">
          <w:rPr>
            <w:rStyle w:val="Hyperlink"/>
            <w:rFonts w:eastAsia="MS PGothic" w:cs="Calibri"/>
            <w:noProof/>
            <w:lang w:val="en-US"/>
          </w:rPr>
          <w:t>Priority 2: Financial discipline, transparency and accountability on local level</w:t>
        </w:r>
        <w:r w:rsidR="00B3498B">
          <w:rPr>
            <w:noProof/>
            <w:webHidden/>
          </w:rPr>
          <w:tab/>
        </w:r>
        <w:r w:rsidR="00B3498B">
          <w:rPr>
            <w:noProof/>
            <w:webHidden/>
          </w:rPr>
          <w:fldChar w:fldCharType="begin"/>
        </w:r>
        <w:r w:rsidR="00B3498B">
          <w:rPr>
            <w:noProof/>
            <w:webHidden/>
          </w:rPr>
          <w:instrText xml:space="preserve"> PAGEREF _Toc160611835 \h </w:instrText>
        </w:r>
        <w:r w:rsidR="00B3498B">
          <w:rPr>
            <w:noProof/>
            <w:webHidden/>
          </w:rPr>
        </w:r>
        <w:r w:rsidR="00B3498B">
          <w:rPr>
            <w:noProof/>
            <w:webHidden/>
          </w:rPr>
          <w:fldChar w:fldCharType="separate"/>
        </w:r>
        <w:r w:rsidR="00B3498B">
          <w:rPr>
            <w:noProof/>
            <w:webHidden/>
          </w:rPr>
          <w:t>145</w:t>
        </w:r>
        <w:r w:rsidR="00B3498B">
          <w:rPr>
            <w:noProof/>
            <w:webHidden/>
          </w:rPr>
          <w:fldChar w:fldCharType="end"/>
        </w:r>
      </w:hyperlink>
    </w:p>
    <w:p w14:paraId="25A7302F" w14:textId="7524224E" w:rsidR="00B3498B" w:rsidRDefault="00174835">
      <w:pPr>
        <w:pStyle w:val="TOC1"/>
        <w:tabs>
          <w:tab w:val="right" w:leader="dot" w:pos="9016"/>
        </w:tabs>
        <w:rPr>
          <w:rFonts w:asciiTheme="minorHAnsi" w:eastAsiaTheme="minorEastAsia" w:hAnsiTheme="minorHAnsi" w:cstheme="minorBidi"/>
          <w:noProof/>
          <w:lang w:val="en-US"/>
        </w:rPr>
      </w:pPr>
      <w:hyperlink w:anchor="_Toc160611836" w:history="1">
        <w:r w:rsidR="00B3498B" w:rsidRPr="0068641E">
          <w:rPr>
            <w:rStyle w:val="Hyperlink"/>
            <w:rFonts w:eastAsia="MS PGothic" w:cs="Calibri"/>
            <w:noProof/>
            <w:lang w:val="en-US" w:eastAsia="zh-CN"/>
          </w:rPr>
          <w:t>Chapter III: Roles and Responsibilities for Implementing, Monitoring and Reporting</w:t>
        </w:r>
        <w:r w:rsidR="00B3498B">
          <w:rPr>
            <w:noProof/>
            <w:webHidden/>
          </w:rPr>
          <w:tab/>
        </w:r>
        <w:r w:rsidR="00B3498B">
          <w:rPr>
            <w:noProof/>
            <w:webHidden/>
          </w:rPr>
          <w:fldChar w:fldCharType="begin"/>
        </w:r>
        <w:r w:rsidR="00B3498B">
          <w:rPr>
            <w:noProof/>
            <w:webHidden/>
          </w:rPr>
          <w:instrText xml:space="preserve"> PAGEREF _Toc160611836 \h </w:instrText>
        </w:r>
        <w:r w:rsidR="00B3498B">
          <w:rPr>
            <w:noProof/>
            <w:webHidden/>
          </w:rPr>
        </w:r>
        <w:r w:rsidR="00B3498B">
          <w:rPr>
            <w:noProof/>
            <w:webHidden/>
          </w:rPr>
          <w:fldChar w:fldCharType="separate"/>
        </w:r>
        <w:r w:rsidR="00B3498B">
          <w:rPr>
            <w:noProof/>
            <w:webHidden/>
          </w:rPr>
          <w:t>151</w:t>
        </w:r>
        <w:r w:rsidR="00B3498B">
          <w:rPr>
            <w:noProof/>
            <w:webHidden/>
          </w:rPr>
          <w:fldChar w:fldCharType="end"/>
        </w:r>
      </w:hyperlink>
    </w:p>
    <w:p w14:paraId="19F04089" w14:textId="05D3376A" w:rsidR="00B3498B" w:rsidRDefault="00174835">
      <w:pPr>
        <w:pStyle w:val="TOC1"/>
        <w:tabs>
          <w:tab w:val="right" w:leader="dot" w:pos="9016"/>
        </w:tabs>
        <w:rPr>
          <w:rFonts w:asciiTheme="minorHAnsi" w:eastAsiaTheme="minorEastAsia" w:hAnsiTheme="minorHAnsi" w:cstheme="minorBidi"/>
          <w:noProof/>
          <w:lang w:val="en-US"/>
        </w:rPr>
      </w:pPr>
      <w:hyperlink w:anchor="_Toc160611837" w:history="1">
        <w:r w:rsidR="00B3498B" w:rsidRPr="0068641E">
          <w:rPr>
            <w:rStyle w:val="Hyperlink"/>
            <w:rFonts w:eastAsia="MS PGothic" w:cs="Calibri"/>
            <w:noProof/>
            <w:lang w:val="en-US" w:eastAsia="zh-CN"/>
          </w:rPr>
          <w:t>Chapter IV: Financing of the PFM Reform Programme</w:t>
        </w:r>
        <w:r w:rsidR="00B3498B">
          <w:rPr>
            <w:noProof/>
            <w:webHidden/>
          </w:rPr>
          <w:tab/>
        </w:r>
        <w:r w:rsidR="00B3498B">
          <w:rPr>
            <w:noProof/>
            <w:webHidden/>
          </w:rPr>
          <w:fldChar w:fldCharType="begin"/>
        </w:r>
        <w:r w:rsidR="00B3498B">
          <w:rPr>
            <w:noProof/>
            <w:webHidden/>
          </w:rPr>
          <w:instrText xml:space="preserve"> PAGEREF _Toc160611837 \h </w:instrText>
        </w:r>
        <w:r w:rsidR="00B3498B">
          <w:rPr>
            <w:noProof/>
            <w:webHidden/>
          </w:rPr>
        </w:r>
        <w:r w:rsidR="00B3498B">
          <w:rPr>
            <w:noProof/>
            <w:webHidden/>
          </w:rPr>
          <w:fldChar w:fldCharType="separate"/>
        </w:r>
        <w:r w:rsidR="00B3498B">
          <w:rPr>
            <w:noProof/>
            <w:webHidden/>
          </w:rPr>
          <w:t>157</w:t>
        </w:r>
        <w:r w:rsidR="00B3498B">
          <w:rPr>
            <w:noProof/>
            <w:webHidden/>
          </w:rPr>
          <w:fldChar w:fldCharType="end"/>
        </w:r>
      </w:hyperlink>
    </w:p>
    <w:p w14:paraId="30E889DC" w14:textId="12052161" w:rsidR="00B3498B" w:rsidRDefault="00174835">
      <w:pPr>
        <w:pStyle w:val="TOC1"/>
        <w:tabs>
          <w:tab w:val="right" w:leader="dot" w:pos="9016"/>
        </w:tabs>
        <w:rPr>
          <w:rFonts w:asciiTheme="minorHAnsi" w:eastAsiaTheme="minorEastAsia" w:hAnsiTheme="minorHAnsi" w:cstheme="minorBidi"/>
          <w:noProof/>
          <w:lang w:val="en-US"/>
        </w:rPr>
      </w:pPr>
      <w:hyperlink w:anchor="_Toc160611838" w:history="1">
        <w:r w:rsidR="00B3498B" w:rsidRPr="0068641E">
          <w:rPr>
            <w:rStyle w:val="Hyperlink"/>
            <w:rFonts w:eastAsia="MS PGothic" w:cs="Calibri"/>
            <w:noProof/>
            <w:lang w:val="en-US" w:eastAsia="zh-CN"/>
          </w:rPr>
          <w:t>AnnexI – Time Frame of Implementation of the PFM Reform Programme</w:t>
        </w:r>
        <w:r w:rsidR="00B3498B">
          <w:rPr>
            <w:noProof/>
            <w:webHidden/>
          </w:rPr>
          <w:tab/>
        </w:r>
        <w:r w:rsidR="00B3498B">
          <w:rPr>
            <w:noProof/>
            <w:webHidden/>
          </w:rPr>
          <w:fldChar w:fldCharType="begin"/>
        </w:r>
        <w:r w:rsidR="00B3498B">
          <w:rPr>
            <w:noProof/>
            <w:webHidden/>
          </w:rPr>
          <w:instrText xml:space="preserve"> PAGEREF _Toc160611838 \h </w:instrText>
        </w:r>
        <w:r w:rsidR="00B3498B">
          <w:rPr>
            <w:noProof/>
            <w:webHidden/>
          </w:rPr>
        </w:r>
        <w:r w:rsidR="00B3498B">
          <w:rPr>
            <w:noProof/>
            <w:webHidden/>
          </w:rPr>
          <w:fldChar w:fldCharType="separate"/>
        </w:r>
        <w:r w:rsidR="00B3498B">
          <w:rPr>
            <w:noProof/>
            <w:webHidden/>
          </w:rPr>
          <w:t>161</w:t>
        </w:r>
        <w:r w:rsidR="00B3498B">
          <w:rPr>
            <w:noProof/>
            <w:webHidden/>
          </w:rPr>
          <w:fldChar w:fldCharType="end"/>
        </w:r>
      </w:hyperlink>
    </w:p>
    <w:p w14:paraId="63FD7857" w14:textId="136C81A6" w:rsidR="00B3498B" w:rsidRDefault="00174835">
      <w:pPr>
        <w:pStyle w:val="TOC1"/>
        <w:tabs>
          <w:tab w:val="right" w:leader="dot" w:pos="9016"/>
        </w:tabs>
        <w:rPr>
          <w:rFonts w:asciiTheme="minorHAnsi" w:eastAsiaTheme="minorEastAsia" w:hAnsiTheme="minorHAnsi" w:cstheme="minorBidi"/>
          <w:noProof/>
          <w:lang w:val="en-US"/>
        </w:rPr>
      </w:pPr>
      <w:hyperlink w:anchor="_Toc160611839" w:history="1">
        <w:r w:rsidR="00B3498B" w:rsidRPr="0068641E">
          <w:rPr>
            <w:rStyle w:val="Hyperlink"/>
            <w:rFonts w:eastAsia="MS PGothic" w:cs="Calibri"/>
            <w:noProof/>
            <w:lang w:val="en-US" w:eastAsia="zh-CN"/>
          </w:rPr>
          <w:t>AnnexII – Logframe table for the PFM Reform Programme 2024 - 2027</w:t>
        </w:r>
        <w:r w:rsidR="00B3498B">
          <w:rPr>
            <w:noProof/>
            <w:webHidden/>
          </w:rPr>
          <w:tab/>
        </w:r>
        <w:r w:rsidR="00B3498B">
          <w:rPr>
            <w:noProof/>
            <w:webHidden/>
          </w:rPr>
          <w:fldChar w:fldCharType="begin"/>
        </w:r>
        <w:r w:rsidR="00B3498B">
          <w:rPr>
            <w:noProof/>
            <w:webHidden/>
          </w:rPr>
          <w:instrText xml:space="preserve"> PAGEREF _Toc160611839 \h </w:instrText>
        </w:r>
        <w:r w:rsidR="00B3498B">
          <w:rPr>
            <w:noProof/>
            <w:webHidden/>
          </w:rPr>
        </w:r>
        <w:r w:rsidR="00B3498B">
          <w:rPr>
            <w:noProof/>
            <w:webHidden/>
          </w:rPr>
          <w:fldChar w:fldCharType="separate"/>
        </w:r>
        <w:r w:rsidR="00B3498B">
          <w:rPr>
            <w:noProof/>
            <w:webHidden/>
          </w:rPr>
          <w:t>172</w:t>
        </w:r>
        <w:r w:rsidR="00B3498B">
          <w:rPr>
            <w:noProof/>
            <w:webHidden/>
          </w:rPr>
          <w:fldChar w:fldCharType="end"/>
        </w:r>
      </w:hyperlink>
    </w:p>
    <w:p w14:paraId="0DFE7D05" w14:textId="40A2AD1D" w:rsidR="00B3498B" w:rsidRDefault="00174835">
      <w:pPr>
        <w:pStyle w:val="TOC1"/>
        <w:tabs>
          <w:tab w:val="right" w:leader="dot" w:pos="9016"/>
        </w:tabs>
        <w:rPr>
          <w:rFonts w:asciiTheme="minorHAnsi" w:eastAsiaTheme="minorEastAsia" w:hAnsiTheme="minorHAnsi" w:cstheme="minorBidi"/>
          <w:noProof/>
          <w:lang w:val="en-US"/>
        </w:rPr>
      </w:pPr>
      <w:hyperlink w:anchor="_Toc160611840" w:history="1">
        <w:r w:rsidR="00B3498B" w:rsidRPr="0068641E">
          <w:rPr>
            <w:rStyle w:val="Hyperlink"/>
            <w:rFonts w:eastAsia="MS PGothic" w:cs="Calibri"/>
            <w:noProof/>
            <w:lang w:val="en-US" w:eastAsia="zh-CN"/>
          </w:rPr>
          <w:t>Annex III - Risk Management</w:t>
        </w:r>
        <w:r w:rsidR="00B3498B">
          <w:rPr>
            <w:noProof/>
            <w:webHidden/>
          </w:rPr>
          <w:tab/>
        </w:r>
        <w:r w:rsidR="00B3498B">
          <w:rPr>
            <w:noProof/>
            <w:webHidden/>
          </w:rPr>
          <w:fldChar w:fldCharType="begin"/>
        </w:r>
        <w:r w:rsidR="00B3498B">
          <w:rPr>
            <w:noProof/>
            <w:webHidden/>
          </w:rPr>
          <w:instrText xml:space="preserve"> PAGEREF _Toc160611840 \h </w:instrText>
        </w:r>
        <w:r w:rsidR="00B3498B">
          <w:rPr>
            <w:noProof/>
            <w:webHidden/>
          </w:rPr>
        </w:r>
        <w:r w:rsidR="00B3498B">
          <w:rPr>
            <w:noProof/>
            <w:webHidden/>
          </w:rPr>
          <w:fldChar w:fldCharType="separate"/>
        </w:r>
        <w:r w:rsidR="00B3498B">
          <w:rPr>
            <w:noProof/>
            <w:webHidden/>
          </w:rPr>
          <w:t>204</w:t>
        </w:r>
        <w:r w:rsidR="00B3498B">
          <w:rPr>
            <w:noProof/>
            <w:webHidden/>
          </w:rPr>
          <w:fldChar w:fldCharType="end"/>
        </w:r>
      </w:hyperlink>
    </w:p>
    <w:p w14:paraId="42B5A3DB" w14:textId="7F162BDD" w:rsidR="0074523B" w:rsidRPr="008C761D" w:rsidRDefault="006A55CA" w:rsidP="00E84CD0">
      <w:pPr>
        <w:spacing w:line="240" w:lineRule="auto"/>
        <w:jc w:val="both"/>
        <w:rPr>
          <w:rFonts w:cs="Calibri"/>
          <w:b/>
          <w:bCs/>
          <w:noProof/>
          <w:lang w:val="en-US"/>
        </w:rPr>
      </w:pPr>
      <w:r w:rsidRPr="008C761D">
        <w:rPr>
          <w:rFonts w:cs="Calibri"/>
          <w:b/>
          <w:bCs/>
          <w:noProof/>
          <w:lang w:val="en-US"/>
        </w:rPr>
        <w:fldChar w:fldCharType="end"/>
      </w:r>
    </w:p>
    <w:p w14:paraId="4D5BE120" w14:textId="77777777" w:rsidR="000516D9" w:rsidRPr="008C761D" w:rsidRDefault="000516D9" w:rsidP="00E84CD0">
      <w:pPr>
        <w:spacing w:line="240" w:lineRule="auto"/>
        <w:jc w:val="both"/>
        <w:rPr>
          <w:rFonts w:cs="Calibri"/>
          <w:b/>
          <w:bCs/>
          <w:noProof/>
          <w:lang w:val="en-US"/>
        </w:rPr>
      </w:pPr>
    </w:p>
    <w:p w14:paraId="58D856ED" w14:textId="77777777" w:rsidR="000516D9" w:rsidRPr="008C761D" w:rsidRDefault="000516D9" w:rsidP="00E84CD0">
      <w:pPr>
        <w:spacing w:line="240" w:lineRule="auto"/>
        <w:jc w:val="both"/>
        <w:rPr>
          <w:rFonts w:cs="Calibri"/>
          <w:b/>
          <w:bCs/>
          <w:noProof/>
          <w:lang w:val="en-US"/>
        </w:rPr>
      </w:pPr>
    </w:p>
    <w:p w14:paraId="7E8B94D1" w14:textId="77777777" w:rsidR="000516D9" w:rsidRPr="008C761D" w:rsidRDefault="000516D9" w:rsidP="00E84CD0">
      <w:pPr>
        <w:spacing w:line="240" w:lineRule="auto"/>
        <w:jc w:val="both"/>
        <w:rPr>
          <w:rFonts w:cs="Calibri"/>
          <w:b/>
          <w:bCs/>
          <w:noProof/>
          <w:lang w:val="en-US"/>
        </w:rPr>
      </w:pPr>
    </w:p>
    <w:p w14:paraId="4BD90425" w14:textId="77777777" w:rsidR="000516D9" w:rsidRPr="008C761D" w:rsidRDefault="000516D9" w:rsidP="00E84CD0">
      <w:pPr>
        <w:spacing w:line="240" w:lineRule="auto"/>
        <w:jc w:val="both"/>
        <w:rPr>
          <w:rFonts w:cs="Calibri"/>
          <w:b/>
          <w:bCs/>
          <w:noProof/>
          <w:lang w:val="en-US"/>
        </w:rPr>
      </w:pPr>
    </w:p>
    <w:p w14:paraId="5F80E0C6" w14:textId="77777777" w:rsidR="000516D9" w:rsidRPr="008C761D" w:rsidRDefault="000516D9" w:rsidP="00E84CD0">
      <w:pPr>
        <w:spacing w:line="240" w:lineRule="auto"/>
        <w:jc w:val="both"/>
        <w:rPr>
          <w:rFonts w:cs="Calibri"/>
          <w:b/>
          <w:bCs/>
          <w:noProof/>
          <w:lang w:val="en-US"/>
        </w:rPr>
      </w:pPr>
    </w:p>
    <w:p w14:paraId="6E3BE3E5" w14:textId="77777777" w:rsidR="000516D9" w:rsidRPr="008C761D" w:rsidRDefault="000516D9" w:rsidP="00E84CD0">
      <w:pPr>
        <w:spacing w:line="240" w:lineRule="auto"/>
        <w:jc w:val="both"/>
        <w:rPr>
          <w:rFonts w:cs="Calibri"/>
          <w:b/>
          <w:bCs/>
          <w:noProof/>
          <w:lang w:val="en-US"/>
        </w:rPr>
      </w:pPr>
    </w:p>
    <w:p w14:paraId="0AA2AB7A" w14:textId="77777777" w:rsidR="000516D9" w:rsidRPr="008C761D" w:rsidRDefault="000516D9" w:rsidP="00E84CD0">
      <w:pPr>
        <w:spacing w:line="240" w:lineRule="auto"/>
        <w:jc w:val="both"/>
        <w:rPr>
          <w:rFonts w:cs="Calibri"/>
          <w:b/>
          <w:bCs/>
          <w:noProof/>
          <w:lang w:val="en-US"/>
        </w:rPr>
      </w:pPr>
    </w:p>
    <w:p w14:paraId="1D990E5C" w14:textId="77777777" w:rsidR="000516D9" w:rsidRPr="008C761D" w:rsidRDefault="000516D9" w:rsidP="00E84CD0">
      <w:pPr>
        <w:spacing w:line="240" w:lineRule="auto"/>
        <w:jc w:val="both"/>
        <w:rPr>
          <w:rFonts w:cs="Calibri"/>
          <w:b/>
          <w:bCs/>
          <w:noProof/>
          <w:lang w:val="en-US"/>
        </w:rPr>
      </w:pPr>
    </w:p>
    <w:p w14:paraId="13C8AB41" w14:textId="77777777" w:rsidR="000516D9" w:rsidRPr="008C761D" w:rsidRDefault="000516D9" w:rsidP="00E84CD0">
      <w:pPr>
        <w:spacing w:line="240" w:lineRule="auto"/>
        <w:jc w:val="both"/>
        <w:rPr>
          <w:rFonts w:cs="Calibri"/>
          <w:b/>
          <w:bCs/>
          <w:noProof/>
          <w:lang w:val="en-US"/>
        </w:rPr>
      </w:pPr>
    </w:p>
    <w:p w14:paraId="145E8933" w14:textId="77777777" w:rsidR="000516D9" w:rsidRPr="008C761D" w:rsidRDefault="000516D9" w:rsidP="00E84CD0">
      <w:pPr>
        <w:spacing w:line="240" w:lineRule="auto"/>
        <w:jc w:val="both"/>
        <w:rPr>
          <w:rFonts w:cs="Calibri"/>
          <w:b/>
          <w:bCs/>
          <w:noProof/>
          <w:lang w:val="en-US"/>
        </w:rPr>
      </w:pPr>
    </w:p>
    <w:p w14:paraId="09C21FEE" w14:textId="77777777" w:rsidR="000516D9" w:rsidRPr="008C761D" w:rsidRDefault="000516D9" w:rsidP="00E84CD0">
      <w:pPr>
        <w:spacing w:line="240" w:lineRule="auto"/>
        <w:jc w:val="both"/>
        <w:rPr>
          <w:rFonts w:cs="Calibri"/>
          <w:b/>
          <w:bCs/>
          <w:noProof/>
          <w:lang w:val="en-US"/>
        </w:rPr>
      </w:pPr>
    </w:p>
    <w:p w14:paraId="774F9BFD" w14:textId="77777777" w:rsidR="000516D9" w:rsidRPr="008C761D" w:rsidRDefault="000516D9" w:rsidP="00E84CD0">
      <w:pPr>
        <w:spacing w:line="240" w:lineRule="auto"/>
        <w:jc w:val="both"/>
        <w:rPr>
          <w:rFonts w:cs="Calibri"/>
          <w:b/>
          <w:bCs/>
          <w:noProof/>
          <w:lang w:val="en-US"/>
        </w:rPr>
      </w:pPr>
    </w:p>
    <w:p w14:paraId="44203165" w14:textId="77777777" w:rsidR="00CE502F" w:rsidRPr="008C761D" w:rsidRDefault="00E84CD0" w:rsidP="00E84CD0">
      <w:pPr>
        <w:pStyle w:val="Heading1"/>
        <w:spacing w:before="0" w:after="120" w:line="240" w:lineRule="auto"/>
        <w:jc w:val="both"/>
        <w:rPr>
          <w:rFonts w:ascii="Calibri" w:eastAsia="MS PGothic" w:hAnsi="Calibri" w:cs="Calibri"/>
          <w:color w:val="002060"/>
          <w:sz w:val="36"/>
          <w:szCs w:val="36"/>
          <w:lang w:val="en-US" w:eastAsia="zh-CN"/>
        </w:rPr>
      </w:pPr>
      <w:bookmarkStart w:id="0" w:name="_Toc501546455"/>
      <w:bookmarkStart w:id="1" w:name="_Toc501546459"/>
      <w:r w:rsidRPr="008C761D">
        <w:rPr>
          <w:rFonts w:ascii="Calibri" w:eastAsia="MS PGothic" w:hAnsi="Calibri" w:cs="Calibri"/>
          <w:color w:val="002060"/>
          <w:sz w:val="36"/>
          <w:szCs w:val="36"/>
          <w:lang w:val="en-US" w:eastAsia="zh-CN"/>
        </w:rPr>
        <w:br w:type="page"/>
      </w:r>
      <w:bookmarkStart w:id="2" w:name="_Toc160611806"/>
      <w:r w:rsidR="00CE502F" w:rsidRPr="008C761D">
        <w:rPr>
          <w:rFonts w:ascii="Calibri" w:eastAsia="MS PGothic" w:hAnsi="Calibri" w:cs="Calibri"/>
          <w:color w:val="2F5496"/>
          <w:sz w:val="40"/>
          <w:szCs w:val="40"/>
          <w:lang w:val="en-US" w:eastAsia="zh-CN"/>
        </w:rPr>
        <w:lastRenderedPageBreak/>
        <w:t>Introduction</w:t>
      </w:r>
      <w:bookmarkEnd w:id="2"/>
    </w:p>
    <w:p w14:paraId="2213CC88" w14:textId="3E91C1AC" w:rsidR="00A2147E" w:rsidRPr="008C761D" w:rsidRDefault="00A2147E" w:rsidP="00A2147E">
      <w:pPr>
        <w:pStyle w:val="NormalWeb"/>
        <w:shd w:val="clear" w:color="auto" w:fill="FFFFFF"/>
        <w:spacing w:before="0" w:after="198"/>
        <w:jc w:val="both"/>
        <w:rPr>
          <w:rFonts w:ascii="Calibri" w:hAnsi="Calibri" w:cs="Arial"/>
          <w:color w:val="232323"/>
          <w:sz w:val="22"/>
          <w:szCs w:val="22"/>
          <w:lang w:val="en-US"/>
        </w:rPr>
      </w:pPr>
      <w:r w:rsidRPr="008C761D">
        <w:rPr>
          <w:rFonts w:ascii="Calibri" w:hAnsi="Calibri" w:cs="Calibri"/>
          <w:sz w:val="22"/>
          <w:szCs w:val="22"/>
          <w:lang w:val="en-US"/>
        </w:rPr>
        <w:t>Even with managing the global price and energy crisis, the Government carried out major public finance reforms aimed at accelerated, inclusive and sustainable economic growth, higher standard and quality of life.</w:t>
      </w:r>
      <w:r w:rsidR="00212B36">
        <w:rPr>
          <w:rFonts w:ascii="Calibri" w:hAnsi="Calibri" w:cs="Calibri"/>
          <w:sz w:val="22"/>
          <w:szCs w:val="22"/>
          <w:lang w:val="en-US"/>
        </w:rPr>
        <w:t xml:space="preserve"> </w:t>
      </w:r>
      <w:r w:rsidRPr="008C761D">
        <w:rPr>
          <w:rFonts w:ascii="Calibri" w:hAnsi="Calibri" w:cs="Calibri"/>
          <w:sz w:val="22"/>
          <w:szCs w:val="22"/>
          <w:lang w:val="en-US"/>
        </w:rPr>
        <w:t>Times of crisis best show the required changes to the system.</w:t>
      </w:r>
      <w:r w:rsidR="00212B36">
        <w:rPr>
          <w:rFonts w:ascii="Calibri" w:hAnsi="Calibri" w:cs="Calibri"/>
          <w:sz w:val="22"/>
          <w:szCs w:val="22"/>
          <w:lang w:val="en-US"/>
        </w:rPr>
        <w:t xml:space="preserve"> </w:t>
      </w:r>
      <w:r w:rsidRPr="008C761D">
        <w:rPr>
          <w:rFonts w:ascii="Calibri" w:hAnsi="Calibri" w:cs="Arial"/>
          <w:color w:val="232323"/>
          <w:sz w:val="22"/>
          <w:szCs w:val="22"/>
          <w:lang w:val="en-US"/>
        </w:rPr>
        <w:t xml:space="preserve">New Organic Budget Law is among the major reforms implemented, introducing medium-term budgeting, as well as the </w:t>
      </w:r>
      <w:r w:rsidRPr="008C761D">
        <w:rPr>
          <w:rFonts w:ascii="Calibri" w:hAnsi="Calibri" w:cs="Calibri"/>
          <w:sz w:val="22"/>
          <w:szCs w:val="22"/>
          <w:lang w:val="en-US"/>
        </w:rPr>
        <w:t xml:space="preserve">reform aimed at strengthening fiscal </w:t>
      </w:r>
      <w:r w:rsidR="00212B36">
        <w:rPr>
          <w:rFonts w:ascii="Calibri" w:hAnsi="Calibri" w:cs="Calibri"/>
          <w:sz w:val="22"/>
          <w:szCs w:val="22"/>
          <w:lang w:val="en-US"/>
        </w:rPr>
        <w:t xml:space="preserve">decentralization </w:t>
      </w:r>
      <w:r w:rsidRPr="008C761D">
        <w:rPr>
          <w:rFonts w:ascii="Calibri" w:hAnsi="Calibri" w:cs="Arial"/>
          <w:color w:val="232323"/>
          <w:sz w:val="22"/>
          <w:szCs w:val="22"/>
          <w:lang w:val="en-US"/>
        </w:rPr>
        <w:t>from the aspect of financing and accountability, and the reform aimed at broadening the tax base.</w:t>
      </w:r>
    </w:p>
    <w:p w14:paraId="6C9A32E7" w14:textId="4A7FFC0A" w:rsidR="00A2147E" w:rsidRPr="008C761D" w:rsidRDefault="00A2147E" w:rsidP="00A2147E">
      <w:pPr>
        <w:pStyle w:val="NormalWeb"/>
        <w:shd w:val="clear" w:color="auto" w:fill="FFFFFF"/>
        <w:spacing w:before="0" w:after="198"/>
        <w:jc w:val="both"/>
        <w:rPr>
          <w:rFonts w:ascii="Calibri" w:hAnsi="Calibri"/>
          <w:color w:val="232323"/>
          <w:sz w:val="22"/>
          <w:szCs w:val="22"/>
          <w:lang w:val="en-US"/>
        </w:rPr>
      </w:pPr>
      <w:r w:rsidRPr="008C761D">
        <w:rPr>
          <w:rFonts w:ascii="Calibri" w:hAnsi="Calibri" w:cs="Arial"/>
          <w:color w:val="232323"/>
          <w:sz w:val="22"/>
          <w:szCs w:val="22"/>
          <w:lang w:val="en-US"/>
        </w:rPr>
        <w:t>Public finances reform is aimed at longer-term and better planning of budget programmes and budgets, sustainability and continuity in implementing the policies, more just model in view of revenues and expenditures and the manner of financing, as well as monitoring and measuring the performance.</w:t>
      </w:r>
      <w:r w:rsidR="00212B36">
        <w:rPr>
          <w:rFonts w:ascii="Calibri" w:hAnsi="Calibri" w:cs="Arial"/>
          <w:color w:val="232323"/>
          <w:sz w:val="22"/>
          <w:szCs w:val="22"/>
          <w:lang w:val="en-US"/>
        </w:rPr>
        <w:t xml:space="preserve"> </w:t>
      </w:r>
      <w:r w:rsidRPr="008C761D">
        <w:rPr>
          <w:rFonts w:ascii="Calibri" w:hAnsi="Calibri" w:cs="Arial"/>
          <w:color w:val="232323"/>
          <w:sz w:val="22"/>
          <w:szCs w:val="22"/>
          <w:lang w:val="en-US"/>
        </w:rPr>
        <w:t>Among the main pillars of public finances reform are transparency, accountability, allocating public funds where greater benefits are generated when prioritizing the optimal policies in support of both the citizens and the businesses, “value for money” concept and introducing so-called key performance indicators.</w:t>
      </w:r>
      <w:r w:rsidR="00212B36">
        <w:rPr>
          <w:rFonts w:ascii="Calibri" w:hAnsi="Calibri" w:cs="Arial"/>
          <w:color w:val="232323"/>
          <w:sz w:val="22"/>
          <w:szCs w:val="22"/>
          <w:lang w:val="en-US"/>
        </w:rPr>
        <w:t xml:space="preserve"> </w:t>
      </w:r>
      <w:r w:rsidRPr="008C761D">
        <w:rPr>
          <w:rFonts w:ascii="Calibri" w:hAnsi="Calibri" w:cs="Arial"/>
          <w:color w:val="232323"/>
          <w:sz w:val="22"/>
          <w:szCs w:val="22"/>
          <w:lang w:val="en-US"/>
        </w:rPr>
        <w:t xml:space="preserve">Such reforms </w:t>
      </w:r>
      <w:r w:rsidRPr="008C761D">
        <w:rPr>
          <w:rFonts w:ascii="Calibri" w:hAnsi="Calibri" w:cs="Calibri"/>
          <w:sz w:val="22"/>
          <w:szCs w:val="22"/>
          <w:lang w:val="en-US"/>
        </w:rPr>
        <w:t>are essential for rapid recovery from the crisis and accelerated economic growth</w:t>
      </w:r>
      <w:r w:rsidRPr="008C761D">
        <w:rPr>
          <w:rFonts w:ascii="Calibri" w:hAnsi="Calibri" w:cs="Arial"/>
          <w:color w:val="232323"/>
          <w:sz w:val="22"/>
          <w:szCs w:val="22"/>
          <w:lang w:val="en-US"/>
        </w:rPr>
        <w:t>.</w:t>
      </w:r>
      <w:r w:rsidR="00212B36">
        <w:rPr>
          <w:rFonts w:ascii="Calibri" w:hAnsi="Calibri" w:cs="Arial"/>
          <w:color w:val="232323"/>
          <w:sz w:val="22"/>
          <w:szCs w:val="22"/>
          <w:lang w:val="en-US"/>
        </w:rPr>
        <w:t xml:space="preserve"> </w:t>
      </w:r>
      <w:r w:rsidRPr="008C761D">
        <w:rPr>
          <w:rFonts w:ascii="Calibri" w:hAnsi="Calibri" w:cs="Arial"/>
          <w:color w:val="232323"/>
          <w:sz w:val="22"/>
          <w:szCs w:val="22"/>
          <w:lang w:val="en-US"/>
        </w:rPr>
        <w:t>All this encompasses maintaining stable budget over the long run, thereby continuing the rendering of quality and prompt services to the citizens and the businesses through a modern and efficient public administration based on digitalisation.</w:t>
      </w:r>
    </w:p>
    <w:p w14:paraId="729FBC47" w14:textId="233E8C91" w:rsidR="00A2147E" w:rsidRPr="008C761D" w:rsidRDefault="00A2147E" w:rsidP="00A2147E">
      <w:pPr>
        <w:spacing w:before="80" w:after="80" w:line="240" w:lineRule="auto"/>
        <w:jc w:val="both"/>
        <w:rPr>
          <w:rFonts w:eastAsia="MS PGothic" w:cs="Calibri"/>
          <w:color w:val="202124"/>
          <w:lang w:val="en-US" w:eastAsia="zh-CN"/>
        </w:rPr>
      </w:pPr>
      <w:r w:rsidRPr="008C761D">
        <w:rPr>
          <w:rFonts w:cs="Calibri"/>
          <w:lang w:val="en-US"/>
        </w:rPr>
        <w:t>Public Financial Management Reform Programme is a strategic document for development of the public financial management system, always including the civil society, the development partners and other relevant stakeholder in its preparation.</w:t>
      </w:r>
      <w:r w:rsidR="00212B36">
        <w:rPr>
          <w:rFonts w:cs="Calibri"/>
          <w:lang w:val="en-US"/>
        </w:rPr>
        <w:t xml:space="preserve"> </w:t>
      </w:r>
      <w:r w:rsidRPr="008C761D">
        <w:rPr>
          <w:rFonts w:eastAsia="MS PGothic" w:cs="Calibri"/>
          <w:lang w:val="en-US" w:eastAsia="zh-CN"/>
        </w:rPr>
        <w:t xml:space="preserve">Such concept of an inclusive and open dialogue with all stakeholders about the PFM policies </w:t>
      </w:r>
      <w:r w:rsidRPr="008C761D">
        <w:rPr>
          <w:rFonts w:cs="Calibri"/>
          <w:lang w:val="en-US"/>
        </w:rPr>
        <w:t>is applied, as a good practice, for the preparation of all PFM Programmes.</w:t>
      </w:r>
    </w:p>
    <w:p w14:paraId="7506F370" w14:textId="23463B92" w:rsidR="00A2147E" w:rsidRPr="008C761D" w:rsidRDefault="00A2147E" w:rsidP="00A2147E">
      <w:pPr>
        <w:spacing w:before="80" w:after="80" w:line="240" w:lineRule="auto"/>
        <w:jc w:val="both"/>
        <w:rPr>
          <w:rFonts w:eastAsia="MS PGothic" w:cs="Calibri"/>
          <w:color w:val="202124"/>
          <w:lang w:val="en-US" w:eastAsia="zh-CN"/>
        </w:rPr>
      </w:pPr>
      <w:r w:rsidRPr="008C761D">
        <w:rPr>
          <w:rFonts w:eastAsia="MS PGothic" w:cs="Calibri"/>
          <w:color w:val="202124"/>
          <w:lang w:val="en-US" w:eastAsia="zh-CN"/>
        </w:rPr>
        <w:t xml:space="preserve">The Government adopted the </w:t>
      </w:r>
      <w:r w:rsidRPr="008C761D">
        <w:rPr>
          <w:rFonts w:cs="Calibri"/>
          <w:lang w:val="en-US"/>
        </w:rPr>
        <w:t>Public Financial Management Reform Programme</w:t>
      </w:r>
      <w:r w:rsidR="00FC2A8C">
        <w:rPr>
          <w:rFonts w:cs="Calibri"/>
          <w:lang w:val="en-US"/>
        </w:rPr>
        <w:t xml:space="preserve"> </w:t>
      </w:r>
      <w:r w:rsidRPr="008C761D">
        <w:rPr>
          <w:rFonts w:eastAsia="MS PGothic" w:cs="Calibri"/>
          <w:color w:val="202124"/>
          <w:lang w:val="en-US" w:eastAsia="zh-CN"/>
        </w:rPr>
        <w:t xml:space="preserve">2018 - 2021 </w:t>
      </w:r>
      <w:r w:rsidRPr="008C761D">
        <w:rPr>
          <w:rFonts w:cs="Calibri"/>
          <w:lang w:val="en-US"/>
        </w:rPr>
        <w:t>at the end of 2017, introducing a first-ever comprehensive, consistent and credible framework for improving both the efficiency and the effectiveness of public spending, fiscal discipline, debt sustainability, and efficient, transparent and modern public financial management, set as key objectives of the Government.</w:t>
      </w:r>
      <w:r w:rsidR="00212B36">
        <w:rPr>
          <w:rFonts w:cs="Calibri"/>
          <w:lang w:val="en-US"/>
        </w:rPr>
        <w:t xml:space="preserve"> </w:t>
      </w:r>
      <w:r w:rsidRPr="008C761D">
        <w:rPr>
          <w:rFonts w:eastAsia="MS PGothic" w:cs="Calibri"/>
          <w:color w:val="202124"/>
          <w:lang w:val="en-US" w:eastAsia="zh-CN"/>
        </w:rPr>
        <w:t>Public Financial Management Reform Programme 2018 - 2021 was completed in December 2021.</w:t>
      </w:r>
    </w:p>
    <w:p w14:paraId="26B61570" w14:textId="77777777" w:rsidR="00A2147E" w:rsidRPr="008C761D" w:rsidRDefault="00A2147E" w:rsidP="00A2147E">
      <w:pPr>
        <w:pStyle w:val="HTMLPreformatted"/>
        <w:spacing w:line="270" w:lineRule="atLeast"/>
        <w:jc w:val="both"/>
        <w:rPr>
          <w:rFonts w:ascii="Calibri" w:eastAsia="MS PGothic" w:hAnsi="Calibri" w:cs="Calibri"/>
          <w:color w:val="202124"/>
          <w:sz w:val="22"/>
          <w:szCs w:val="22"/>
          <w:lang w:val="en-US" w:eastAsia="zh-CN"/>
        </w:rPr>
      </w:pPr>
      <w:r w:rsidRPr="008C761D">
        <w:rPr>
          <w:rFonts w:ascii="Calibri" w:eastAsia="MS PGothic" w:hAnsi="Calibri" w:cs="Calibri"/>
          <w:color w:val="202124"/>
          <w:sz w:val="22"/>
          <w:szCs w:val="22"/>
          <w:lang w:val="en-US" w:eastAsia="zh-CN"/>
        </w:rPr>
        <w:t xml:space="preserve">PFM reforms were pursued under the PFM Programme 2022 - 2025 as well, reflecting the priorities determined on the basis of internal analyses of the relevant national institutions, also </w:t>
      </w:r>
      <w:proofErr w:type="gramStart"/>
      <w:r w:rsidRPr="008C761D">
        <w:rPr>
          <w:rFonts w:ascii="Calibri" w:eastAsia="MS PGothic" w:hAnsi="Calibri" w:cs="Calibri"/>
          <w:color w:val="202124"/>
          <w:sz w:val="22"/>
          <w:szCs w:val="22"/>
          <w:lang w:val="en-US" w:eastAsia="zh-CN"/>
        </w:rPr>
        <w:t>taking into account</w:t>
      </w:r>
      <w:proofErr w:type="gramEnd"/>
      <w:r w:rsidRPr="008C761D">
        <w:rPr>
          <w:rFonts w:ascii="Calibri" w:eastAsia="MS PGothic" w:hAnsi="Calibri" w:cs="Calibri"/>
          <w:color w:val="202124"/>
          <w:sz w:val="22"/>
          <w:szCs w:val="22"/>
          <w:lang w:val="en-US" w:eastAsia="zh-CN"/>
        </w:rPr>
        <w:t xml:space="preserve"> the findings and the assessments under the 2021 </w:t>
      </w:r>
      <w:r w:rsidRPr="008C761D">
        <w:rPr>
          <w:rFonts w:ascii="Calibri" w:hAnsi="Calibri" w:cs="Calibri"/>
          <w:sz w:val="22"/>
          <w:szCs w:val="22"/>
          <w:lang w:val="en-US"/>
        </w:rPr>
        <w:t>PEFA Assessment Report, IMF and World Bank recommendations, OECD - SIGMA assessment and other relevant assessments.</w:t>
      </w:r>
    </w:p>
    <w:p w14:paraId="32612602" w14:textId="17693914" w:rsidR="00A2147E" w:rsidRPr="008C761D" w:rsidRDefault="00A2147E" w:rsidP="00A2147E">
      <w:pPr>
        <w:pStyle w:val="HTMLPreformatted"/>
        <w:spacing w:line="270" w:lineRule="atLeast"/>
        <w:jc w:val="both"/>
        <w:rPr>
          <w:rFonts w:ascii="Calibri" w:eastAsia="MS PGothic" w:hAnsi="Calibri" w:cs="Calibri"/>
          <w:color w:val="202124"/>
          <w:sz w:val="22"/>
          <w:szCs w:val="22"/>
          <w:lang w:val="en-US" w:eastAsia="zh-CN"/>
        </w:rPr>
      </w:pPr>
      <w:r w:rsidRPr="008C761D">
        <w:rPr>
          <w:rFonts w:ascii="Calibri" w:eastAsia="MS PGothic" w:hAnsi="Calibri" w:cs="Calibri"/>
          <w:color w:val="202124"/>
          <w:sz w:val="22"/>
          <w:szCs w:val="22"/>
          <w:lang w:val="en-US" w:eastAsia="zh-CN"/>
        </w:rPr>
        <w:t>In June 2022, the Government adopted the PFM Programme 2022 - 2025 with the respective 2022 Action Plan.</w:t>
      </w:r>
      <w:r w:rsidR="00212B36">
        <w:rPr>
          <w:rFonts w:ascii="Calibri" w:eastAsia="MS PGothic" w:hAnsi="Calibri" w:cs="Calibri"/>
          <w:color w:val="202124"/>
          <w:sz w:val="22"/>
          <w:szCs w:val="22"/>
          <w:lang w:val="en-US" w:eastAsia="zh-CN"/>
        </w:rPr>
        <w:t xml:space="preserve"> </w:t>
      </w:r>
      <w:r w:rsidRPr="008C761D">
        <w:rPr>
          <w:rFonts w:ascii="Calibri" w:eastAsia="MS PGothic" w:hAnsi="Calibri" w:cs="Calibri"/>
          <w:color w:val="202124"/>
          <w:sz w:val="22"/>
          <w:szCs w:val="22"/>
          <w:lang w:val="en-US" w:eastAsia="zh-CN"/>
        </w:rPr>
        <w:t>The need to continue the reforms in this area is an ambitious effort covering all aspects of PF</w:t>
      </w:r>
      <w:r w:rsidR="00FA5CF1">
        <w:rPr>
          <w:rFonts w:ascii="Calibri" w:eastAsia="MS PGothic" w:hAnsi="Calibri" w:cs="Calibri"/>
          <w:color w:val="202124"/>
          <w:sz w:val="22"/>
          <w:szCs w:val="22"/>
          <w:lang w:val="en-US" w:eastAsia="zh-CN"/>
        </w:rPr>
        <w:t>M</w:t>
      </w:r>
      <w:r w:rsidRPr="008C761D">
        <w:rPr>
          <w:rFonts w:ascii="Calibri" w:eastAsia="MS PGothic" w:hAnsi="Calibri" w:cs="Calibri"/>
          <w:color w:val="202124"/>
          <w:sz w:val="22"/>
          <w:szCs w:val="22"/>
          <w:lang w:val="en-US" w:eastAsia="zh-CN"/>
        </w:rPr>
        <w:t>: economic analysis, macroeconomic and fiscal framework, revenue mobilisation and collection, budget planning, public investment management, effective instruments under the Growth Acceleration Plan, public procurement, including PPP, establishment of integrated financial management information system (IFMIS), Public Finance Academy, budget accounting, public internal financial control, external control and parliamentary oversight and PFM at local level.</w:t>
      </w:r>
    </w:p>
    <w:p w14:paraId="53FBD6AB" w14:textId="79AAAF23" w:rsidR="00A2147E" w:rsidRPr="008C761D" w:rsidRDefault="00A2147E" w:rsidP="00A2147E">
      <w:pPr>
        <w:pStyle w:val="HTMLPreformatted"/>
        <w:spacing w:line="270" w:lineRule="atLeast"/>
        <w:jc w:val="both"/>
        <w:rPr>
          <w:rFonts w:ascii="Calibri" w:eastAsia="MS PGothic" w:hAnsi="Calibri" w:cs="Calibri"/>
          <w:color w:val="202124"/>
          <w:sz w:val="22"/>
          <w:szCs w:val="22"/>
          <w:lang w:val="en-US" w:eastAsia="zh-CN"/>
        </w:rPr>
      </w:pPr>
      <w:r w:rsidRPr="008C761D">
        <w:rPr>
          <w:rFonts w:ascii="Calibri" w:eastAsia="MS PGothic" w:hAnsi="Calibri" w:cs="Calibri"/>
          <w:color w:val="202124"/>
          <w:sz w:val="22"/>
          <w:szCs w:val="22"/>
          <w:lang w:val="en-US" w:eastAsia="zh-CN"/>
        </w:rPr>
        <w:t>Legal framework supporting the PFM Programme 2022 - 2025 was not in force at the moment of preparing the Program, considering that the Organic Budget Law was not yet adopted by the Parliament.</w:t>
      </w:r>
      <w:r w:rsidR="00903D3F">
        <w:rPr>
          <w:rFonts w:ascii="Calibri" w:eastAsia="MS PGothic" w:hAnsi="Calibri" w:cs="Calibri"/>
          <w:color w:val="202124"/>
          <w:sz w:val="22"/>
          <w:szCs w:val="22"/>
          <w:lang w:val="en-US" w:eastAsia="zh-CN"/>
        </w:rPr>
        <w:t xml:space="preserve"> </w:t>
      </w:r>
      <w:r w:rsidRPr="008C761D">
        <w:rPr>
          <w:rFonts w:ascii="Calibri" w:eastAsia="MS PGothic" w:hAnsi="Calibri" w:cs="Calibri"/>
          <w:color w:val="202124"/>
          <w:sz w:val="22"/>
          <w:szCs w:val="22"/>
          <w:lang w:val="en-US" w:eastAsia="zh-CN"/>
        </w:rPr>
        <w:t>Adoption of the Organic Budget Law in September 2022 provides for carrying out the critical reforms in budgeting, thus strengthening the fiscal sustainability (medium–term budgeting, Integrated Financial Management Information System - IFMIS, introduction of a fiscal council and fiscal rules).The reforms are to be sped up, all to the end of implementing the comprehensive and ambitious reform incorporated in the OBL.</w:t>
      </w:r>
      <w:r w:rsidR="00903D3F">
        <w:rPr>
          <w:rFonts w:ascii="Calibri" w:eastAsia="MS PGothic" w:hAnsi="Calibri" w:cs="Calibri"/>
          <w:color w:val="202124"/>
          <w:sz w:val="22"/>
          <w:szCs w:val="22"/>
          <w:lang w:val="en-US" w:eastAsia="zh-CN"/>
        </w:rPr>
        <w:t xml:space="preserve"> </w:t>
      </w:r>
      <w:r w:rsidRPr="008C761D">
        <w:rPr>
          <w:rFonts w:ascii="Calibri" w:eastAsia="MS PGothic" w:hAnsi="Calibri" w:cs="Calibri"/>
          <w:color w:val="202124"/>
          <w:sz w:val="22"/>
          <w:szCs w:val="22"/>
          <w:lang w:val="en-US" w:eastAsia="zh-CN"/>
        </w:rPr>
        <w:t>Action plan is to be adopted, new institutional structures are to be established and key reform units at the Ministry of Finance, the PRO and the Customs Administration are to be timely and adequately staffed.</w:t>
      </w:r>
      <w:r w:rsidR="00903D3F">
        <w:rPr>
          <w:rFonts w:ascii="Calibri" w:eastAsia="MS PGothic" w:hAnsi="Calibri" w:cs="Calibri"/>
          <w:color w:val="202124"/>
          <w:sz w:val="22"/>
          <w:szCs w:val="22"/>
          <w:lang w:val="en-US" w:eastAsia="zh-CN"/>
        </w:rPr>
        <w:t xml:space="preserve"> </w:t>
      </w:r>
      <w:r w:rsidRPr="008C761D">
        <w:rPr>
          <w:rFonts w:ascii="Calibri" w:eastAsia="MS PGothic" w:hAnsi="Calibri" w:cs="Calibri"/>
          <w:sz w:val="22"/>
          <w:szCs w:val="22"/>
          <w:lang w:val="en-US" w:eastAsia="zh-CN"/>
        </w:rPr>
        <w:t xml:space="preserve">Hence, a need arose for a mid-term review </w:t>
      </w:r>
      <w:r w:rsidRPr="008C761D">
        <w:rPr>
          <w:rFonts w:ascii="Calibri" w:eastAsia="MS PGothic" w:hAnsi="Calibri" w:cs="Calibri"/>
          <w:sz w:val="22"/>
          <w:szCs w:val="22"/>
          <w:lang w:val="en-US" w:eastAsia="zh-CN"/>
        </w:rPr>
        <w:lastRenderedPageBreak/>
        <w:t xml:space="preserve">of the 2022 - 2025 PFM Programme’s objectives and indicators, and the Programme is thus </w:t>
      </w:r>
      <w:r w:rsidRPr="008C761D">
        <w:rPr>
          <w:rFonts w:ascii="Calibri" w:hAnsi="Calibri" w:cs="Calibri"/>
          <w:sz w:val="22"/>
          <w:szCs w:val="22"/>
          <w:lang w:val="en-US"/>
        </w:rPr>
        <w:t>extended by two years,</w:t>
      </w:r>
      <w:r w:rsidRPr="008C761D">
        <w:rPr>
          <w:rFonts w:ascii="Calibri" w:eastAsia="MS PGothic" w:hAnsi="Calibri" w:cs="Calibri"/>
          <w:sz w:val="22"/>
          <w:szCs w:val="22"/>
          <w:lang w:val="en-US" w:eastAsia="zh-CN"/>
        </w:rPr>
        <w:t xml:space="preserve"> until 2027.</w:t>
      </w:r>
      <w:r w:rsidRPr="008C761D">
        <w:rPr>
          <w:rFonts w:ascii="Calibri" w:eastAsia="MS PGothic" w:hAnsi="Calibri" w:cs="Calibri"/>
          <w:color w:val="202124"/>
          <w:sz w:val="22"/>
          <w:szCs w:val="22"/>
          <w:lang w:val="en-US" w:eastAsia="zh-CN"/>
        </w:rPr>
        <w:t>The PFM Programme covers the 2024 - 2027 period. </w:t>
      </w:r>
    </w:p>
    <w:p w14:paraId="7F6743F2" w14:textId="44834DBB" w:rsidR="00A2147E" w:rsidRPr="008C761D" w:rsidRDefault="00A2147E" w:rsidP="00A2147E">
      <w:pPr>
        <w:pStyle w:val="HTMLPreformatted"/>
        <w:spacing w:line="270" w:lineRule="atLeast"/>
        <w:jc w:val="both"/>
        <w:rPr>
          <w:rFonts w:eastAsia="MS PGothic" w:cs="Calibri"/>
          <w:color w:val="202124"/>
          <w:sz w:val="22"/>
          <w:lang w:val="en-US" w:eastAsia="zh-CN"/>
        </w:rPr>
      </w:pPr>
      <w:r w:rsidRPr="008C761D">
        <w:rPr>
          <w:rFonts w:ascii="Calibri" w:eastAsia="MS PGothic" w:hAnsi="Calibri" w:cs="Calibri"/>
          <w:color w:val="202124"/>
          <w:sz w:val="22"/>
          <w:szCs w:val="22"/>
          <w:lang w:val="en-US" w:eastAsia="zh-CN"/>
        </w:rPr>
        <w:t>Mid-term review of the PFM Programme was carried out at the end of 2023 by OECD - SIGMA, with EU financial support, focusing on the following aspects:</w:t>
      </w:r>
      <w:r w:rsidR="00903D3F">
        <w:rPr>
          <w:rFonts w:ascii="Calibri" w:eastAsia="MS PGothic" w:hAnsi="Calibri" w:cs="Calibri"/>
          <w:color w:val="202124"/>
          <w:sz w:val="22"/>
          <w:szCs w:val="22"/>
          <w:lang w:val="en-US" w:eastAsia="zh-CN"/>
        </w:rPr>
        <w:t xml:space="preserve"> </w:t>
      </w:r>
      <w:r w:rsidRPr="008C761D">
        <w:rPr>
          <w:rFonts w:ascii="Calibri" w:eastAsia="MS PGothic" w:hAnsi="Calibri" w:cs="Calibri"/>
          <w:color w:val="202124"/>
          <w:sz w:val="22"/>
          <w:szCs w:val="22"/>
          <w:lang w:val="en-US" w:eastAsia="zh-CN"/>
        </w:rPr>
        <w:t>implementation of the Programme and the respective Action Plans (effectiveness); adapting the interventions so as to achieve the desired results and objectives (relevance); adaptation and efficiency of PFM managing structure (efficiency).</w:t>
      </w:r>
    </w:p>
    <w:p w14:paraId="37A69559" w14:textId="62FD43F5" w:rsidR="00A2147E" w:rsidRPr="008C761D" w:rsidRDefault="00A2147E" w:rsidP="00A2147E">
      <w:pPr>
        <w:spacing w:after="240" w:line="240" w:lineRule="auto"/>
        <w:jc w:val="both"/>
        <w:rPr>
          <w:rFonts w:eastAsia="MS PGothic" w:cs="Calibri"/>
          <w:color w:val="202124"/>
          <w:lang w:val="en-US" w:eastAsia="zh-CN"/>
        </w:rPr>
      </w:pPr>
      <w:r w:rsidRPr="008C761D">
        <w:rPr>
          <w:rFonts w:eastAsia="MS PGothic" w:cs="Calibri"/>
          <w:color w:val="202124"/>
          <w:lang w:val="en-US" w:eastAsia="zh-CN"/>
        </w:rPr>
        <w:t>Preparation and implementation of the new PFM Reform Programme 2024-2027 is based on a sectoral dialogue, introduced with the previous PFM Reform Programme, on the policies with all stakeholders.</w:t>
      </w:r>
      <w:r w:rsidR="00903D3F">
        <w:rPr>
          <w:rFonts w:eastAsia="MS PGothic" w:cs="Calibri"/>
          <w:color w:val="202124"/>
          <w:lang w:val="en-US" w:eastAsia="zh-CN"/>
        </w:rPr>
        <w:t xml:space="preserve"> </w:t>
      </w:r>
      <w:r w:rsidRPr="008C761D">
        <w:rPr>
          <w:rFonts w:eastAsia="MS PGothic" w:cs="Calibri"/>
          <w:color w:val="202124"/>
          <w:lang w:val="en-US" w:eastAsia="zh-CN"/>
        </w:rPr>
        <w:t>The objective of the dialogue is to ensure joint actions as regards the priorities and the policies in the area of public finance management, establishing a synergy and coordination among different initiatives, as well as that budget funds and all other available resources, including donor funds, are used in an appropriate and transparent manner.</w:t>
      </w:r>
    </w:p>
    <w:p w14:paraId="28ECBC3A" w14:textId="77777777" w:rsidR="00E47AF4" w:rsidRDefault="00A2147E" w:rsidP="00E47AF4">
      <w:pPr>
        <w:spacing w:after="240" w:line="240" w:lineRule="auto"/>
        <w:jc w:val="both"/>
        <w:rPr>
          <w:rFonts w:eastAsia="MS PGothic" w:cs="Calibri"/>
          <w:color w:val="202124"/>
          <w:lang w:val="en-US" w:eastAsia="zh-CN"/>
        </w:rPr>
      </w:pPr>
      <w:r w:rsidRPr="008C761D">
        <w:rPr>
          <w:rFonts w:eastAsia="MS PGothic" w:cs="Calibri"/>
          <w:color w:val="202124"/>
          <w:lang w:val="en-US" w:eastAsia="zh-CN"/>
        </w:rPr>
        <w:t>Political and institutional commitment to attaining the reform goals under the new Public Financial Management Reform Programme 2024-2027 is demonstrated through the structures of the monitoring and reporting system as regards the set results, indicators and targets, previously set under the PFM Reform Programme 2018-2021 (PFM Council comprising the top management of the key institutions in the public financial management system, PFM Sector Working Group and Priority Coordinators and Measure Leaders are already functioning).These working bodies also ensure the necessary coordination among certain strategies and policies in the field of PFM, as well as with the other related national strategies, such as the Public Administration Reform Strategy.</w:t>
      </w:r>
    </w:p>
    <w:p w14:paraId="2E636397" w14:textId="0381E2F6" w:rsidR="00A2147E" w:rsidRPr="008C761D" w:rsidRDefault="00A2147E" w:rsidP="00E47AF4">
      <w:pPr>
        <w:spacing w:after="240" w:line="240" w:lineRule="auto"/>
        <w:jc w:val="both"/>
        <w:rPr>
          <w:rFonts w:eastAsia="MS PGothic" w:cs="Calibri"/>
          <w:color w:val="202124"/>
          <w:lang w:val="en-US" w:eastAsia="zh-CN"/>
        </w:rPr>
      </w:pPr>
      <w:r w:rsidRPr="008C761D">
        <w:rPr>
          <w:rFonts w:eastAsia="MS PGothic" w:cs="Calibri"/>
          <w:color w:val="202124"/>
          <w:lang w:val="en-US" w:eastAsia="zh-CN"/>
        </w:rPr>
        <w:t>PFM Reform Programme 2024-2027 has been prepared by the PFM Sector Working Group, comprising representatives from the following institutions:</w:t>
      </w:r>
      <w:r w:rsidR="00903D3F">
        <w:rPr>
          <w:rFonts w:eastAsia="MS PGothic" w:cs="Calibri"/>
          <w:color w:val="202124"/>
          <w:lang w:val="en-US" w:eastAsia="zh-CN"/>
        </w:rPr>
        <w:t xml:space="preserve"> </w:t>
      </w:r>
      <w:r w:rsidRPr="008C761D">
        <w:rPr>
          <w:rFonts w:eastAsia="MS PGothic" w:cs="Calibri"/>
          <w:color w:val="202124"/>
          <w:lang w:val="en-US" w:eastAsia="zh-CN"/>
        </w:rPr>
        <w:t>Ministry of Finance, Public Revenue Office, Customs Administration of North Macedonia, Public Procurement Bureau, State Appeals Commission, State Audit Office and Ministry of Economy.</w:t>
      </w:r>
    </w:p>
    <w:p w14:paraId="35F0675B" w14:textId="3ABF5FF3" w:rsidR="00CF2B56" w:rsidRPr="006A0F62" w:rsidRDefault="00186AC6" w:rsidP="00E84CD0">
      <w:pPr>
        <w:pStyle w:val="Heading1"/>
        <w:spacing w:line="240" w:lineRule="auto"/>
        <w:jc w:val="both"/>
        <w:rPr>
          <w:rFonts w:ascii="Calibri" w:eastAsia="MS PGothic" w:hAnsi="Calibri" w:cs="Calibri"/>
          <w:color w:val="2F5496"/>
          <w:sz w:val="40"/>
          <w:szCs w:val="40"/>
          <w:lang w:val="en-US" w:eastAsia="zh-CN"/>
        </w:rPr>
      </w:pPr>
      <w:r w:rsidRPr="008C761D">
        <w:rPr>
          <w:rFonts w:ascii="Calibri" w:eastAsia="MS PGothic" w:hAnsi="Calibri" w:cs="Calibri"/>
          <w:color w:val="2F5496"/>
          <w:sz w:val="40"/>
          <w:szCs w:val="40"/>
          <w:lang w:val="en-US" w:eastAsia="zh-CN"/>
        </w:rPr>
        <w:br w:type="page"/>
      </w:r>
      <w:bookmarkStart w:id="3" w:name="_Toc160611807"/>
      <w:r w:rsidR="00CF2B56" w:rsidRPr="006A0F62">
        <w:rPr>
          <w:rFonts w:ascii="Calibri" w:eastAsia="MS PGothic" w:hAnsi="Calibri" w:cs="Calibri"/>
          <w:color w:val="2F5496"/>
          <w:sz w:val="40"/>
          <w:szCs w:val="40"/>
          <w:lang w:val="en-US" w:eastAsia="zh-CN"/>
        </w:rPr>
        <w:lastRenderedPageBreak/>
        <w:t>Chapter I:</w:t>
      </w:r>
      <w:r w:rsidR="00FA5CF1" w:rsidRPr="006A0F62">
        <w:rPr>
          <w:rFonts w:ascii="Calibri" w:eastAsia="MS PGothic" w:hAnsi="Calibri" w:cs="Calibri"/>
          <w:color w:val="2F5496"/>
          <w:sz w:val="40"/>
          <w:szCs w:val="40"/>
          <w:lang w:val="en-US" w:eastAsia="zh-CN"/>
        </w:rPr>
        <w:t xml:space="preserve"> </w:t>
      </w:r>
      <w:r w:rsidR="00CF2B56" w:rsidRPr="006A0F62">
        <w:rPr>
          <w:rFonts w:ascii="Calibri" w:eastAsia="MS PGothic" w:hAnsi="Calibri" w:cs="Calibri"/>
          <w:color w:val="2F5496"/>
          <w:sz w:val="40"/>
          <w:szCs w:val="40"/>
          <w:lang w:val="en-US" w:eastAsia="zh-CN"/>
        </w:rPr>
        <w:t>Background of the PFM Reform Programme</w:t>
      </w:r>
      <w:bookmarkEnd w:id="0"/>
      <w:bookmarkEnd w:id="3"/>
    </w:p>
    <w:p w14:paraId="62B9DD2E" w14:textId="7BC292D1" w:rsidR="00CF2B56" w:rsidRPr="008C761D" w:rsidRDefault="00CF2B56" w:rsidP="00E84CD0">
      <w:pPr>
        <w:spacing w:line="240" w:lineRule="auto"/>
        <w:jc w:val="both"/>
        <w:rPr>
          <w:rFonts w:cs="Calibri"/>
          <w:b/>
          <w:color w:val="2E74B5"/>
          <w:lang w:val="en-US"/>
        </w:rPr>
      </w:pPr>
      <w:bookmarkStart w:id="4" w:name="_Toc501546456"/>
      <w:r w:rsidRPr="008C761D">
        <w:rPr>
          <w:rFonts w:cs="Calibri"/>
          <w:b/>
          <w:color w:val="2E74B5"/>
          <w:lang w:val="en-US"/>
        </w:rPr>
        <w:t>The</w:t>
      </w:r>
      <w:r w:rsidR="00AC73C6" w:rsidRPr="008C761D">
        <w:rPr>
          <w:rFonts w:cs="Calibri"/>
          <w:b/>
          <w:color w:val="2E74B5"/>
          <w:lang w:val="en-US"/>
        </w:rPr>
        <w:t xml:space="preserve"> </w:t>
      </w:r>
      <w:r w:rsidRPr="008C761D">
        <w:rPr>
          <w:rFonts w:cs="Calibri"/>
          <w:b/>
          <w:color w:val="2E74B5"/>
          <w:lang w:val="en-US"/>
        </w:rPr>
        <w:t>economic</w:t>
      </w:r>
      <w:r w:rsidR="00AC73C6" w:rsidRPr="008C761D">
        <w:rPr>
          <w:rFonts w:cs="Calibri"/>
          <w:b/>
          <w:color w:val="2E74B5"/>
          <w:lang w:val="en-US"/>
        </w:rPr>
        <w:t xml:space="preserve"> </w:t>
      </w:r>
      <w:r w:rsidRPr="008C761D">
        <w:rPr>
          <w:rFonts w:cs="Calibri"/>
          <w:b/>
          <w:color w:val="2E74B5"/>
          <w:lang w:val="en-US"/>
        </w:rPr>
        <w:t>context</w:t>
      </w:r>
      <w:bookmarkEnd w:id="4"/>
    </w:p>
    <w:p w14:paraId="40CC2C7D" w14:textId="77777777" w:rsidR="00BD67CE" w:rsidRPr="008C761D" w:rsidRDefault="00BD67CE" w:rsidP="00BD67CE">
      <w:pPr>
        <w:spacing w:before="80" w:after="80" w:line="240" w:lineRule="auto"/>
        <w:jc w:val="both"/>
        <w:rPr>
          <w:rFonts w:eastAsia="Times New Roman" w:cs="Calibri"/>
          <w:color w:val="202124"/>
          <w:lang w:val="en-US" w:eastAsia="mk-MK"/>
        </w:rPr>
      </w:pPr>
      <w:bookmarkStart w:id="5" w:name="_Toc501546457"/>
      <w:r w:rsidRPr="008C761D">
        <w:rPr>
          <w:rFonts w:eastAsia="Times New Roman" w:cs="Calibri"/>
          <w:color w:val="202124"/>
          <w:lang w:val="en-US" w:eastAsia="mk-MK"/>
        </w:rPr>
        <w:t>New investments, new jobs and a better living standard of citizens are the key socio-economic goals of the Government, supported by a competitive and an integrated economy.</w:t>
      </w:r>
    </w:p>
    <w:p w14:paraId="73D385DB" w14:textId="77777777" w:rsidR="00BD67CE" w:rsidRPr="008C761D" w:rsidRDefault="00BD67CE" w:rsidP="00BD67CE">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North Macedonia kept its macroeconomic stability during the global financial and economic crisis, as well as the debt sovereign crisis in the eurozone. The pegged exchange rate to the euro successfully upheld price stability. Macroeconomic policies are prepared to support the economy and prevent macroeconomic stability, while the monetary policy quickly reacts to the potential threats on the currency peg.</w:t>
      </w:r>
    </w:p>
    <w:p w14:paraId="14C32995" w14:textId="77777777" w:rsidR="00BD67CE" w:rsidRPr="008C761D" w:rsidRDefault="00BD67CE" w:rsidP="00BD67CE">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In 2020, the economic activity recorded a decline by 4.7%, as a result of the health crisis which affected the activity of domestic exporting companies and the industrial production, as well as the inflow of private transfers from abroad, whereas the restrictive measures to contain the spread of the COVID-19 pandemic across the country impacted some of the service activities, such as trade, transport, hospitality industry and tourism. Fiscal policy’s response to the pandemic was quick and significant in supporting the companies and employees in the most severely affected industries, which substantially mitigated the fall of the economic activity.</w:t>
      </w:r>
    </w:p>
    <w:p w14:paraId="524FDDB5" w14:textId="7A7C4F20" w:rsidR="00AB3E94" w:rsidRPr="008C761D" w:rsidRDefault="00AB3E94" w:rsidP="00AB3E94">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Chart 1. Production</w:t>
      </w:r>
      <w:r w:rsidR="00AC73C6" w:rsidRPr="008C761D">
        <w:rPr>
          <w:rFonts w:eastAsia="Times New Roman" w:cs="Calibri"/>
          <w:color w:val="202124"/>
          <w:lang w:val="en-US" w:eastAsia="mk-MK"/>
        </w:rPr>
        <w:t xml:space="preserve"> </w:t>
      </w:r>
      <w:r w:rsidRPr="008C761D">
        <w:rPr>
          <w:rFonts w:eastAsia="Times New Roman" w:cs="Calibri"/>
          <w:color w:val="202124"/>
          <w:lang w:val="en-US" w:eastAsia="mk-MK"/>
        </w:rPr>
        <w:t>structure</w:t>
      </w:r>
      <w:r w:rsidR="00903D3F">
        <w:rPr>
          <w:rFonts w:eastAsia="Times New Roman" w:cs="Calibri"/>
          <w:color w:val="202124"/>
          <w:lang w:val="en-US" w:eastAsia="mk-MK"/>
        </w:rPr>
        <w:t xml:space="preserve"> </w:t>
      </w:r>
      <w:r w:rsidRPr="008C761D">
        <w:rPr>
          <w:rFonts w:eastAsia="Times New Roman" w:cs="Calibri"/>
          <w:color w:val="202124"/>
          <w:lang w:val="en-US" w:eastAsia="mk-MK"/>
        </w:rPr>
        <w:t>of GDP (contribution</w:t>
      </w:r>
      <w:r w:rsidR="00AC73C6" w:rsidRPr="008C761D">
        <w:rPr>
          <w:rFonts w:eastAsia="Times New Roman" w:cs="Calibri"/>
          <w:color w:val="202124"/>
          <w:lang w:val="en-US" w:eastAsia="mk-MK"/>
        </w:rPr>
        <w:t xml:space="preserve"> </w:t>
      </w:r>
      <w:r w:rsidRPr="008C761D">
        <w:rPr>
          <w:rFonts w:eastAsia="Times New Roman" w:cs="Calibri"/>
          <w:color w:val="202124"/>
          <w:lang w:val="en-US" w:eastAsia="mk-MK"/>
        </w:rPr>
        <w:t>to</w:t>
      </w:r>
      <w:r w:rsidR="00AC73C6" w:rsidRPr="008C761D">
        <w:rPr>
          <w:rFonts w:eastAsia="Times New Roman" w:cs="Calibri"/>
          <w:color w:val="202124"/>
          <w:lang w:val="en-US" w:eastAsia="mk-MK"/>
        </w:rPr>
        <w:t xml:space="preserve"> </w:t>
      </w:r>
      <w:r w:rsidRPr="008C761D">
        <w:rPr>
          <w:rFonts w:eastAsia="Times New Roman" w:cs="Calibri"/>
          <w:color w:val="202124"/>
          <w:lang w:val="en-US" w:eastAsia="mk-MK"/>
        </w:rPr>
        <w:t>growth, p.p.)</w:t>
      </w:r>
    </w:p>
    <w:p w14:paraId="5CF94451" w14:textId="77777777" w:rsidR="00AB3E94" w:rsidRPr="008C761D" w:rsidRDefault="0042620E" w:rsidP="00AB3E94">
      <w:pPr>
        <w:spacing w:before="80" w:after="80" w:line="240" w:lineRule="auto"/>
        <w:jc w:val="both"/>
        <w:rPr>
          <w:rFonts w:eastAsia="Times New Roman" w:cs="Calibri"/>
          <w:lang w:val="en-US" w:eastAsia="mk-MK"/>
        </w:rPr>
      </w:pPr>
      <w:r w:rsidRPr="008C761D">
        <w:rPr>
          <w:noProof/>
          <w:lang w:eastAsia="mk-MK"/>
        </w:rPr>
        <w:drawing>
          <wp:inline distT="0" distB="0" distL="0" distR="0" wp14:anchorId="142EC359" wp14:editId="637729CC">
            <wp:extent cx="3593465" cy="2277745"/>
            <wp:effectExtent l="0" t="0" r="0" b="0"/>
            <wp:docPr id="2"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3465" cy="2277745"/>
                    </a:xfrm>
                    <a:prstGeom prst="rect">
                      <a:avLst/>
                    </a:prstGeom>
                    <a:noFill/>
                    <a:ln>
                      <a:noFill/>
                    </a:ln>
                  </pic:spPr>
                </pic:pic>
              </a:graphicData>
            </a:graphic>
          </wp:inline>
        </w:drawing>
      </w:r>
    </w:p>
    <w:p w14:paraId="0A05A8A4" w14:textId="77777777" w:rsidR="00BD67CE" w:rsidRPr="008C761D" w:rsidRDefault="00BD67CE" w:rsidP="00714262">
      <w:pPr>
        <w:spacing w:before="120" w:line="240" w:lineRule="auto"/>
        <w:jc w:val="both"/>
        <w:rPr>
          <w:rFonts w:eastAsia="Times New Roman" w:cs="Calibri"/>
          <w:color w:val="202124"/>
          <w:lang w:val="en-US" w:eastAsia="mk-MK"/>
        </w:rPr>
      </w:pPr>
      <w:r w:rsidRPr="008C761D">
        <w:rPr>
          <w:rFonts w:eastAsia="Times New Roman" w:cs="Calibri"/>
          <w:color w:val="202124"/>
          <w:lang w:val="en-US" w:eastAsia="mk-MK"/>
        </w:rPr>
        <w:t>In 2021, in the conditions of protracted pandemic effects, the domestic economy recovered with solid dynamics, reaching an economic growth of 4.5%. The economic growth in this period largely accounted for the activity in the services sector, while on the expenditure side of GDP, the economic growth was a result of the increased domestic demand.</w:t>
      </w:r>
    </w:p>
    <w:p w14:paraId="6B6F91B3" w14:textId="671E2110" w:rsidR="00AB3E94" w:rsidRPr="008C761D" w:rsidRDefault="00AB3E94" w:rsidP="00714262">
      <w:pPr>
        <w:spacing w:before="120" w:line="240" w:lineRule="auto"/>
        <w:jc w:val="both"/>
        <w:rPr>
          <w:rFonts w:eastAsia="Times New Roman" w:cs="Calibri"/>
          <w:lang w:val="en-US" w:eastAsia="mk-MK"/>
        </w:rPr>
      </w:pPr>
      <w:r w:rsidRPr="008C761D">
        <w:rPr>
          <w:rFonts w:eastAsia="Times New Roman" w:cs="Calibri"/>
          <w:lang w:val="en-US" w:eastAsia="mk-MK"/>
        </w:rPr>
        <w:t xml:space="preserve">Despite the global challenges and the highest inflation in the past few decades, the domestic economy in 2022 recorded a 2.2% increase, as a </w:t>
      </w:r>
      <w:r w:rsidR="00903D3F" w:rsidRPr="008C761D">
        <w:rPr>
          <w:rFonts w:eastAsia="Times New Roman" w:cs="Calibri"/>
          <w:lang w:val="en-US" w:eastAsia="mk-MK"/>
        </w:rPr>
        <w:t>result</w:t>
      </w:r>
      <w:r w:rsidRPr="008C761D">
        <w:rPr>
          <w:rFonts w:eastAsia="Times New Roman" w:cs="Calibri"/>
          <w:lang w:val="en-US" w:eastAsia="mk-MK"/>
        </w:rPr>
        <w:t xml:space="preserve"> of the higher private consumption and the higher gross investment. In this period, the net-export had a negative contribution to the economic growth.</w:t>
      </w:r>
      <w:r w:rsidR="00903D3F">
        <w:rPr>
          <w:rFonts w:eastAsia="Times New Roman" w:cs="Calibri"/>
          <w:lang w:val="en-US" w:eastAsia="mk-MK"/>
        </w:rPr>
        <w:t xml:space="preserve"> </w:t>
      </w:r>
      <w:r w:rsidRPr="008C761D">
        <w:rPr>
          <w:rFonts w:eastAsia="Times New Roman" w:cs="Calibri"/>
          <w:lang w:val="en-US" w:eastAsia="mk-MK"/>
        </w:rPr>
        <w:t>The recorded growth in 2022 was supported by new government stimulus packages. In this year, two new packages were adopted, focused on supporting the citizens and protecting their living standards, as well as supporting the liquidity of companies.</w:t>
      </w:r>
    </w:p>
    <w:p w14:paraId="32357D3C" w14:textId="7F064E94" w:rsidR="00AB3E94" w:rsidRPr="008C761D" w:rsidRDefault="00AB3E94" w:rsidP="00714262">
      <w:pPr>
        <w:spacing w:before="120" w:line="240" w:lineRule="auto"/>
        <w:jc w:val="both"/>
        <w:rPr>
          <w:rFonts w:eastAsia="Times New Roman" w:cs="Calibri"/>
          <w:lang w:val="en-US" w:eastAsia="mk-MK"/>
        </w:rPr>
      </w:pPr>
      <w:r w:rsidRPr="008C761D">
        <w:rPr>
          <w:rFonts w:eastAsia="Times New Roman" w:cs="Calibri"/>
          <w:lang w:val="en-US" w:eastAsia="mk-MK"/>
        </w:rPr>
        <w:t>In 2023, the global economy was still affected by the effects of the high inflation, as well as the Russian invasion of Ukraine,</w:t>
      </w:r>
      <w:r w:rsidR="00903D3F">
        <w:rPr>
          <w:rFonts w:eastAsia="Times New Roman" w:cs="Calibri"/>
          <w:lang w:val="en-US" w:eastAsia="mk-MK"/>
        </w:rPr>
        <w:t xml:space="preserve"> </w:t>
      </w:r>
      <w:r w:rsidRPr="008C761D">
        <w:rPr>
          <w:rFonts w:eastAsia="Times New Roman" w:cs="Calibri"/>
          <w:lang w:val="en-US" w:eastAsia="mk-MK"/>
        </w:rPr>
        <w:t>with slowed down economic activity and negative growth rates in the economies that are the main trading partners.</w:t>
      </w:r>
      <w:r w:rsidR="00903D3F">
        <w:rPr>
          <w:rFonts w:eastAsia="Times New Roman" w:cs="Calibri"/>
          <w:lang w:val="en-US" w:eastAsia="mk-MK"/>
        </w:rPr>
        <w:t xml:space="preserve"> </w:t>
      </w:r>
      <w:r w:rsidRPr="008C761D">
        <w:rPr>
          <w:rFonts w:eastAsia="Times New Roman" w:cs="Calibri"/>
          <w:lang w:val="en-US" w:eastAsia="mk-MK"/>
        </w:rPr>
        <w:t xml:space="preserve">In such conditions, the domestic economy proved to be resilient and recorded a positive growth rate of 1.2% in the first three quarters of 2023. This growth was achieved amid an increase of private consumption (2.1%) and a positive contribution of net exports, in conditions of a smaller fall in exports (-0.2%) compared to the fall in imports (-5.6%).  </w:t>
      </w:r>
    </w:p>
    <w:p w14:paraId="49122E5A" w14:textId="76541AEE" w:rsidR="00AB3E94" w:rsidRPr="00E351AA" w:rsidRDefault="00AB3E94" w:rsidP="00AB3E94">
      <w:pPr>
        <w:spacing w:before="80" w:after="80" w:line="240" w:lineRule="auto"/>
        <w:jc w:val="both"/>
        <w:rPr>
          <w:rFonts w:eastAsia="Times New Roman" w:cs="Calibri"/>
          <w:sz w:val="18"/>
          <w:szCs w:val="18"/>
          <w:lang w:val="en-US" w:eastAsia="mk-MK"/>
        </w:rPr>
      </w:pPr>
      <w:r w:rsidRPr="00E351AA">
        <w:rPr>
          <w:rFonts w:eastAsia="Times New Roman" w:cs="Calibri"/>
          <w:color w:val="202124"/>
          <w:sz w:val="18"/>
          <w:szCs w:val="18"/>
          <w:lang w:val="en-US" w:eastAsia="mk-MK"/>
        </w:rPr>
        <w:lastRenderedPageBreak/>
        <w:t>Chart 2. Expenditure</w:t>
      </w:r>
      <w:r w:rsidR="00AC73C6" w:rsidRPr="00E351AA">
        <w:rPr>
          <w:rFonts w:eastAsia="Times New Roman" w:cs="Calibri"/>
          <w:color w:val="202124"/>
          <w:sz w:val="18"/>
          <w:szCs w:val="18"/>
          <w:lang w:val="en-US" w:eastAsia="mk-MK"/>
        </w:rPr>
        <w:t xml:space="preserve"> </w:t>
      </w:r>
      <w:r w:rsidRPr="00E351AA">
        <w:rPr>
          <w:rFonts w:eastAsia="Times New Roman" w:cs="Calibri"/>
          <w:color w:val="202124"/>
          <w:sz w:val="18"/>
          <w:szCs w:val="18"/>
          <w:lang w:val="en-US" w:eastAsia="mk-MK"/>
        </w:rPr>
        <w:t>structure</w:t>
      </w:r>
      <w:r w:rsidR="00AC73C6" w:rsidRPr="00E351AA">
        <w:rPr>
          <w:rFonts w:eastAsia="Times New Roman" w:cs="Calibri"/>
          <w:color w:val="202124"/>
          <w:sz w:val="18"/>
          <w:szCs w:val="18"/>
          <w:lang w:val="en-US" w:eastAsia="mk-MK"/>
        </w:rPr>
        <w:t xml:space="preserve"> </w:t>
      </w:r>
      <w:r w:rsidRPr="00E351AA">
        <w:rPr>
          <w:rFonts w:eastAsia="Times New Roman" w:cs="Calibri"/>
          <w:color w:val="202124"/>
          <w:sz w:val="18"/>
          <w:szCs w:val="18"/>
          <w:lang w:val="en-US" w:eastAsia="mk-MK"/>
        </w:rPr>
        <w:t>of GDP (contribution</w:t>
      </w:r>
      <w:r w:rsidR="00AC73C6" w:rsidRPr="00E351AA">
        <w:rPr>
          <w:rFonts w:eastAsia="Times New Roman" w:cs="Calibri"/>
          <w:color w:val="202124"/>
          <w:sz w:val="18"/>
          <w:szCs w:val="18"/>
          <w:lang w:val="en-US" w:eastAsia="mk-MK"/>
        </w:rPr>
        <w:t xml:space="preserve"> </w:t>
      </w:r>
      <w:r w:rsidRPr="00E351AA">
        <w:rPr>
          <w:rFonts w:eastAsia="Times New Roman" w:cs="Calibri"/>
          <w:color w:val="202124"/>
          <w:sz w:val="18"/>
          <w:szCs w:val="18"/>
          <w:lang w:val="en-US" w:eastAsia="mk-MK"/>
        </w:rPr>
        <w:t>to</w:t>
      </w:r>
      <w:r w:rsidR="00AC73C6" w:rsidRPr="00E351AA">
        <w:rPr>
          <w:rFonts w:eastAsia="Times New Roman" w:cs="Calibri"/>
          <w:color w:val="202124"/>
          <w:sz w:val="18"/>
          <w:szCs w:val="18"/>
          <w:lang w:val="en-US" w:eastAsia="mk-MK"/>
        </w:rPr>
        <w:t xml:space="preserve"> </w:t>
      </w:r>
      <w:r w:rsidRPr="00E351AA">
        <w:rPr>
          <w:rFonts w:eastAsia="Times New Roman" w:cs="Calibri"/>
          <w:color w:val="202124"/>
          <w:sz w:val="18"/>
          <w:szCs w:val="18"/>
          <w:lang w:val="en-US" w:eastAsia="mk-MK"/>
        </w:rPr>
        <w:t>growth, p.p.)</w:t>
      </w:r>
    </w:p>
    <w:p w14:paraId="59891E71" w14:textId="77777777" w:rsidR="00AB3E94" w:rsidRPr="008C761D" w:rsidRDefault="0042620E" w:rsidP="00AB3E94">
      <w:pPr>
        <w:spacing w:before="80" w:after="80" w:line="240" w:lineRule="auto"/>
        <w:jc w:val="both"/>
        <w:rPr>
          <w:rFonts w:eastAsia="Times New Roman" w:cs="Calibri"/>
          <w:lang w:val="en-US" w:eastAsia="mk-MK"/>
        </w:rPr>
      </w:pPr>
      <w:r w:rsidRPr="008C761D">
        <w:rPr>
          <w:noProof/>
          <w:lang w:eastAsia="mk-MK"/>
        </w:rPr>
        <w:drawing>
          <wp:inline distT="0" distB="0" distL="0" distR="0" wp14:anchorId="2CB67619" wp14:editId="6D8B524B">
            <wp:extent cx="3593465" cy="2149475"/>
            <wp:effectExtent l="0" t="0" r="0" b="0"/>
            <wp:docPr id="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3465" cy="2149475"/>
                    </a:xfrm>
                    <a:prstGeom prst="rect">
                      <a:avLst/>
                    </a:prstGeom>
                    <a:noFill/>
                    <a:ln>
                      <a:noFill/>
                    </a:ln>
                  </pic:spPr>
                </pic:pic>
              </a:graphicData>
            </a:graphic>
          </wp:inline>
        </w:drawing>
      </w:r>
    </w:p>
    <w:p w14:paraId="5ACD927E" w14:textId="6FEFB73D" w:rsidR="00BD67CE" w:rsidRPr="008C761D" w:rsidRDefault="00BD67CE" w:rsidP="00BD67CE">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 xml:space="preserve">The positive movements on the labour market continue, with the unemployment dropping down to the lowest level of 12.8% in the third quarter of 2023, which is 0.3 p.p. lower compared to the previous quarter. However, due to methodology changes, these data are not </w:t>
      </w:r>
      <w:r w:rsidR="00903D3F" w:rsidRPr="008C761D">
        <w:rPr>
          <w:rFonts w:eastAsia="Times New Roman" w:cs="Calibri"/>
          <w:color w:val="202124"/>
          <w:lang w:val="en-US" w:eastAsia="mk-MK"/>
        </w:rPr>
        <w:t>comparable</w:t>
      </w:r>
      <w:r w:rsidRPr="008C761D">
        <w:rPr>
          <w:rFonts w:eastAsia="Times New Roman" w:cs="Calibri"/>
          <w:color w:val="202124"/>
          <w:lang w:val="en-US" w:eastAsia="mk-MK"/>
        </w:rPr>
        <w:t xml:space="preserve"> with the unemployment data before 2023. The average net wage in the period January – November 2023 increased by 16.2% </w:t>
      </w:r>
      <w:r w:rsidR="00903D3F" w:rsidRPr="008C761D">
        <w:rPr>
          <w:rFonts w:eastAsia="Times New Roman" w:cs="Calibri"/>
          <w:color w:val="202124"/>
          <w:lang w:val="en-US" w:eastAsia="mk-MK"/>
        </w:rPr>
        <w:t>annually</w:t>
      </w:r>
      <w:r w:rsidRPr="008C761D">
        <w:rPr>
          <w:rFonts w:eastAsia="Times New Roman" w:cs="Calibri"/>
          <w:color w:val="202124"/>
          <w:lang w:val="en-US" w:eastAsia="mk-MK"/>
        </w:rPr>
        <w:t xml:space="preserve"> on a nominal basis, while the real growth is also very strong and amounts to 12.7%. </w:t>
      </w:r>
    </w:p>
    <w:p w14:paraId="1B79D9B2" w14:textId="50F8C7F8" w:rsidR="00BD67CE" w:rsidRPr="008C761D" w:rsidRDefault="00BD67CE" w:rsidP="00BD67CE">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In October 2021, the Government of the Republic of North Macedonia adopted the Plan for accelerated economic growth 2022 – 2026, which is a general framework that takes in</w:t>
      </w:r>
      <w:r w:rsidR="00E351AA">
        <w:rPr>
          <w:rFonts w:eastAsia="Times New Roman" w:cs="Calibri"/>
          <w:color w:val="202124"/>
          <w:lang w:val="en-US" w:eastAsia="mk-MK"/>
        </w:rPr>
        <w:t xml:space="preserve"> </w:t>
      </w:r>
      <w:r w:rsidRPr="008C761D">
        <w:rPr>
          <w:rFonts w:eastAsia="Times New Roman" w:cs="Calibri"/>
          <w:color w:val="202124"/>
          <w:lang w:val="en-US" w:eastAsia="mk-MK"/>
        </w:rPr>
        <w:t>to account all components which can contribute to enhancing mid-term growth potential. It aims to finance the recovery of the economy affected by the COVID-19 pandemic and to support accelerated and sustainable growth by maintaining fiscal stability through mobilisation of capital from the private sector to complement the budget funds and crediting.</w:t>
      </w:r>
    </w:p>
    <w:p w14:paraId="2CA1470D" w14:textId="77777777" w:rsidR="00BD67CE" w:rsidRPr="008C761D" w:rsidRDefault="00BD67CE" w:rsidP="00BD67CE">
      <w:pPr>
        <w:spacing w:before="80" w:after="80" w:line="240" w:lineRule="auto"/>
        <w:jc w:val="both"/>
        <w:rPr>
          <w:rFonts w:eastAsia="Times New Roman" w:cs="Calibri"/>
          <w:color w:val="202124"/>
          <w:lang w:val="en-US" w:eastAsia="mk-MK"/>
        </w:rPr>
      </w:pPr>
      <w:r w:rsidRPr="008C761D">
        <w:rPr>
          <w:rFonts w:eastAsia="Times New Roman" w:cs="Calibri"/>
          <w:color w:val="202124"/>
          <w:lang w:val="en-US" w:eastAsia="mk-MK"/>
        </w:rPr>
        <w:t xml:space="preserve">The Plan for </w:t>
      </w:r>
      <w:proofErr w:type="gramStart"/>
      <w:r w:rsidRPr="008C761D">
        <w:rPr>
          <w:rFonts w:eastAsia="Times New Roman" w:cs="Calibri"/>
          <w:color w:val="202124"/>
          <w:lang w:val="en-US" w:eastAsia="mk-MK"/>
        </w:rPr>
        <w:t>accelerated  economic</w:t>
      </w:r>
      <w:proofErr w:type="gramEnd"/>
      <w:r w:rsidRPr="008C761D">
        <w:rPr>
          <w:rFonts w:eastAsia="Times New Roman" w:cs="Calibri"/>
          <w:color w:val="202124"/>
          <w:lang w:val="en-US" w:eastAsia="mk-MK"/>
        </w:rPr>
        <w:t xml:space="preserve"> growth 2022 – 2026 is tied with the Strategy for economic recovery and accelerated growth and it relies on four pillars: (i) economic recovery from the COVID-19 recession, (ii) accelerated, inclusive and sustainable economic growth, (iii) enhancing competitiveness of the private sector and (iv) development of human resources and equal opportunities. Through these pillars, it will secure macroeconomic stability and financial sustainability, economic recovery and accelerated economic growth. </w:t>
      </w:r>
    </w:p>
    <w:p w14:paraId="422F78D7" w14:textId="77777777" w:rsidR="00BD67CE" w:rsidRPr="008C761D" w:rsidRDefault="00BD67CE" w:rsidP="00BD67CE">
      <w:pPr>
        <w:spacing w:before="80" w:after="80" w:line="240" w:lineRule="auto"/>
        <w:jc w:val="both"/>
        <w:rPr>
          <w:rFonts w:eastAsia="Times New Roman" w:cs="Calibri"/>
          <w:lang w:val="en-US" w:eastAsia="mk-MK"/>
        </w:rPr>
      </w:pPr>
      <w:r w:rsidRPr="008C761D">
        <w:rPr>
          <w:rFonts w:eastAsia="Times New Roman" w:cs="Calibri"/>
          <w:color w:val="202124"/>
          <w:lang w:val="en-US" w:eastAsia="mk-MK"/>
        </w:rPr>
        <w:t>The Plan will play a decisive role for North Macedonia’s economic growth and the creation of new jobs and its ultimate goals are:</w:t>
      </w:r>
    </w:p>
    <w:p w14:paraId="323BB602" w14:textId="77777777" w:rsidR="00BD67CE" w:rsidRPr="008C761D" w:rsidRDefault="00BD67CE" w:rsidP="003A338C">
      <w:pPr>
        <w:numPr>
          <w:ilvl w:val="0"/>
          <w:numId w:val="98"/>
        </w:numPr>
        <w:spacing w:before="80" w:after="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increasing investment – more efficient use of public investment worth 4 billion euros in the next five years by mobilising additional funds from the private sector;</w:t>
      </w:r>
    </w:p>
    <w:p w14:paraId="37C245C4" w14:textId="77777777" w:rsidR="00BD67CE" w:rsidRPr="008C761D" w:rsidRDefault="00BD67CE" w:rsidP="003A338C">
      <w:pPr>
        <w:numPr>
          <w:ilvl w:val="0"/>
          <w:numId w:val="98"/>
        </w:numPr>
        <w:spacing w:after="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accelerating growth – increasing the rates of the mid-term economic growth to 5% annually; and</w:t>
      </w:r>
    </w:p>
    <w:p w14:paraId="32FB3E48" w14:textId="77777777" w:rsidR="00BD67CE" w:rsidRPr="008C761D" w:rsidRDefault="00BD67CE" w:rsidP="003A338C">
      <w:pPr>
        <w:numPr>
          <w:ilvl w:val="0"/>
          <w:numId w:val="98"/>
        </w:numPr>
        <w:spacing w:after="8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securing fiscal consolidation through reduction of the public debt below 60% of GDP in the mid-term.</w:t>
      </w:r>
    </w:p>
    <w:p w14:paraId="17C368AC" w14:textId="77777777" w:rsidR="00AB3E94" w:rsidRPr="008C761D" w:rsidRDefault="00AB3E94" w:rsidP="00AB3E94">
      <w:pPr>
        <w:spacing w:after="80" w:line="240" w:lineRule="auto"/>
        <w:jc w:val="both"/>
        <w:textAlignment w:val="baseline"/>
        <w:rPr>
          <w:rStyle w:val="rynqvb"/>
          <w:lang w:val="en-US"/>
        </w:rPr>
      </w:pPr>
      <w:r w:rsidRPr="008C761D">
        <w:rPr>
          <w:rFonts w:eastAsia="Times New Roman" w:cs="Calibri"/>
          <w:color w:val="202124"/>
          <w:lang w:val="en-US" w:eastAsia="mk-MK"/>
        </w:rPr>
        <w:t xml:space="preserve">The </w:t>
      </w:r>
      <w:r w:rsidRPr="008C761D">
        <w:rPr>
          <w:rStyle w:val="rynqvb"/>
          <w:lang w:val="en-US"/>
        </w:rPr>
        <w:t xml:space="preserve">Plan for fiscal sustainability and support of economic growth contains specific measures and recommendations that will optimize costs, with savings being made by budget users and public enterprises. The Plan will help to decrease the budget deficit and debt, achieving fiscal consolidation. Measures in the Plan are mainly divided into 3 groups: </w:t>
      </w:r>
    </w:p>
    <w:p w14:paraId="3E935FEF" w14:textId="1BDCADA3" w:rsidR="00AB3E94" w:rsidRPr="008C761D" w:rsidRDefault="00AB3E94" w:rsidP="003A338C">
      <w:pPr>
        <w:numPr>
          <w:ilvl w:val="0"/>
          <w:numId w:val="98"/>
        </w:numPr>
        <w:spacing w:before="80" w:after="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measures</w:t>
      </w:r>
      <w:r w:rsidR="00903D3F">
        <w:rPr>
          <w:rFonts w:eastAsia="Times New Roman" w:cs="Calibri"/>
          <w:color w:val="202124"/>
          <w:lang w:val="en-US" w:eastAsia="mk-MK"/>
        </w:rPr>
        <w:t xml:space="preserve"> </w:t>
      </w:r>
      <w:r w:rsidRPr="008C761D">
        <w:rPr>
          <w:rFonts w:eastAsia="Times New Roman" w:cs="Calibri"/>
          <w:color w:val="202124"/>
          <w:lang w:val="en-US" w:eastAsia="mk-MK"/>
        </w:rPr>
        <w:t>that</w:t>
      </w:r>
      <w:r w:rsidR="00903D3F">
        <w:rPr>
          <w:rFonts w:eastAsia="Times New Roman" w:cs="Calibri"/>
          <w:color w:val="202124"/>
          <w:lang w:val="en-US" w:eastAsia="mk-MK"/>
        </w:rPr>
        <w:t xml:space="preserve"> </w:t>
      </w:r>
      <w:r w:rsidRPr="008C761D">
        <w:rPr>
          <w:rFonts w:eastAsia="Times New Roman" w:cs="Calibri"/>
          <w:color w:val="202124"/>
          <w:lang w:val="en-US" w:eastAsia="mk-MK"/>
        </w:rPr>
        <w:t>will</w:t>
      </w:r>
      <w:r w:rsidR="00903D3F">
        <w:rPr>
          <w:rFonts w:eastAsia="Times New Roman" w:cs="Calibri"/>
          <w:color w:val="202124"/>
          <w:lang w:val="en-US" w:eastAsia="mk-MK"/>
        </w:rPr>
        <w:t xml:space="preserve"> </w:t>
      </w:r>
      <w:r w:rsidRPr="008C761D">
        <w:rPr>
          <w:rFonts w:eastAsia="Times New Roman" w:cs="Calibri"/>
          <w:color w:val="202124"/>
          <w:lang w:val="en-US" w:eastAsia="mk-MK"/>
        </w:rPr>
        <w:t>reduce the expenditures,</w:t>
      </w:r>
    </w:p>
    <w:p w14:paraId="36D4184F" w14:textId="77777777" w:rsidR="00AB3E94" w:rsidRPr="008C761D" w:rsidRDefault="00AB3E94" w:rsidP="003A338C">
      <w:pPr>
        <w:numPr>
          <w:ilvl w:val="0"/>
          <w:numId w:val="98"/>
        </w:numPr>
        <w:spacing w:before="80" w:after="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measures for improved revenue collection, and</w:t>
      </w:r>
    </w:p>
    <w:p w14:paraId="01B5694B" w14:textId="77777777" w:rsidR="00AB3E94" w:rsidRPr="008C761D" w:rsidRDefault="00AB3E94" w:rsidP="003A338C">
      <w:pPr>
        <w:numPr>
          <w:ilvl w:val="0"/>
          <w:numId w:val="98"/>
        </w:numPr>
        <w:spacing w:before="80" w:after="0" w:line="240" w:lineRule="auto"/>
        <w:jc w:val="both"/>
        <w:textAlignment w:val="baseline"/>
        <w:rPr>
          <w:rFonts w:eastAsia="Times New Roman" w:cs="Calibri"/>
          <w:color w:val="202124"/>
          <w:lang w:val="en-US" w:eastAsia="mk-MK"/>
        </w:rPr>
      </w:pPr>
      <w:r w:rsidRPr="008C761D">
        <w:rPr>
          <w:rFonts w:eastAsia="Times New Roman" w:cs="Calibri"/>
          <w:color w:val="202124"/>
          <w:lang w:val="en-US" w:eastAsia="mk-MK"/>
        </w:rPr>
        <w:t>measures and recommendations for public enterprises to the end of optimization of expenditures.</w:t>
      </w:r>
    </w:p>
    <w:p w14:paraId="51FF401D" w14:textId="77777777" w:rsidR="00311881" w:rsidRPr="008C761D" w:rsidRDefault="00311881" w:rsidP="00311881">
      <w:pPr>
        <w:spacing w:before="120" w:after="0" w:line="240" w:lineRule="auto"/>
        <w:jc w:val="both"/>
        <w:rPr>
          <w:rFonts w:eastAsia="Times New Roman" w:cs="Calibri"/>
          <w:lang w:val="en-US" w:eastAsia="mk-MK"/>
        </w:rPr>
      </w:pPr>
      <w:r w:rsidRPr="008C761D">
        <w:rPr>
          <w:rFonts w:eastAsia="Times New Roman" w:cs="Calibri"/>
          <w:color w:val="202124"/>
          <w:lang w:val="en-US" w:eastAsia="mk-MK"/>
        </w:rPr>
        <w:lastRenderedPageBreak/>
        <w:t>After the slowdown in economic growth in recent years, economic activity in 2024 is expected to pick up to 3.4%. The growth is expected to be supported by the domestic demand, while net-exports are expected to have negative contribution, amid slower export growth compared to import growth.</w:t>
      </w:r>
    </w:p>
    <w:p w14:paraId="484B74EC" w14:textId="77777777" w:rsidR="00311881" w:rsidRPr="008C761D" w:rsidRDefault="00311881" w:rsidP="00311881">
      <w:pPr>
        <w:spacing w:before="120" w:after="0" w:line="240" w:lineRule="auto"/>
        <w:jc w:val="both"/>
        <w:rPr>
          <w:rFonts w:eastAsia="Times New Roman" w:cs="Calibri"/>
          <w:lang w:val="en-US" w:eastAsia="mk-MK"/>
        </w:rPr>
      </w:pPr>
      <w:r w:rsidRPr="008C761D">
        <w:rPr>
          <w:rFonts w:eastAsia="Times New Roman" w:cs="Calibri"/>
          <w:color w:val="202124"/>
          <w:lang w:val="en-US" w:eastAsia="mk-MK"/>
        </w:rPr>
        <w:t>Economic policies and measures included in the Plan for fiscal sustainability and support to economic growth, the Plan for public investment and the Plan for accelerated economic growth as a general framework are a firm basis for increasing the growth potential and achieving higher growth rates in the mid-term, i.e. doubling the economic growth. The average growth of the economic activity in the period 2024 – 2028 is expected to reach 5.1%.</w:t>
      </w:r>
    </w:p>
    <w:p w14:paraId="5B1D4F53" w14:textId="77777777" w:rsidR="0042620E" w:rsidRPr="008C761D" w:rsidRDefault="0042620E" w:rsidP="0042620E">
      <w:pPr>
        <w:spacing w:after="0" w:line="240" w:lineRule="auto"/>
        <w:jc w:val="both"/>
        <w:rPr>
          <w:rFonts w:cs="Calibri"/>
          <w:b/>
          <w:color w:val="2E74B5"/>
          <w:sz w:val="16"/>
          <w:szCs w:val="16"/>
          <w:lang w:val="en-US" w:eastAsia="zh-CN"/>
        </w:rPr>
      </w:pPr>
    </w:p>
    <w:p w14:paraId="0E790F5A" w14:textId="77777777" w:rsidR="0042620E" w:rsidRPr="008C761D" w:rsidRDefault="0042620E" w:rsidP="0042620E">
      <w:pPr>
        <w:spacing w:after="0" w:line="240" w:lineRule="auto"/>
        <w:jc w:val="both"/>
        <w:rPr>
          <w:rFonts w:cs="Calibri"/>
          <w:b/>
          <w:color w:val="2E74B5"/>
          <w:sz w:val="28"/>
          <w:szCs w:val="28"/>
          <w:lang w:val="en-US" w:eastAsia="zh-CN"/>
        </w:rPr>
      </w:pPr>
      <w:r w:rsidRPr="008C761D">
        <w:rPr>
          <w:rFonts w:cs="Calibri"/>
          <w:b/>
          <w:color w:val="2E74B5"/>
          <w:sz w:val="28"/>
          <w:szCs w:val="28"/>
          <w:lang w:val="en-US" w:eastAsia="zh-CN"/>
        </w:rPr>
        <w:t>The fiscal context</w:t>
      </w:r>
    </w:p>
    <w:p w14:paraId="554EAE42" w14:textId="77777777" w:rsidR="00086725" w:rsidRPr="00E351AA" w:rsidRDefault="00086725" w:rsidP="00086725">
      <w:pPr>
        <w:spacing w:before="120" w:after="0" w:line="240" w:lineRule="auto"/>
        <w:jc w:val="both"/>
        <w:rPr>
          <w:rFonts w:eastAsia="MS PGothic" w:cs="Calibri"/>
          <w:b/>
          <w:color w:val="2E74B5"/>
          <w:lang w:val="en-US" w:eastAsia="zh-CN"/>
        </w:rPr>
      </w:pPr>
      <w:r w:rsidRPr="00E351AA">
        <w:rPr>
          <w:rFonts w:eastAsia="MS PGothic" w:cs="Calibri"/>
          <w:b/>
          <w:color w:val="2E74B5"/>
          <w:lang w:val="en-US" w:eastAsia="zh-CN"/>
        </w:rPr>
        <w:t>Budget implementation in 2023</w:t>
      </w:r>
    </w:p>
    <w:p w14:paraId="46800D84" w14:textId="77777777" w:rsidR="00086725" w:rsidRPr="008C761D" w:rsidRDefault="00086725" w:rsidP="00086725">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In 2023, total revenues of the Budget of the Republic of North Macedonia</w:t>
      </w:r>
      <w:r w:rsidRPr="008C761D">
        <w:rPr>
          <w:rFonts w:eastAsia="MS PGothic" w:cs="Calibri"/>
          <w:color w:val="202124"/>
          <w:vertAlign w:val="superscript"/>
          <w:lang w:val="en-US" w:eastAsia="zh-CN"/>
        </w:rPr>
        <w:footnoteReference w:id="1"/>
      </w:r>
      <w:r w:rsidRPr="008C761D">
        <w:rPr>
          <w:rFonts w:eastAsia="MS PGothic" w:cs="Calibri"/>
          <w:color w:val="202124"/>
          <w:lang w:val="en-US" w:eastAsia="zh-CN"/>
        </w:rPr>
        <w:t xml:space="preserve"> were collected in the amount of Denar 277.144 billion or approximately 98.3% of the 2023 Budget, i.e. they were higher by 14% compared to the collected ones in the last year. Denar 250.355 billion out of this amount was tax revenues, being higher by 13.7% compared to last year. All types of tax revenues experienced growth compared to the last year. Revenues on the basis of social contributions were collected in the amount of Denar 92.6 billion, being higher by 19.3% than last year. </w:t>
      </w:r>
    </w:p>
    <w:p w14:paraId="39935E3D" w14:textId="77777777" w:rsidR="00086725" w:rsidRPr="008C761D" w:rsidRDefault="00086725" w:rsidP="00086725">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In 2023, total expenditures of the Budget of Republic of North Macedonia were executed in the amount of Denar 318.566 billion, or around 98.08% of the 2023 Budget, i.e. execution was higher by 14.4% in relation to the last year.</w:t>
      </w:r>
    </w:p>
    <w:p w14:paraId="65932978" w14:textId="77777777" w:rsidR="00086725" w:rsidRPr="008C761D" w:rsidRDefault="00086725" w:rsidP="00086725">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 xml:space="preserve">Within these frameworks, current expenditures amounted to Denar 275.042 billion or 98.3% of the projections, i.e. by 10.01% more compared to 2022. </w:t>
      </w:r>
    </w:p>
    <w:p w14:paraId="59AABC3B" w14:textId="77777777" w:rsidR="00086725" w:rsidRPr="008C761D" w:rsidRDefault="00086725" w:rsidP="00C63C13">
      <w:pPr>
        <w:spacing w:after="0" w:line="240" w:lineRule="auto"/>
        <w:jc w:val="both"/>
        <w:rPr>
          <w:rFonts w:eastAsia="MS PGothic" w:cs="Calibri"/>
          <w:color w:val="202124"/>
          <w:lang w:val="en-US" w:eastAsia="zh-CN"/>
        </w:rPr>
      </w:pPr>
      <w:r w:rsidRPr="008C761D">
        <w:rPr>
          <w:rFonts w:eastAsia="MS PGothic" w:cs="Calibri"/>
          <w:color w:val="202124"/>
          <w:lang w:val="en-US" w:eastAsia="zh-CN"/>
        </w:rPr>
        <w:t>In 2023, capital expenditures were executed in the amount of Denar 45.5 billion (96,8%), being higher by 52.0% compared to the last year. Under the Annual Law on 2023 Budget Execution, new mechanism was put into place, being aimed at executing the capital expenditures, by which budget users are obliged to execute 15% of capital expenditures as of the first quarter inclusive, 40% of capital expenditures as of the second quarter inclusive and 65% of the capital expenditures as of the third quarter inclusive. Thus, the budget users are encouraged to execute the capital expenditures as projected. Additionally, for the account of the budget users having underperformed, their resources can be reallocated to budget users showing good performance as regards the capital expenditures.</w:t>
      </w:r>
    </w:p>
    <w:p w14:paraId="3BFFB068" w14:textId="77777777" w:rsidR="00C63C13" w:rsidRPr="008C761D" w:rsidRDefault="00086725" w:rsidP="00C63C13">
      <w:pPr>
        <w:spacing w:after="0" w:line="240" w:lineRule="auto"/>
        <w:jc w:val="both"/>
        <w:rPr>
          <w:rFonts w:eastAsia="MS PGothic" w:cs="Calibri"/>
          <w:color w:val="202124"/>
          <w:lang w:val="en-US" w:eastAsia="zh-CN"/>
        </w:rPr>
      </w:pPr>
      <w:r w:rsidRPr="008C761D">
        <w:rPr>
          <w:rFonts w:eastAsia="MS PGothic" w:cs="Calibri"/>
          <w:color w:val="202124"/>
          <w:lang w:val="en-US" w:eastAsia="zh-CN"/>
        </w:rPr>
        <w:t>During this period, the State Budget deficit amounted to Denar 41.422 billion or 4.67% compared to the GDP projected in 2023, while the primary budget deficit accounted for 3.21%.</w:t>
      </w:r>
    </w:p>
    <w:p w14:paraId="62EFCE66" w14:textId="2B799749" w:rsidR="00C11C29" w:rsidRPr="008C761D" w:rsidRDefault="00C11C29" w:rsidP="00C63C13">
      <w:pPr>
        <w:spacing w:after="0" w:line="240" w:lineRule="auto"/>
        <w:jc w:val="both"/>
        <w:rPr>
          <w:rFonts w:eastAsia="MS PGothic" w:cs="Calibri"/>
          <w:color w:val="202124"/>
          <w:lang w:val="en-US" w:eastAsia="zh-CN"/>
        </w:rPr>
      </w:pPr>
      <w:r w:rsidRPr="008C761D">
        <w:rPr>
          <w:rFonts w:eastAsia="Arial Narrow" w:cs="Calibri"/>
          <w:lang w:val="en-US" w:eastAsia="mk-MK"/>
        </w:rPr>
        <w:t>On30December 2023, general</w:t>
      </w:r>
      <w:r w:rsidR="00903D3F">
        <w:rPr>
          <w:rFonts w:eastAsia="Arial Narrow" w:cs="Calibri"/>
          <w:lang w:val="en-US" w:eastAsia="mk-MK"/>
        </w:rPr>
        <w:t xml:space="preserve"> </w:t>
      </w:r>
      <w:r w:rsidRPr="008C761D">
        <w:rPr>
          <w:rFonts w:eastAsia="Arial Narrow" w:cs="Calibri"/>
          <w:lang w:val="en-US" w:eastAsia="mk-MK"/>
        </w:rPr>
        <w:t>government</w:t>
      </w:r>
      <w:r w:rsidR="00903D3F">
        <w:rPr>
          <w:rFonts w:eastAsia="Arial Narrow" w:cs="Calibri"/>
          <w:lang w:val="en-US" w:eastAsia="mk-MK"/>
        </w:rPr>
        <w:t xml:space="preserve"> </w:t>
      </w:r>
      <w:r w:rsidRPr="008C761D">
        <w:rPr>
          <w:rFonts w:eastAsia="Arial Narrow" w:cs="Calibri"/>
          <w:lang w:val="en-US" w:eastAsia="mk-MK"/>
        </w:rPr>
        <w:t>debt</w:t>
      </w:r>
      <w:r w:rsidR="00903D3F">
        <w:rPr>
          <w:rFonts w:eastAsia="Arial Narrow" w:cs="Calibri"/>
          <w:lang w:val="en-US" w:eastAsia="mk-MK"/>
        </w:rPr>
        <w:t xml:space="preserve"> </w:t>
      </w:r>
      <w:r w:rsidRPr="008C761D">
        <w:rPr>
          <w:rFonts w:eastAsia="Arial Narrow" w:cs="Calibri"/>
          <w:lang w:val="en-US" w:eastAsia="mk-MK"/>
        </w:rPr>
        <w:t>of</w:t>
      </w:r>
      <w:r w:rsidR="00903D3F">
        <w:rPr>
          <w:rFonts w:eastAsia="Arial Narrow" w:cs="Calibri"/>
          <w:lang w:val="en-US" w:eastAsia="mk-MK"/>
        </w:rPr>
        <w:t xml:space="preserve"> </w:t>
      </w:r>
      <w:r w:rsidRPr="008C761D">
        <w:rPr>
          <w:rFonts w:eastAsia="Arial Narrow" w:cs="Calibri"/>
          <w:lang w:val="en-US" w:eastAsia="mk-MK"/>
        </w:rPr>
        <w:t>the</w:t>
      </w:r>
      <w:r w:rsidR="00903D3F">
        <w:rPr>
          <w:rFonts w:eastAsia="Arial Narrow" w:cs="Calibri"/>
          <w:lang w:val="en-US" w:eastAsia="mk-MK"/>
        </w:rPr>
        <w:t xml:space="preserve"> </w:t>
      </w:r>
      <w:r w:rsidRPr="008C761D">
        <w:rPr>
          <w:rFonts w:eastAsia="Arial Narrow" w:cs="Calibri"/>
          <w:lang w:val="en-US" w:eastAsia="mk-MK"/>
        </w:rPr>
        <w:t>Republic</w:t>
      </w:r>
      <w:r w:rsidR="00903D3F">
        <w:rPr>
          <w:rFonts w:eastAsia="Arial Narrow" w:cs="Calibri"/>
          <w:lang w:val="en-US" w:eastAsia="mk-MK"/>
        </w:rPr>
        <w:t xml:space="preserve"> </w:t>
      </w:r>
      <w:r w:rsidRPr="008C761D">
        <w:rPr>
          <w:rFonts w:eastAsia="Arial Narrow" w:cs="Calibri"/>
          <w:lang w:val="en-US" w:eastAsia="mk-MK"/>
        </w:rPr>
        <w:t>of</w:t>
      </w:r>
      <w:r w:rsidR="00903D3F">
        <w:rPr>
          <w:rFonts w:eastAsia="Arial Narrow" w:cs="Calibri"/>
          <w:lang w:val="en-US" w:eastAsia="mk-MK"/>
        </w:rPr>
        <w:t xml:space="preserve"> </w:t>
      </w:r>
      <w:r w:rsidRPr="008C761D">
        <w:rPr>
          <w:rFonts w:eastAsia="Arial Narrow" w:cs="Calibri"/>
          <w:lang w:val="en-US" w:eastAsia="mk-MK"/>
        </w:rPr>
        <w:t>North</w:t>
      </w:r>
      <w:r w:rsidR="00903D3F">
        <w:rPr>
          <w:rFonts w:eastAsia="Arial Narrow" w:cs="Calibri"/>
          <w:lang w:val="en-US" w:eastAsia="mk-MK"/>
        </w:rPr>
        <w:t xml:space="preserve"> </w:t>
      </w:r>
      <w:r w:rsidRPr="008C761D">
        <w:rPr>
          <w:rFonts w:eastAsia="Arial Narrow" w:cs="Calibri"/>
          <w:lang w:val="en-US" w:eastAsia="mk-MK"/>
        </w:rPr>
        <w:t>Macedonia</w:t>
      </w:r>
      <w:r w:rsidR="00903D3F">
        <w:rPr>
          <w:rFonts w:eastAsia="Arial Narrow" w:cs="Calibri"/>
          <w:lang w:val="en-US" w:eastAsia="mk-MK"/>
        </w:rPr>
        <w:t xml:space="preserve"> </w:t>
      </w:r>
      <w:r w:rsidRPr="008C761D">
        <w:rPr>
          <w:rFonts w:eastAsia="Arial Narrow" w:cs="Calibri"/>
          <w:lang w:val="en-US" w:eastAsia="mk-MK"/>
        </w:rPr>
        <w:t>amounted</w:t>
      </w:r>
      <w:r w:rsidR="00903D3F">
        <w:rPr>
          <w:rFonts w:eastAsia="Arial Narrow" w:cs="Calibri"/>
          <w:lang w:val="en-US" w:eastAsia="mk-MK"/>
        </w:rPr>
        <w:t xml:space="preserve"> </w:t>
      </w:r>
      <w:r w:rsidRPr="008C761D">
        <w:rPr>
          <w:rFonts w:eastAsia="Arial Narrow" w:cs="Calibri"/>
          <w:lang w:val="en-US" w:eastAsia="mk-MK"/>
        </w:rPr>
        <w:t>to EUR 7,256.2million, i.e. 50.0% of GDP, while</w:t>
      </w:r>
      <w:r w:rsidR="00903D3F">
        <w:rPr>
          <w:rFonts w:eastAsia="Arial Narrow" w:cs="Calibri"/>
          <w:lang w:val="en-US" w:eastAsia="mk-MK"/>
        </w:rPr>
        <w:t xml:space="preserve"> </w:t>
      </w:r>
      <w:r w:rsidRPr="008C761D">
        <w:rPr>
          <w:rFonts w:eastAsia="Arial Narrow" w:cs="Calibri"/>
          <w:lang w:val="en-US" w:eastAsia="mk-MK"/>
        </w:rPr>
        <w:t>public</w:t>
      </w:r>
      <w:r w:rsidR="00903D3F">
        <w:rPr>
          <w:rFonts w:eastAsia="Arial Narrow" w:cs="Calibri"/>
          <w:lang w:val="en-US" w:eastAsia="mk-MK"/>
        </w:rPr>
        <w:t xml:space="preserve"> </w:t>
      </w:r>
      <w:r w:rsidRPr="008C761D">
        <w:rPr>
          <w:rFonts w:eastAsia="Arial Narrow" w:cs="Calibri"/>
          <w:lang w:val="en-US" w:eastAsia="mk-MK"/>
        </w:rPr>
        <w:t>debt, on</w:t>
      </w:r>
      <w:r w:rsidR="00903D3F">
        <w:rPr>
          <w:rFonts w:eastAsia="Arial Narrow" w:cs="Calibri"/>
          <w:lang w:val="en-US" w:eastAsia="mk-MK"/>
        </w:rPr>
        <w:t xml:space="preserve"> </w:t>
      </w:r>
      <w:r w:rsidRPr="008C761D">
        <w:rPr>
          <w:rFonts w:eastAsia="Arial Narrow" w:cs="Calibri"/>
          <w:lang w:val="en-US" w:eastAsia="mk-MK"/>
        </w:rPr>
        <w:t>30</w:t>
      </w:r>
      <w:r w:rsidR="00903D3F">
        <w:rPr>
          <w:rFonts w:eastAsia="Arial Narrow" w:cs="Calibri"/>
          <w:lang w:val="en-US" w:eastAsia="mk-MK"/>
        </w:rPr>
        <w:t xml:space="preserve"> </w:t>
      </w:r>
      <w:r w:rsidRPr="008C761D">
        <w:rPr>
          <w:rFonts w:eastAsia="Arial Narrow" w:cs="Calibri"/>
          <w:lang w:val="en-US" w:eastAsia="mk-MK"/>
        </w:rPr>
        <w:t>December</w:t>
      </w:r>
      <w:r w:rsidR="00903D3F">
        <w:rPr>
          <w:rFonts w:eastAsia="Arial Narrow" w:cs="Calibri"/>
          <w:lang w:val="en-US" w:eastAsia="mk-MK"/>
        </w:rPr>
        <w:t xml:space="preserve"> </w:t>
      </w:r>
      <w:r w:rsidRPr="008C761D">
        <w:rPr>
          <w:rFonts w:eastAsia="Arial Narrow" w:cs="Calibri"/>
          <w:lang w:val="en-US" w:eastAsia="mk-MK"/>
        </w:rPr>
        <w:t>2023, amounted</w:t>
      </w:r>
      <w:r w:rsidR="00903D3F">
        <w:rPr>
          <w:rFonts w:eastAsia="Arial Narrow" w:cs="Calibri"/>
          <w:lang w:val="en-US" w:eastAsia="mk-MK"/>
        </w:rPr>
        <w:t xml:space="preserve"> </w:t>
      </w:r>
      <w:r w:rsidRPr="008C761D">
        <w:rPr>
          <w:rFonts w:eastAsia="Arial Narrow" w:cs="Calibri"/>
          <w:lang w:val="en-US" w:eastAsia="mk-MK"/>
        </w:rPr>
        <w:t xml:space="preserve">to EUR 8,476.8million, i.e. 58.4% of GDP.  </w:t>
      </w:r>
    </w:p>
    <w:p w14:paraId="24CE1CA3" w14:textId="77777777" w:rsidR="00086725" w:rsidRPr="008C761D" w:rsidRDefault="00086725" w:rsidP="00086725">
      <w:pPr>
        <w:spacing w:before="240" w:after="120" w:line="240" w:lineRule="auto"/>
        <w:jc w:val="both"/>
        <w:rPr>
          <w:rFonts w:eastAsia="Arial Narrow" w:cs="Calibri"/>
          <w:lang w:val="en-US" w:eastAsia="mk-MK"/>
        </w:rPr>
      </w:pPr>
      <w:r w:rsidRPr="008C761D">
        <w:rPr>
          <w:rFonts w:eastAsia="Arial Narrow" w:cs="Calibri"/>
          <w:lang w:val="en-US" w:eastAsia="mk-MK"/>
        </w:rPr>
        <w:t>On 31</w:t>
      </w:r>
      <w:r w:rsidRPr="008C761D">
        <w:rPr>
          <w:rFonts w:eastAsia="Arial Narrow" w:cs="Calibri"/>
          <w:vertAlign w:val="superscript"/>
          <w:lang w:val="en-US" w:eastAsia="mk-MK"/>
        </w:rPr>
        <w:t>st</w:t>
      </w:r>
      <w:r w:rsidRPr="008C761D">
        <w:rPr>
          <w:rFonts w:eastAsia="Arial Narrow" w:cs="Calibri"/>
          <w:lang w:val="en-US" w:eastAsia="mk-MK"/>
        </w:rPr>
        <w:t xml:space="preserve"> December 2023, general government debt of the Republic of North Macedonia amounted to EUR 6,080.2 million, i.e. 51.9% of GDP, while public debt, on 31</w:t>
      </w:r>
      <w:r w:rsidRPr="008C761D">
        <w:rPr>
          <w:rFonts w:eastAsia="Arial Narrow" w:cs="Calibri"/>
          <w:vertAlign w:val="superscript"/>
          <w:lang w:val="en-US" w:eastAsia="mk-MK"/>
        </w:rPr>
        <w:t>st</w:t>
      </w:r>
      <w:r w:rsidRPr="008C761D">
        <w:rPr>
          <w:rFonts w:eastAsia="Arial Narrow" w:cs="Calibri"/>
          <w:lang w:val="en-US" w:eastAsia="mk-MK"/>
        </w:rPr>
        <w:t xml:space="preserve"> December2021, amounted to EUR 7,135.3 million, i.e. 60.9% of GDP.</w:t>
      </w:r>
    </w:p>
    <w:p w14:paraId="7E9670CA" w14:textId="44C63BE7" w:rsidR="003C20E4" w:rsidRDefault="00CF2B56" w:rsidP="00CE2DF4">
      <w:pPr>
        <w:spacing w:after="0" w:line="240" w:lineRule="auto"/>
        <w:jc w:val="both"/>
        <w:rPr>
          <w:rFonts w:eastAsia="MS PGothic" w:cs="Calibri"/>
          <w:b/>
          <w:color w:val="2E74B5"/>
          <w:lang w:val="en-US" w:eastAsia="zh-CN"/>
        </w:rPr>
      </w:pPr>
      <w:bookmarkStart w:id="6" w:name="_Toc94534670"/>
      <w:bookmarkStart w:id="7" w:name="_Toc94534673"/>
      <w:bookmarkEnd w:id="5"/>
      <w:r w:rsidRPr="00E351AA">
        <w:rPr>
          <w:rFonts w:eastAsia="MS PGothic" w:cs="Calibri"/>
          <w:b/>
          <w:color w:val="2E74B5"/>
          <w:lang w:val="en-US" w:eastAsia="zh-CN"/>
        </w:rPr>
        <w:t xml:space="preserve">Policy strategy and medium-term </w:t>
      </w:r>
      <w:bookmarkEnd w:id="6"/>
      <w:r w:rsidR="00881767" w:rsidRPr="00E351AA">
        <w:rPr>
          <w:rFonts w:eastAsia="MS PGothic" w:cs="Calibri"/>
          <w:b/>
          <w:color w:val="2E74B5"/>
          <w:lang w:val="en-US" w:eastAsia="zh-CN"/>
        </w:rPr>
        <w:t>budgetary outlook</w:t>
      </w:r>
    </w:p>
    <w:p w14:paraId="03F4F632" w14:textId="77777777" w:rsidR="00E351AA" w:rsidRPr="00E351AA" w:rsidRDefault="00E351AA" w:rsidP="00CE2DF4">
      <w:pPr>
        <w:spacing w:after="0" w:line="240" w:lineRule="auto"/>
        <w:jc w:val="both"/>
        <w:rPr>
          <w:rFonts w:eastAsia="MS PGothic" w:cs="Calibri"/>
          <w:b/>
          <w:color w:val="2E74B5"/>
          <w:sz w:val="10"/>
          <w:szCs w:val="10"/>
          <w:lang w:val="en-US" w:eastAsia="zh-CN"/>
        </w:rPr>
      </w:pPr>
    </w:p>
    <w:p w14:paraId="4ED087FF" w14:textId="77777777" w:rsidR="00435E4D" w:rsidRPr="008C761D" w:rsidRDefault="00435E4D" w:rsidP="00714262">
      <w:pPr>
        <w:spacing w:after="0" w:line="240" w:lineRule="auto"/>
        <w:jc w:val="both"/>
        <w:rPr>
          <w:rFonts w:eastAsia="Arial Narrow" w:cs="Calibri"/>
          <w:lang w:val="en-US" w:eastAsia="mk-MK"/>
        </w:rPr>
      </w:pPr>
      <w:r w:rsidRPr="008C761D">
        <w:rPr>
          <w:rFonts w:eastAsia="Arial Narrow" w:cs="Calibri"/>
          <w:lang w:val="en-US" w:eastAsia="mk-MK"/>
        </w:rPr>
        <w:t>Fiscal Strategy comprises medium-term guidelines and goals of the fiscal policy, main macroeconomic projections, amounts of the main categories of projected revenues and expenditures, as well as budget deficit and debt projections. Fiscal Strategy reflects the medium-term fiscal goals and strategic priorities of the Government of North Macedonia.</w:t>
      </w:r>
    </w:p>
    <w:p w14:paraId="30FE272A" w14:textId="77777777" w:rsidR="00435E4D" w:rsidRPr="008C761D" w:rsidRDefault="00435E4D" w:rsidP="00714262">
      <w:pPr>
        <w:spacing w:before="120" w:after="0" w:line="240" w:lineRule="auto"/>
        <w:jc w:val="both"/>
        <w:rPr>
          <w:rFonts w:eastAsia="MS PGothic" w:cs="Calibri"/>
          <w:color w:val="202124"/>
          <w:lang w:val="en-US" w:eastAsia="zh-CN"/>
        </w:rPr>
      </w:pPr>
      <w:r w:rsidRPr="008C761D">
        <w:rPr>
          <w:rFonts w:eastAsia="Arial Narrow" w:cs="Calibri"/>
          <w:lang w:val="en-US" w:eastAsia="mk-MK"/>
        </w:rPr>
        <w:t xml:space="preserve">2024-2028 Fiscal Policy reflects the commitment to fiscal consolidation and budget savings, supporting the economy with investments in infrastructure projects, redesigning the public finance structure by increasing the share of capital expenditures, as well as strengthening the process of </w:t>
      </w:r>
      <w:r w:rsidRPr="008C761D">
        <w:rPr>
          <w:rFonts w:eastAsia="MS PGothic" w:cs="Calibri"/>
          <w:color w:val="202124"/>
          <w:lang w:val="en-US" w:eastAsia="zh-CN"/>
        </w:rPr>
        <w:lastRenderedPageBreak/>
        <w:t>planning, executing and reporting as regards public finance, which is to contribute to maintaining macroeconomic stability, accelerating the economic growth, thus strengthening the growth potential of the national economy.</w:t>
      </w:r>
    </w:p>
    <w:p w14:paraId="1634F6EB" w14:textId="46E99C11" w:rsidR="00714262" w:rsidRPr="008C761D" w:rsidRDefault="00435E4D" w:rsidP="00714262">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Key elements of the medium-term fiscal policy are redesigned and improved public finance structure, through increased share of capital expenditures, as well as the gradual fiscal consolidation, by reducing the budget deficit as percentage share of GDP, as follows: 4.8% in 2023, 3.4% in 2024, 3.0% in 2025, 3.0% in 2026, 2.8% in 2027 and 2.5% in 2028.</w:t>
      </w:r>
    </w:p>
    <w:p w14:paraId="301D522C" w14:textId="214A4363" w:rsidR="00714262" w:rsidRPr="008C761D" w:rsidRDefault="00435E4D" w:rsidP="00714262">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Main priorities as regards the tax system are increased efficiency and effectiveness of revenue collection, enhanced tax transparency, improved quality of services rendered by tax system institutions, by simplifying and speeding up procedures and reducing the administrative burden through further digitalisation of services, as well as by introducing environmental (green) taxation, in order to stimulate taxpayers to contribute, through duties and fees, to pollution reduction. Main objective of the tax policy is to ensure sustainable economic growth and development, thereby providing for legal safety of taxpayers and collection of tax revenues on regular basis. In the period 2024-2028, the average share of total revenues of the Budget of the Republic of North Macedonia accounts for around 31.6% of GDP.</w:t>
      </w:r>
    </w:p>
    <w:p w14:paraId="0D05DD6C" w14:textId="7123294F" w:rsidR="00C63C13" w:rsidRPr="008C761D" w:rsidRDefault="00435E4D" w:rsidP="00714262">
      <w:pPr>
        <w:spacing w:before="120" w:after="0" w:line="240" w:lineRule="auto"/>
        <w:jc w:val="both"/>
        <w:rPr>
          <w:rFonts w:eastAsia="MS PGothic" w:cs="Calibri"/>
          <w:color w:val="202124"/>
          <w:lang w:val="en-US" w:eastAsia="zh-CN"/>
        </w:rPr>
      </w:pPr>
      <w:r w:rsidRPr="008C761D">
        <w:rPr>
          <w:rFonts w:eastAsia="MS PGothic" w:cs="Calibri"/>
          <w:color w:val="202124"/>
          <w:lang w:val="en-US" w:eastAsia="zh-CN"/>
        </w:rPr>
        <w:t xml:space="preserve">The Expenditure side of the Budget of the Republic of North Macedonia, in the next period, is fully created in terms of achieving the strategic priorities, accelerating the economic growth, and the EU integration process and the obligations deriving from the NATO membership and similar. Average share of total expenditures of the Budget of the Republic of North Macedonia accounts for around 34.2% of GDP in the period 2024-2028. Medium-term fiscal projections have a strong development component, with a significant participation of capital expenditures with average 5% in GDP annually, and represent key elements of public finances. At the same time, in the medium term, the golden rule in public finances is respected: capital expenditures will be </w:t>
      </w:r>
      <w:proofErr w:type="gramStart"/>
      <w:r w:rsidRPr="008C761D">
        <w:rPr>
          <w:rFonts w:eastAsia="MS PGothic" w:cs="Calibri"/>
          <w:color w:val="202124"/>
          <w:lang w:val="en-US" w:eastAsia="zh-CN"/>
        </w:rPr>
        <w:t>exceed</w:t>
      </w:r>
      <w:proofErr w:type="gramEnd"/>
      <w:r w:rsidRPr="008C761D">
        <w:rPr>
          <w:rFonts w:eastAsia="MS PGothic" w:cs="Calibri"/>
          <w:color w:val="202124"/>
          <w:lang w:val="en-US" w:eastAsia="zh-CN"/>
        </w:rPr>
        <w:t xml:space="preserve"> the budget deficit, meaning borrowing will be solely for funding investment projects.</w:t>
      </w:r>
    </w:p>
    <w:p w14:paraId="71F10C08" w14:textId="096350A3" w:rsidR="00C63C13" w:rsidRPr="008C761D" w:rsidRDefault="00C63C13" w:rsidP="00C63C13">
      <w:pPr>
        <w:shd w:val="clear" w:color="auto" w:fill="FFFFFF"/>
        <w:tabs>
          <w:tab w:val="left" w:pos="0"/>
          <w:tab w:val="left" w:pos="3481"/>
          <w:tab w:val="center" w:pos="4677"/>
          <w:tab w:val="right" w:pos="9356"/>
        </w:tabs>
        <w:spacing w:after="0" w:line="240" w:lineRule="auto"/>
        <w:jc w:val="both"/>
        <w:rPr>
          <w:lang w:val="en-US"/>
        </w:rPr>
      </w:pPr>
    </w:p>
    <w:p w14:paraId="6FEF3DBD" w14:textId="2E1C4167" w:rsidR="00B10FB1" w:rsidRPr="008C761D" w:rsidRDefault="00B10FB1" w:rsidP="00C63C13">
      <w:pPr>
        <w:shd w:val="clear" w:color="auto" w:fill="FFFFFF"/>
        <w:tabs>
          <w:tab w:val="left" w:pos="0"/>
          <w:tab w:val="left" w:pos="3481"/>
          <w:tab w:val="center" w:pos="4677"/>
          <w:tab w:val="right" w:pos="9356"/>
        </w:tabs>
        <w:spacing w:after="0" w:line="240" w:lineRule="auto"/>
        <w:jc w:val="both"/>
        <w:rPr>
          <w:lang w:val="en-US"/>
        </w:rPr>
      </w:pPr>
      <w:r w:rsidRPr="008C761D">
        <w:rPr>
          <w:rFonts w:eastAsia="Arial Narrow" w:cs="Calibri"/>
          <w:b/>
          <w:color w:val="000000"/>
          <w:sz w:val="18"/>
          <w:szCs w:val="18"/>
          <w:lang w:val="en-US" w:eastAsia="mk-MK"/>
        </w:rPr>
        <w:t>Table 1. 2022-2028 Budget of the Republic of North Macedonia (Denar million)</w:t>
      </w:r>
    </w:p>
    <w:p w14:paraId="48207245" w14:textId="77777777" w:rsidR="00B10FB1" w:rsidRPr="008C761D" w:rsidRDefault="0042620E" w:rsidP="00B10FB1">
      <w:pPr>
        <w:pBdr>
          <w:top w:val="nil"/>
          <w:left w:val="nil"/>
          <w:bottom w:val="nil"/>
          <w:right w:val="nil"/>
          <w:between w:val="nil"/>
        </w:pBdr>
        <w:tabs>
          <w:tab w:val="left" w:pos="850"/>
          <w:tab w:val="left" w:pos="1191"/>
          <w:tab w:val="left" w:pos="1531"/>
        </w:tabs>
        <w:spacing w:before="120" w:after="0" w:line="240" w:lineRule="auto"/>
        <w:jc w:val="both"/>
        <w:rPr>
          <w:rFonts w:eastAsia="Arial Narrow" w:cs="Calibri"/>
          <w:b/>
          <w:color w:val="000000"/>
          <w:sz w:val="18"/>
          <w:szCs w:val="18"/>
          <w:lang w:val="en-US" w:eastAsia="mk-MK"/>
        </w:rPr>
      </w:pPr>
      <w:r w:rsidRPr="008C761D">
        <w:rPr>
          <w:noProof/>
          <w:lang w:eastAsia="mk-MK"/>
        </w:rPr>
        <w:drawing>
          <wp:inline distT="0" distB="0" distL="0" distR="0" wp14:anchorId="3D6238DC" wp14:editId="14E109A0">
            <wp:extent cx="5727065" cy="3800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065" cy="3800475"/>
                    </a:xfrm>
                    <a:prstGeom prst="rect">
                      <a:avLst/>
                    </a:prstGeom>
                    <a:noFill/>
                    <a:ln>
                      <a:noFill/>
                    </a:ln>
                  </pic:spPr>
                </pic:pic>
              </a:graphicData>
            </a:graphic>
          </wp:inline>
        </w:drawing>
      </w:r>
    </w:p>
    <w:p w14:paraId="1FCCAF97" w14:textId="77777777" w:rsidR="00B10FB1" w:rsidRPr="008C761D" w:rsidRDefault="00B10FB1" w:rsidP="00B10FB1">
      <w:pPr>
        <w:pBdr>
          <w:top w:val="nil"/>
          <w:left w:val="nil"/>
          <w:bottom w:val="nil"/>
          <w:right w:val="nil"/>
          <w:between w:val="nil"/>
        </w:pBdr>
        <w:tabs>
          <w:tab w:val="left" w:pos="850"/>
          <w:tab w:val="left" w:pos="1191"/>
          <w:tab w:val="left" w:pos="1531"/>
        </w:tabs>
        <w:spacing w:before="120" w:after="0" w:line="240" w:lineRule="auto"/>
        <w:jc w:val="both"/>
        <w:rPr>
          <w:rFonts w:eastAsia="Arial Narrow" w:cs="Calibri"/>
          <w:b/>
          <w:color w:val="000000"/>
          <w:sz w:val="18"/>
          <w:szCs w:val="18"/>
          <w:lang w:val="en-US" w:eastAsia="mk-MK"/>
        </w:rPr>
      </w:pPr>
    </w:p>
    <w:p w14:paraId="0A78E443" w14:textId="77777777" w:rsidR="00B10FB1" w:rsidRPr="008C761D" w:rsidRDefault="00B10FB1" w:rsidP="00B10FB1">
      <w:pPr>
        <w:spacing w:before="240" w:after="120" w:line="240" w:lineRule="auto"/>
        <w:jc w:val="both"/>
        <w:rPr>
          <w:rFonts w:eastAsia="MS PGothic" w:cs="Calibri"/>
          <w:color w:val="202124"/>
          <w:lang w:val="en-US" w:eastAsia="zh-CN"/>
        </w:rPr>
      </w:pPr>
      <w:r w:rsidRPr="008C761D">
        <w:rPr>
          <w:rFonts w:eastAsia="MS PGothic" w:cs="Calibri"/>
          <w:color w:val="202124"/>
          <w:lang w:val="en-US" w:eastAsia="zh-CN"/>
        </w:rPr>
        <w:lastRenderedPageBreak/>
        <w:t>Commitment to redesigning fiscal policy has been translated into a plan adopted by the Government of the Republic of North Macedonia, aimed at providing public finance sustainability, coupled by boosting economic growth.</w:t>
      </w:r>
    </w:p>
    <w:p w14:paraId="5AD99EDA" w14:textId="77777777" w:rsidR="00B10FB1" w:rsidRPr="008C761D" w:rsidRDefault="00B10FB1" w:rsidP="00B10FB1">
      <w:pPr>
        <w:spacing w:after="120" w:line="240" w:lineRule="auto"/>
        <w:jc w:val="both"/>
        <w:rPr>
          <w:rFonts w:eastAsia="MS PGothic" w:cs="Calibri"/>
          <w:color w:val="202124"/>
          <w:lang w:val="en-US" w:eastAsia="zh-CN"/>
        </w:rPr>
      </w:pPr>
      <w:r w:rsidRPr="008C761D">
        <w:rPr>
          <w:rFonts w:eastAsia="MS PGothic" w:cs="Calibri"/>
          <w:color w:val="202124"/>
          <w:lang w:val="en-US" w:eastAsia="zh-CN"/>
        </w:rPr>
        <w:t>Thus, activities will be undertaken, aimed at continuous improvement of the Budget planning system, better control of the costs and undertaking certain measures, pertaining to expenditures, revenues, as well as refinancing.</w:t>
      </w:r>
    </w:p>
    <w:p w14:paraId="69AFFA18" w14:textId="77777777" w:rsidR="00B10FB1" w:rsidRPr="008C761D" w:rsidRDefault="00B10FB1" w:rsidP="00B10FB1">
      <w:pPr>
        <w:spacing w:after="120" w:line="240" w:lineRule="auto"/>
        <w:jc w:val="both"/>
        <w:rPr>
          <w:rFonts w:eastAsia="MS PGothic" w:cs="Calibri"/>
          <w:color w:val="202124"/>
          <w:lang w:val="en-US" w:eastAsia="zh-CN"/>
        </w:rPr>
      </w:pPr>
      <w:r w:rsidRPr="008C761D">
        <w:rPr>
          <w:rFonts w:eastAsia="MS PGothic" w:cs="Calibri"/>
          <w:color w:val="202124"/>
          <w:lang w:val="en-US" w:eastAsia="zh-CN"/>
        </w:rPr>
        <w:t>Main objectives of the policy aimed at reducing the current expenditures, are:</w:t>
      </w:r>
    </w:p>
    <w:p w14:paraId="1F1A4FF3" w14:textId="77777777" w:rsidR="00B10FB1" w:rsidRPr="008C761D" w:rsidRDefault="00B10FB1" w:rsidP="003A338C">
      <w:pPr>
        <w:widowControl w:val="0"/>
        <w:numPr>
          <w:ilvl w:val="0"/>
          <w:numId w:val="107"/>
        </w:numPr>
        <w:pBdr>
          <w:top w:val="nil"/>
          <w:left w:val="nil"/>
          <w:bottom w:val="nil"/>
          <w:right w:val="nil"/>
          <w:between w:val="nil"/>
        </w:pBdr>
        <w:spacing w:before="120" w:after="0" w:line="240" w:lineRule="auto"/>
        <w:ind w:left="576" w:hanging="288"/>
        <w:jc w:val="both"/>
        <w:rPr>
          <w:rFonts w:eastAsia="MS PGothic" w:cs="Calibri"/>
          <w:color w:val="202124"/>
          <w:lang w:val="en-US" w:eastAsia="zh-CN"/>
        </w:rPr>
      </w:pPr>
      <w:r w:rsidRPr="008C761D">
        <w:rPr>
          <w:rFonts w:eastAsia="MS PGothic" w:cs="Calibri"/>
          <w:color w:val="202124"/>
          <w:lang w:val="en-US" w:eastAsia="zh-CN"/>
        </w:rPr>
        <w:t>increasing the efficiency of the public administration operations by optimising and rationalising the working posts,</w:t>
      </w:r>
    </w:p>
    <w:p w14:paraId="4F79DFF7" w14:textId="77777777" w:rsidR="00B10FB1" w:rsidRPr="008C761D" w:rsidRDefault="00B10FB1" w:rsidP="003A338C">
      <w:pPr>
        <w:widowControl w:val="0"/>
        <w:numPr>
          <w:ilvl w:val="0"/>
          <w:numId w:val="107"/>
        </w:numPr>
        <w:pBdr>
          <w:top w:val="nil"/>
          <w:left w:val="nil"/>
          <w:bottom w:val="nil"/>
          <w:right w:val="nil"/>
          <w:between w:val="nil"/>
        </w:pBdr>
        <w:spacing w:before="120" w:after="0" w:line="240" w:lineRule="auto"/>
        <w:ind w:left="576" w:hanging="288"/>
        <w:jc w:val="both"/>
        <w:rPr>
          <w:rFonts w:eastAsia="MS PGothic" w:cs="Calibri"/>
          <w:color w:val="202124"/>
          <w:lang w:val="en-US" w:eastAsia="zh-CN"/>
        </w:rPr>
      </w:pPr>
      <w:r w:rsidRPr="008C761D">
        <w:rPr>
          <w:rFonts w:eastAsia="MS PGothic" w:cs="Calibri"/>
          <w:color w:val="202124"/>
          <w:lang w:val="en-US" w:eastAsia="zh-CN"/>
        </w:rPr>
        <w:t>more efficient use of operating resources by improving the planning and the execution of operating expenditures, reducing the non-productive expenditures, as well as introducing spending standards;</w:t>
      </w:r>
    </w:p>
    <w:p w14:paraId="1191D389" w14:textId="77777777" w:rsidR="00B10FB1" w:rsidRPr="008C761D" w:rsidRDefault="00B10FB1" w:rsidP="003A338C">
      <w:pPr>
        <w:widowControl w:val="0"/>
        <w:numPr>
          <w:ilvl w:val="0"/>
          <w:numId w:val="107"/>
        </w:numPr>
        <w:pBdr>
          <w:top w:val="nil"/>
          <w:left w:val="nil"/>
          <w:bottom w:val="nil"/>
          <w:right w:val="nil"/>
          <w:between w:val="nil"/>
        </w:pBdr>
        <w:spacing w:before="120" w:after="0" w:line="240" w:lineRule="auto"/>
        <w:ind w:left="576" w:hanging="288"/>
        <w:jc w:val="both"/>
        <w:rPr>
          <w:rFonts w:eastAsia="MS PGothic" w:cs="Calibri"/>
          <w:color w:val="202124"/>
          <w:lang w:val="en-US" w:eastAsia="zh-CN"/>
        </w:rPr>
      </w:pPr>
      <w:r w:rsidRPr="008C761D">
        <w:rPr>
          <w:rFonts w:eastAsia="MS PGothic" w:cs="Calibri"/>
          <w:color w:val="202124"/>
          <w:lang w:val="en-US" w:eastAsia="zh-CN"/>
        </w:rPr>
        <w:t>better quality services at the decentralised competences of the municipalities by redefining the criteria for allocation of funds and more efficient and earmarked use of grant funds;</w:t>
      </w:r>
    </w:p>
    <w:p w14:paraId="226CE937" w14:textId="77777777" w:rsidR="00B10FB1" w:rsidRPr="008C761D" w:rsidRDefault="00B10FB1" w:rsidP="003A338C">
      <w:pPr>
        <w:widowControl w:val="0"/>
        <w:numPr>
          <w:ilvl w:val="0"/>
          <w:numId w:val="107"/>
        </w:numPr>
        <w:pBdr>
          <w:top w:val="nil"/>
          <w:left w:val="nil"/>
          <w:bottom w:val="nil"/>
          <w:right w:val="nil"/>
          <w:between w:val="nil"/>
        </w:pBdr>
        <w:spacing w:before="120" w:after="0" w:line="240" w:lineRule="auto"/>
        <w:ind w:left="576" w:hanging="288"/>
        <w:jc w:val="both"/>
        <w:rPr>
          <w:rFonts w:eastAsia="MS PGothic" w:cs="Calibri"/>
          <w:color w:val="202124"/>
          <w:lang w:val="en-US" w:eastAsia="zh-CN"/>
        </w:rPr>
      </w:pPr>
      <w:r w:rsidRPr="008C761D">
        <w:rPr>
          <w:rFonts w:eastAsia="MS PGothic" w:cs="Calibri"/>
          <w:color w:val="202124"/>
          <w:lang w:val="en-US" w:eastAsia="zh-CN"/>
        </w:rPr>
        <w:t>ensuring a more positive impact on the economic activity by more efficient and targeted use of funds for subsidies and transfers; and</w:t>
      </w:r>
    </w:p>
    <w:p w14:paraId="473BB088" w14:textId="3A4563CD" w:rsidR="00B10FB1" w:rsidRPr="008C761D" w:rsidRDefault="00B10FB1" w:rsidP="003A338C">
      <w:pPr>
        <w:widowControl w:val="0"/>
        <w:numPr>
          <w:ilvl w:val="0"/>
          <w:numId w:val="107"/>
        </w:numPr>
        <w:pBdr>
          <w:top w:val="nil"/>
          <w:left w:val="nil"/>
          <w:bottom w:val="nil"/>
          <w:right w:val="nil"/>
          <w:between w:val="nil"/>
        </w:pBdr>
        <w:spacing w:before="120" w:line="240" w:lineRule="auto"/>
        <w:ind w:left="576" w:hanging="288"/>
        <w:jc w:val="both"/>
        <w:rPr>
          <w:rFonts w:eastAsia="MS PGothic" w:cs="Calibri"/>
          <w:color w:val="202124"/>
          <w:lang w:val="en-US" w:eastAsia="zh-CN"/>
        </w:rPr>
      </w:pPr>
      <w:r w:rsidRPr="008C761D">
        <w:rPr>
          <w:rFonts w:eastAsia="MS PGothic" w:cs="Calibri"/>
          <w:color w:val="202124"/>
          <w:lang w:val="en-US" w:eastAsia="zh-CN"/>
        </w:rPr>
        <w:t xml:space="preserve">reducing poverty by properly targeting the use of social assistance and </w:t>
      </w:r>
      <w:r w:rsidR="00903D3F" w:rsidRPr="008C761D">
        <w:rPr>
          <w:rFonts w:eastAsia="MS PGothic" w:cs="Calibri"/>
          <w:color w:val="202124"/>
          <w:lang w:val="en-US" w:eastAsia="zh-CN"/>
        </w:rPr>
        <w:t>greater</w:t>
      </w:r>
      <w:r w:rsidRPr="008C761D">
        <w:rPr>
          <w:rFonts w:eastAsia="MS PGothic" w:cs="Calibri"/>
          <w:color w:val="202124"/>
          <w:lang w:val="en-US" w:eastAsia="zh-CN"/>
        </w:rPr>
        <w:t xml:space="preserve"> participation on the labour market.</w:t>
      </w:r>
    </w:p>
    <w:p w14:paraId="57F02B2B" w14:textId="77777777" w:rsidR="00B10FB1" w:rsidRPr="008C761D" w:rsidRDefault="00B10FB1" w:rsidP="003A338C">
      <w:pPr>
        <w:numPr>
          <w:ilvl w:val="0"/>
          <w:numId w:val="107"/>
        </w:numPr>
        <w:spacing w:after="120" w:line="240" w:lineRule="auto"/>
        <w:ind w:left="567"/>
        <w:jc w:val="both"/>
        <w:rPr>
          <w:rFonts w:eastAsia="MS PGothic" w:cs="Calibri"/>
          <w:color w:val="202124"/>
          <w:lang w:val="en-US" w:eastAsia="zh-CN"/>
        </w:rPr>
      </w:pPr>
      <w:r w:rsidRPr="008C761D">
        <w:rPr>
          <w:rFonts w:eastAsia="MS PGothic" w:cs="Calibri"/>
          <w:color w:val="202124"/>
          <w:lang w:val="en-US" w:eastAsia="zh-CN"/>
        </w:rPr>
        <w:t>Current expenditures for the coming period are intended for regular payment of wages to employees in the public sector, timely and regular payment of pensions, guaranteed minimum income and other social allowances, payment of agricultural subsidies, support to small- and medium-sized enterprises, as well as subsidising of innovation activities.</w:t>
      </w:r>
    </w:p>
    <w:p w14:paraId="7A04408D" w14:textId="77777777" w:rsidR="00FD4DCF" w:rsidRPr="008C761D" w:rsidRDefault="00FD4DCF" w:rsidP="00FD4DCF">
      <w:pPr>
        <w:spacing w:after="120" w:line="240" w:lineRule="auto"/>
        <w:jc w:val="both"/>
        <w:rPr>
          <w:rFonts w:eastAsia="MS PGothic" w:cs="Calibri"/>
          <w:color w:val="202124"/>
          <w:lang w:val="en-US" w:eastAsia="zh-CN"/>
        </w:rPr>
      </w:pPr>
      <w:bookmarkStart w:id="8" w:name="_nscvbjj0139l" w:colFirst="0" w:colLast="0"/>
      <w:bookmarkEnd w:id="8"/>
      <w:r w:rsidRPr="008C761D">
        <w:rPr>
          <w:rFonts w:eastAsia="MS PGothic" w:cs="Calibri"/>
          <w:color w:val="202124"/>
          <w:lang w:val="en-US" w:eastAsia="zh-CN"/>
        </w:rPr>
        <w:t>As for policy aimed at improving the capital expenditure structure and execution, the main objective is increased growth potential of the national economy, boosted competitiveness, attracting and encouraging investments by increasing the amount, the quality and the pace of execution of capital expenditures.</w:t>
      </w:r>
    </w:p>
    <w:p w14:paraId="102D579D" w14:textId="77777777" w:rsidR="00FD4DCF" w:rsidRPr="008C761D" w:rsidRDefault="00FD4DCF" w:rsidP="00FD4DCF">
      <w:pPr>
        <w:spacing w:after="120" w:line="240" w:lineRule="auto"/>
        <w:jc w:val="both"/>
        <w:rPr>
          <w:rFonts w:eastAsia="MS PGothic" w:cs="Calibri"/>
          <w:color w:val="202124"/>
          <w:lang w:val="en-US" w:eastAsia="zh-CN"/>
        </w:rPr>
      </w:pPr>
      <w:r w:rsidRPr="008C761D">
        <w:rPr>
          <w:rFonts w:eastAsia="MS PGothic" w:cs="Calibri"/>
          <w:color w:val="202124"/>
          <w:lang w:val="en-US" w:eastAsia="zh-CN"/>
        </w:rPr>
        <w:t>In the medium-term period, fiscal policy remains to focus on ensuring substantial public investments, being a precondition for improvement of economic perspectives, as well as better living conditions for the citizens. To this end, a significant amount of capital investments is projected by using budget funds, including funds under loans extended from international financial institutions and bilateral creditors. The projected amounts speak of speeding up the infrastructure projects, i.e. investments in road and railway infrastructure, energy and utilities infrastructure, as well as capital investments aimed at improving the conditions in the health, education and social systems, agriculture, culture, sports, environment protection and judiciary.</w:t>
      </w:r>
      <w:r w:rsidRPr="008C761D">
        <w:rPr>
          <w:rFonts w:eastAsia="Arial Narrow" w:cs="Calibri"/>
          <w:lang w:val="en-US"/>
        </w:rPr>
        <w:t xml:space="preserve"> </w:t>
      </w:r>
      <w:r w:rsidRPr="008C761D">
        <w:rPr>
          <w:rFonts w:eastAsia="MS PGothic" w:cs="Calibri"/>
          <w:color w:val="202124"/>
          <w:lang w:val="en-US" w:eastAsia="zh-CN"/>
        </w:rPr>
        <w:t>In addition to the major capital projects, significant projects will be implemented in the above-mentioned areas, all to the end of implementing the reform measures aimed at improving the social and the education conditions for the citizens, as well as the measures geared towards managing the consequences induced by COVID-19.</w:t>
      </w:r>
    </w:p>
    <w:p w14:paraId="4547FBA1" w14:textId="070EDD2E" w:rsidR="00B10FB1" w:rsidRPr="008C761D" w:rsidRDefault="00B10FB1" w:rsidP="00B10FB1">
      <w:pPr>
        <w:spacing w:before="240" w:after="120" w:line="240" w:lineRule="auto"/>
        <w:jc w:val="both"/>
        <w:rPr>
          <w:rFonts w:eastAsia="MS PGothic" w:cs="Calibri"/>
          <w:color w:val="202124"/>
          <w:lang w:val="en-US" w:eastAsia="zh-CN"/>
        </w:rPr>
      </w:pPr>
      <w:r w:rsidRPr="008C761D">
        <w:rPr>
          <w:rFonts w:eastAsia="MS PGothic" w:cs="Calibri"/>
          <w:color w:val="202124"/>
          <w:lang w:val="en-US" w:eastAsia="zh-CN"/>
        </w:rPr>
        <w:t>Public</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debt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management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policy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is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aimed</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at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ensuring</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funds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necessary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to</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finance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budget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deficit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and</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repay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due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debt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liabilities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from</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previous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years, as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well</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as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funds</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for</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project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financing,</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thereby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not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increasing</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debt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to a level</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that</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can</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jeopardise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stability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of</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economy</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and</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economic</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growth</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of</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the</w:t>
      </w:r>
      <w:r w:rsidR="00FD4DCF" w:rsidRPr="008C761D">
        <w:rPr>
          <w:rFonts w:eastAsia="MS PGothic" w:cs="Calibri"/>
          <w:color w:val="202124"/>
          <w:lang w:val="en-US" w:eastAsia="zh-CN"/>
        </w:rPr>
        <w:t xml:space="preserve"> </w:t>
      </w:r>
      <w:r w:rsidRPr="008C761D">
        <w:rPr>
          <w:rFonts w:eastAsia="MS PGothic" w:cs="Calibri"/>
          <w:color w:val="202124"/>
          <w:lang w:val="en-US" w:eastAsia="zh-CN"/>
        </w:rPr>
        <w:t>country.</w:t>
      </w:r>
      <w:bookmarkStart w:id="9" w:name="_gwy7guk8tui4" w:colFirst="0" w:colLast="0"/>
      <w:bookmarkEnd w:id="9"/>
    </w:p>
    <w:p w14:paraId="424EBE22" w14:textId="22920921" w:rsidR="00CE2DF4" w:rsidRPr="008C761D" w:rsidRDefault="00CE2DF4" w:rsidP="00CE2DF4">
      <w:pPr>
        <w:spacing w:before="120" w:after="0" w:line="240" w:lineRule="auto"/>
        <w:jc w:val="both"/>
        <w:rPr>
          <w:rFonts w:eastAsia="Arial Narrow" w:cs="Calibri"/>
          <w:lang w:val="en-US"/>
        </w:rPr>
      </w:pPr>
      <w:r w:rsidRPr="008C761D">
        <w:rPr>
          <w:rFonts w:eastAsia="Arial Narrow" w:cs="Calibri"/>
          <w:lang w:val="en-US"/>
        </w:rPr>
        <w:t>Medium-term projections presented in the 2024-2026 Revised Public Debt Management Strategy (with prospects until 2028), show that public debt will exceed</w:t>
      </w:r>
      <w:r w:rsidR="008F0EBD">
        <w:rPr>
          <w:rFonts w:eastAsia="Arial Narrow" w:cs="Calibri"/>
          <w:lang w:val="en-US"/>
        </w:rPr>
        <w:t xml:space="preserve"> </w:t>
      </w:r>
      <w:r w:rsidRPr="008C761D">
        <w:rPr>
          <w:rFonts w:eastAsia="Arial Narrow" w:cs="Calibri"/>
          <w:lang w:val="en-US"/>
        </w:rPr>
        <w:t>by the end of 2023 to the stipulated limit below 60% of GDP, and in 2024 it will exceed the maximum threshold of 60% and to return to the stipulated limit below 60% of GDP from 2025 to 2028.</w:t>
      </w:r>
    </w:p>
    <w:p w14:paraId="61E0E53B" w14:textId="6728A052" w:rsidR="00CE2DF4" w:rsidRPr="008C761D" w:rsidRDefault="00CE2DF4" w:rsidP="00CE2DF4">
      <w:pPr>
        <w:spacing w:before="80" w:after="80" w:line="240" w:lineRule="auto"/>
        <w:jc w:val="both"/>
        <w:rPr>
          <w:rFonts w:eastAsia="Arial Narrow" w:cs="Calibri"/>
          <w:lang w:val="en-US"/>
        </w:rPr>
      </w:pPr>
      <w:r w:rsidRPr="008C761D">
        <w:rPr>
          <w:rFonts w:eastAsia="Arial Narrow" w:cs="Calibri"/>
          <w:lang w:val="en-US"/>
        </w:rPr>
        <w:lastRenderedPageBreak/>
        <w:t xml:space="preserve">Limits on the general government debt are the following: </w:t>
      </w:r>
    </w:p>
    <w:p w14:paraId="0BC70232" w14:textId="1C9B6127" w:rsidR="00CE2DF4" w:rsidRPr="008C761D" w:rsidRDefault="00174835" w:rsidP="00CE2DF4">
      <w:pPr>
        <w:numPr>
          <w:ilvl w:val="0"/>
          <w:numId w:val="3"/>
        </w:numPr>
        <w:spacing w:before="20" w:after="20" w:line="240" w:lineRule="auto"/>
        <w:jc w:val="both"/>
        <w:rPr>
          <w:rFonts w:eastAsia="Arial Narrow" w:cs="Calibri"/>
          <w:lang w:val="en-US"/>
        </w:rPr>
      </w:pPr>
      <w:r>
        <w:rPr>
          <w:rFonts w:eastAsia="Arial Narrow" w:cs="Calibri"/>
          <w:noProof/>
          <w:lang w:val="en-US" w:eastAsia="mk-MK"/>
        </w:rPr>
        <w:pict w14:anchorId="4A8B8788">
          <v:shapetype id="_x0000_t202" coordsize="21600,21600" o:spt="202" path="m,l,21600r21600,l21600,xe">
            <v:stroke joinstyle="miter"/>
            <v:path gradientshapeok="t" o:connecttype="rect"/>
          </v:shapetype>
          <v:shape id="Text Box 424" o:spid="_x0000_s2063" type="#_x0000_t202" style="position:absolute;left:0;text-align:left;margin-left:0;margin-top:416.95pt;width:247.6pt;height:173.9pt;z-index:-251653120;visibility:visible;mso-position-horizontal-relative:margin;mso-position-vertical-relative:margin;mso-width-relative:margin;mso-height-relative:margin" wrapcoords="-64 -95 -64 21600 21664 21600 21664 -95 -6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XvLgIAAFw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s7zOSWG&#10;aWzSoxgCeQsDiXfIUG99gY4PFl3DgAbsdKrW23vg3zwxsOmYacWtc9B3gtWY4Sy+zM6ejjg+glT9&#10;R6gxENsFSEBD43SkDwkhiI6dOpy6E5PheHmRXyyvrtDE0ZbPLqc5KjEGK56fW+fDewGaRKGkDtuf&#10;4Nn+3ofR9dklRvOgZL2VSiXFtdVGObJnOCrb9B3Rf3JThvQlXS7yxcjAXyGm6fsThJYBZ15JXdLr&#10;kxMrIm/vTI1psiIwqUYZq1PmSGTkbmQxDNWQupZYjiRXUB+QWQfjiONKotCB+0FJj+NdUv99x5yg&#10;RH0w2J3lbD6P+5CU+eIqR8WdW6pzCzMcoUoaKBnFTRh3aGedbDuMNM6DgVvsaCMT1y9ZHdPHEU7d&#10;Oq5b3JFzPXm9/BTWTwAAAP//AwBQSwMEFAAGAAgAAAAhAHpjPjHgAAAACAEAAA8AAABkcnMvZG93&#10;bnJldi54bWxMj8FOwzAQRO9I/IO1SFxQ66ShaRriVAgJRG/QIri68TaJsNfBdtPw95gTHEczmnlT&#10;bSaj2YjO95YEpPMEGFJjVU+tgLf946wA5oMkJbUlFPCNHjb15UUlS2XP9IrjLrQslpAvpYAuhKHk&#10;3DcdGunndkCK3tE6I0OUruXKyXMsN5ovkiTnRvYUFzo54EOHzefuZAQUt8/jh99mL+9NftTrcLMa&#10;n76cENdX0/0dsIBT+AvDL35EhzoyHeyJlGdaQDwSBCxXWQ4s2ss0WQA7CFinWQG8rvj/A/UPAAAA&#10;//8DAFBLAQItABQABgAIAAAAIQC2gziS/gAAAOEBAAATAAAAAAAAAAAAAAAAAAAAAABbQ29udGVu&#10;dF9UeXBlc10ueG1sUEsBAi0AFAAGAAgAAAAhADj9If/WAAAAlAEAAAsAAAAAAAAAAAAAAAAALwEA&#10;AF9yZWxzLy5yZWxzUEsBAi0AFAAGAAgAAAAhAJ8Ade8uAgAAXAQAAA4AAAAAAAAAAAAAAAAALgIA&#10;AGRycy9lMm9Eb2MueG1sUEsBAi0AFAAGAAgAAAAhAHpjPjHgAAAACAEAAA8AAAAAAAAAAAAAAAAA&#10;iAQAAGRycy9kb3ducmV2LnhtbFBLBQYAAAAABAAEAPMAAACVBQAAAAA=&#10;">
            <v:textbox style="mso-next-textbox:#Text Box 424">
              <w:txbxContent>
                <w:p w14:paraId="2377B45B" w14:textId="25925FA3" w:rsidR="0093115D" w:rsidRPr="00A84CA0" w:rsidRDefault="0093115D" w:rsidP="00CE2DF4">
                  <w:pPr>
                    <w:rPr>
                      <w:lang w:val="en-US"/>
                    </w:rPr>
                  </w:pPr>
                  <w:r w:rsidRPr="00CE2DF4">
                    <w:rPr>
                      <w:noProof/>
                      <w:lang w:eastAsia="mk-MK"/>
                    </w:rPr>
                    <w:drawing>
                      <wp:inline distT="0" distB="0" distL="0" distR="0" wp14:anchorId="3629BD0C" wp14:editId="17BCA772">
                        <wp:extent cx="3047365" cy="2214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7365" cy="2214735"/>
                                </a:xfrm>
                                <a:prstGeom prst="rect">
                                  <a:avLst/>
                                </a:prstGeom>
                                <a:noFill/>
                                <a:ln>
                                  <a:noFill/>
                                </a:ln>
                              </pic:spPr>
                            </pic:pic>
                          </a:graphicData>
                        </a:graphic>
                      </wp:inline>
                    </w:drawing>
                  </w:r>
                </w:p>
              </w:txbxContent>
            </v:textbox>
            <w10:wrap type="through" anchorx="margin" anchory="margin"/>
          </v:shape>
        </w:pict>
      </w:r>
      <w:r w:rsidR="00CE2DF4" w:rsidRPr="008C761D">
        <w:rPr>
          <w:rFonts w:eastAsia="Arial Narrow" w:cs="Calibri"/>
          <w:lang w:val="en-US"/>
        </w:rPr>
        <w:t>in the period 2024 - 2028, the minimum threshold of euro-denominated debt in the debt portfolio denominated in foreign currency should be 85%;</w:t>
      </w:r>
    </w:p>
    <w:p w14:paraId="6CABF202" w14:textId="77777777" w:rsidR="00CE2DF4" w:rsidRPr="008C761D" w:rsidRDefault="00CE2DF4" w:rsidP="00CE2DF4">
      <w:pPr>
        <w:numPr>
          <w:ilvl w:val="0"/>
          <w:numId w:val="3"/>
        </w:numPr>
        <w:spacing w:before="20" w:after="20" w:line="240" w:lineRule="auto"/>
        <w:jc w:val="both"/>
        <w:rPr>
          <w:rFonts w:eastAsia="Arial Narrow" w:cs="Calibri"/>
          <w:lang w:val="en-US"/>
        </w:rPr>
      </w:pPr>
      <w:r w:rsidRPr="008C761D">
        <w:rPr>
          <w:rFonts w:eastAsia="Arial Narrow" w:cs="Calibri"/>
          <w:lang w:val="en-US"/>
        </w:rPr>
        <w:t>in the period 2024 - 2028, limit on the interest rate structure of general government debt, i.e. fixed interest rate debt should account for at least 60% of the total debt portfolio;</w:t>
      </w:r>
    </w:p>
    <w:p w14:paraId="1B701943" w14:textId="77777777" w:rsidR="00CE2DF4" w:rsidRPr="008C761D" w:rsidRDefault="00CE2DF4" w:rsidP="00CE2DF4">
      <w:pPr>
        <w:numPr>
          <w:ilvl w:val="0"/>
          <w:numId w:val="3"/>
        </w:numPr>
        <w:spacing w:before="20" w:after="20" w:line="240" w:lineRule="auto"/>
        <w:jc w:val="both"/>
        <w:rPr>
          <w:rFonts w:eastAsia="Arial Narrow" w:cs="Calibri"/>
          <w:lang w:val="en-US"/>
        </w:rPr>
      </w:pPr>
      <w:r w:rsidRPr="008C761D">
        <w:rPr>
          <w:rFonts w:eastAsia="Arial Narrow" w:cs="Calibri"/>
          <w:lang w:val="en-US"/>
        </w:rPr>
        <w:t xml:space="preserve">in order to protect the central government debt portfolio against the re-financing risk, the minimum threshold of "average time to </w:t>
      </w:r>
      <w:proofErr w:type="gramStart"/>
      <w:r w:rsidRPr="008C761D">
        <w:rPr>
          <w:rFonts w:eastAsia="Arial Narrow" w:cs="Calibri"/>
          <w:lang w:val="en-US"/>
        </w:rPr>
        <w:t>maturity“ indicator</w:t>
      </w:r>
      <w:proofErr w:type="gramEnd"/>
      <w:r w:rsidRPr="008C761D">
        <w:rPr>
          <w:rFonts w:eastAsia="Arial Narrow" w:cs="Calibri"/>
          <w:lang w:val="en-US"/>
        </w:rPr>
        <w:t xml:space="preserve"> in 2024 should be 4 years;</w:t>
      </w:r>
    </w:p>
    <w:p w14:paraId="3685CD6C" w14:textId="77777777" w:rsidR="00CE2DF4" w:rsidRPr="008C761D" w:rsidRDefault="00CE2DF4" w:rsidP="00CE2DF4">
      <w:pPr>
        <w:numPr>
          <w:ilvl w:val="0"/>
          <w:numId w:val="3"/>
        </w:numPr>
        <w:spacing w:before="20" w:after="20" w:line="240" w:lineRule="auto"/>
        <w:jc w:val="both"/>
        <w:rPr>
          <w:rFonts w:eastAsia="Arial Narrow" w:cs="Calibri"/>
          <w:lang w:val="en-US"/>
        </w:rPr>
      </w:pPr>
      <w:r w:rsidRPr="008C761D">
        <w:rPr>
          <w:rFonts w:eastAsia="Arial Narrow" w:cs="Calibri"/>
          <w:lang w:val="en-US"/>
        </w:rPr>
        <w:t>in order to protect the central government debt portfolio against the interest rate risk, the minimum threshold of "average time to re-fixing” i4 should be 3 years;</w:t>
      </w:r>
    </w:p>
    <w:p w14:paraId="462676E9" w14:textId="77777777" w:rsidR="00CE2DF4" w:rsidRPr="008C761D" w:rsidRDefault="00CE2DF4" w:rsidP="00CE2DF4">
      <w:pPr>
        <w:numPr>
          <w:ilvl w:val="0"/>
          <w:numId w:val="3"/>
        </w:numPr>
        <w:spacing w:before="20" w:after="20" w:line="240" w:lineRule="auto"/>
        <w:jc w:val="both"/>
        <w:rPr>
          <w:rFonts w:eastAsia="Arial Narrow" w:cs="Calibri"/>
          <w:lang w:val="en-US"/>
        </w:rPr>
      </w:pPr>
      <w:r w:rsidRPr="008C761D">
        <w:rPr>
          <w:rFonts w:eastAsia="Arial Narrow" w:cs="Calibri"/>
          <w:lang w:val="en-US"/>
        </w:rPr>
        <w:t>the limit for maximum net borrowing on the basis of general government debt is set to amount to up to EUR 1,100 million in 2024;</w:t>
      </w:r>
    </w:p>
    <w:p w14:paraId="4CAC97D8" w14:textId="77777777" w:rsidR="00CE2DF4" w:rsidRPr="008C761D" w:rsidRDefault="00CE2DF4" w:rsidP="00CE2DF4">
      <w:pPr>
        <w:numPr>
          <w:ilvl w:val="0"/>
          <w:numId w:val="3"/>
        </w:numPr>
        <w:spacing w:before="20" w:after="20" w:line="240" w:lineRule="auto"/>
        <w:jc w:val="both"/>
        <w:rPr>
          <w:rFonts w:eastAsia="Arial Narrow" w:cs="Calibri"/>
          <w:lang w:val="en-US"/>
        </w:rPr>
      </w:pPr>
      <w:r w:rsidRPr="008C761D">
        <w:rPr>
          <w:rFonts w:eastAsia="Arial Narrow" w:cs="Calibri"/>
          <w:lang w:val="en-US"/>
        </w:rPr>
        <w:t>the limit for maximum net borrowing on the basis of guaranteed debt is set to amount to up to EUR 250 million in 2024.</w:t>
      </w:r>
    </w:p>
    <w:p w14:paraId="144A1316" w14:textId="77777777" w:rsidR="00CE2DF4" w:rsidRPr="008C761D" w:rsidRDefault="00CE2DF4" w:rsidP="00CE2DF4">
      <w:pPr>
        <w:spacing w:after="120" w:line="240" w:lineRule="auto"/>
        <w:jc w:val="both"/>
        <w:rPr>
          <w:rFonts w:eastAsia="MS PGothic" w:cs="Calibri"/>
          <w:color w:val="202124"/>
          <w:lang w:val="en-US" w:eastAsia="zh-CN"/>
        </w:rPr>
      </w:pPr>
      <w:r w:rsidRPr="008C761D">
        <w:rPr>
          <w:rFonts w:eastAsia="Arial Narrow" w:cs="Calibri"/>
          <w:lang w:val="en-US" w:eastAsia="mk-MK"/>
        </w:rPr>
        <w:t>Fiscal decentralisation reform offers a systemic solution for stable finances of the municipalities, implying accountable municipalities and delivery of quality and efficient services to the citizens. Reform rests on three pillars: enhanced fiscal capacity of municipalities and increased municipal revenues, strengthened financial discipline of municipalities, reduced arrears and cost-effective operations, as well as increased transparency and accountability.</w:t>
      </w:r>
      <w:r w:rsidRPr="008C761D" w:rsidDel="00042BEB">
        <w:rPr>
          <w:rFonts w:eastAsia="Arial Narrow" w:cs="Calibri"/>
          <w:lang w:val="en-US" w:eastAsia="mk-MK"/>
        </w:rPr>
        <w:t xml:space="preserve"> </w:t>
      </w:r>
    </w:p>
    <w:p w14:paraId="683D7598" w14:textId="77777777" w:rsidR="00B10FB1" w:rsidRPr="008C761D" w:rsidRDefault="00B10FB1" w:rsidP="00B10FB1">
      <w:pPr>
        <w:spacing w:after="120" w:line="240" w:lineRule="auto"/>
        <w:jc w:val="both"/>
        <w:rPr>
          <w:rFonts w:eastAsia="MS PGothic" w:cs="Calibri"/>
          <w:color w:val="202124"/>
          <w:lang w:val="en-US" w:eastAsia="zh-CN"/>
        </w:rPr>
      </w:pPr>
      <w:r w:rsidRPr="008C761D">
        <w:rPr>
          <w:rFonts w:eastAsia="Arial Narrow" w:cs="Calibri"/>
          <w:lang w:val="en-US" w:eastAsia="mk-MK"/>
        </w:rPr>
        <w:t>Fiscal decentralisation reform offers a systemic solution for stable finances of the municipalities, implying accountable municipalities and delivery of quality and efficient services to the citizens. Reform rests on three pillars: enhanced fiscal capacity of municipalities and increased municipal revenues, strengthened financial discipline of municipalities, reduced arrears and cost-effective operations, as well as increased transparency and accountability.</w:t>
      </w:r>
    </w:p>
    <w:p w14:paraId="4217EFC1" w14:textId="77777777" w:rsidR="002F640E" w:rsidRPr="008C761D" w:rsidRDefault="002F640E" w:rsidP="00E84CD0">
      <w:pPr>
        <w:spacing w:before="120" w:after="0" w:line="240" w:lineRule="auto"/>
        <w:jc w:val="both"/>
        <w:rPr>
          <w:rFonts w:eastAsia="MS PGothic" w:cs="Calibri"/>
          <w:b/>
          <w:color w:val="2E74B5"/>
          <w:u w:val="single"/>
          <w:lang w:val="en-US" w:eastAsia="zh-CN"/>
        </w:rPr>
      </w:pPr>
    </w:p>
    <w:bookmarkEnd w:id="1"/>
    <w:bookmarkEnd w:id="7"/>
    <w:p w14:paraId="2B55A491" w14:textId="77777777" w:rsidR="003E0F1C" w:rsidRPr="008C761D" w:rsidRDefault="003E0F1C" w:rsidP="003E0F1C">
      <w:pPr>
        <w:spacing w:line="240" w:lineRule="auto"/>
        <w:jc w:val="both"/>
        <w:rPr>
          <w:b/>
          <w:color w:val="0070C0"/>
          <w:sz w:val="28"/>
          <w:szCs w:val="28"/>
          <w:lang w:val="en-US" w:eastAsia="zh-CN"/>
        </w:rPr>
      </w:pPr>
      <w:r w:rsidRPr="008C761D">
        <w:rPr>
          <w:b/>
          <w:color w:val="0070C0"/>
          <w:sz w:val="28"/>
          <w:szCs w:val="28"/>
          <w:lang w:val="en-US" w:eastAsia="zh-CN"/>
        </w:rPr>
        <w:t xml:space="preserve">Strategic Framework of the PFM Reform Programme 2024-2027  </w:t>
      </w:r>
    </w:p>
    <w:p w14:paraId="0F972645" w14:textId="77777777" w:rsidR="003E0F1C" w:rsidRPr="008C761D" w:rsidRDefault="003E0F1C" w:rsidP="003E0F1C">
      <w:pPr>
        <w:spacing w:after="120" w:line="240" w:lineRule="auto"/>
        <w:jc w:val="both"/>
        <w:rPr>
          <w:lang w:val="en-US" w:eastAsia="zh-CN"/>
        </w:rPr>
      </w:pPr>
      <w:r w:rsidRPr="008C761D">
        <w:rPr>
          <w:lang w:val="en-US" w:eastAsia="zh-CN"/>
        </w:rPr>
        <w:t>PFM Reform Programme has been prepared in line with the existing national programmes and commitments, as well as with the national strategies:</w:t>
      </w:r>
    </w:p>
    <w:p w14:paraId="34A3E581"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Fiscal Strategy/Revised Fiscal Strategy of the Republic of North Macedonia 2024 - 2028;</w:t>
      </w:r>
    </w:p>
    <w:p w14:paraId="0EA867CC"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Public Debt Management Strategy 2024-2026 (with prospects until 2028);</w:t>
      </w:r>
    </w:p>
    <w:p w14:paraId="6DA2C018"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Economic Reform Programme 2023 – 2025;</w:t>
      </w:r>
    </w:p>
    <w:p w14:paraId="17B04165"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IPA III Strategic Response for the period 2021 - 2027;</w:t>
      </w:r>
    </w:p>
    <w:p w14:paraId="5FC99016"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National Strategy for Prevention of Corruption and Conflict of Interests 2021 - 2025;</w:t>
      </w:r>
    </w:p>
    <w:p w14:paraId="52A9985F" w14:textId="77777777" w:rsidR="003E0F1C" w:rsidRPr="008C761D" w:rsidRDefault="003E0F1C" w:rsidP="003A338C">
      <w:pPr>
        <w:numPr>
          <w:ilvl w:val="0"/>
          <w:numId w:val="99"/>
        </w:numPr>
        <w:spacing w:after="120" w:line="240" w:lineRule="auto"/>
        <w:ind w:left="714" w:hanging="357"/>
        <w:jc w:val="both"/>
        <w:rPr>
          <w:lang w:val="en-US" w:eastAsia="zh-CN"/>
        </w:rPr>
      </w:pPr>
      <w:r w:rsidRPr="008C761D">
        <w:rPr>
          <w:lang w:val="en-US" w:eastAsia="zh-CN"/>
        </w:rPr>
        <w:t>Public Administration Reform (PAR) Strategy 2023 - 2030.</w:t>
      </w:r>
    </w:p>
    <w:p w14:paraId="4F47626E" w14:textId="77777777" w:rsidR="003E0F1C" w:rsidRPr="008C761D" w:rsidRDefault="003E0F1C" w:rsidP="003E0F1C">
      <w:pPr>
        <w:spacing w:after="120" w:line="240" w:lineRule="auto"/>
        <w:jc w:val="both"/>
        <w:rPr>
          <w:lang w:val="en-US" w:eastAsia="zh-CN"/>
        </w:rPr>
      </w:pPr>
      <w:r w:rsidRPr="008C761D">
        <w:rPr>
          <w:lang w:val="en-US" w:eastAsia="zh-CN"/>
        </w:rPr>
        <w:t>PFM sub-systems’ strategies:</w:t>
      </w:r>
    </w:p>
    <w:p w14:paraId="009801B6"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Tax System Reform Strategy 2021 - 2025;</w:t>
      </w:r>
    </w:p>
    <w:p w14:paraId="62865E3C" w14:textId="77777777" w:rsidR="003E0F1C" w:rsidRPr="008C761D" w:rsidRDefault="003E0F1C" w:rsidP="003A338C">
      <w:pPr>
        <w:numPr>
          <w:ilvl w:val="0"/>
          <w:numId w:val="100"/>
        </w:numPr>
        <w:spacing w:after="120" w:line="240" w:lineRule="auto"/>
        <w:jc w:val="both"/>
        <w:rPr>
          <w:lang w:val="en-US" w:eastAsia="zh-CN"/>
        </w:rPr>
      </w:pPr>
      <w:r w:rsidRPr="008C761D">
        <w:rPr>
          <w:lang w:val="en-US"/>
        </w:rPr>
        <w:t>Strategy for Strengthening Public Procurement System in the Republic of North Macedonia 2022 - 2026; Strategy for Development of the Customs Administration of the Republic of North Macedonia 2022 - 2024;</w:t>
      </w:r>
    </w:p>
    <w:p w14:paraId="57DA09B3"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lastRenderedPageBreak/>
        <w:t>Customs Administration’s ICT Development Strategy 2021-2025;</w:t>
      </w:r>
    </w:p>
    <w:p w14:paraId="62B2FE87"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Customs Risk Management Strategy 2023 - 2026;</w:t>
      </w:r>
    </w:p>
    <w:p w14:paraId="07DB6D78"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CEFTA Customs Risk Management Strategy 2020 - 2024;</w:t>
      </w:r>
    </w:p>
    <w:p w14:paraId="080341B4" w14:textId="77777777" w:rsidR="003E0F1C" w:rsidRPr="008C761D" w:rsidRDefault="003E0F1C" w:rsidP="003A338C">
      <w:pPr>
        <w:numPr>
          <w:ilvl w:val="0"/>
          <w:numId w:val="100"/>
        </w:numPr>
        <w:spacing w:after="120" w:line="240" w:lineRule="auto"/>
        <w:jc w:val="both"/>
        <w:rPr>
          <w:lang w:val="en-US" w:eastAsia="zh-CN"/>
        </w:rPr>
      </w:pPr>
      <w:r w:rsidRPr="008C761D">
        <w:rPr>
          <w:lang w:val="en-US"/>
        </w:rPr>
        <w:t>Integrity and Anti-Corruption Strategy of the Customs Administration of the Republic of North Macedonia 2023 - 2026;</w:t>
      </w:r>
    </w:p>
    <w:p w14:paraId="7FFC5733"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PRO Strategic Plan 2024 - 2026;</w:t>
      </w:r>
    </w:p>
    <w:p w14:paraId="350B12B8"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PRO Process Risk Management Strategy 2023 - 2025;</w:t>
      </w:r>
    </w:p>
    <w:p w14:paraId="04D9E108"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SAO Development Strategy 2023 – 2027;</w:t>
      </w:r>
    </w:p>
    <w:p w14:paraId="359AAE9F" w14:textId="77777777" w:rsidR="003E0F1C" w:rsidRPr="008C761D" w:rsidRDefault="003E0F1C" w:rsidP="003A338C">
      <w:pPr>
        <w:numPr>
          <w:ilvl w:val="0"/>
          <w:numId w:val="100"/>
        </w:numPr>
        <w:spacing w:after="120" w:line="240" w:lineRule="auto"/>
        <w:jc w:val="both"/>
        <w:rPr>
          <w:lang w:val="en-US" w:eastAsia="zh-CN"/>
        </w:rPr>
      </w:pPr>
      <w:r w:rsidRPr="008C761D">
        <w:rPr>
          <w:lang w:val="en-US" w:eastAsia="zh-CN"/>
        </w:rPr>
        <w:t>SAO IT Strategy 2023 - 2027.</w:t>
      </w:r>
    </w:p>
    <w:p w14:paraId="0A29E4E1" w14:textId="77777777" w:rsidR="003E0F1C" w:rsidRPr="008C761D" w:rsidRDefault="003E0F1C" w:rsidP="003E0F1C">
      <w:pPr>
        <w:spacing w:after="120" w:line="240" w:lineRule="auto"/>
        <w:ind w:left="720"/>
        <w:jc w:val="both"/>
        <w:rPr>
          <w:lang w:val="en-US" w:eastAsia="zh-CN"/>
        </w:rPr>
      </w:pPr>
    </w:p>
    <w:p w14:paraId="043E3A6C" w14:textId="0EC89381" w:rsidR="003E0F1C" w:rsidRPr="008C761D" w:rsidRDefault="003E0F1C" w:rsidP="004406B7">
      <w:pPr>
        <w:spacing w:before="240" w:line="240" w:lineRule="auto"/>
        <w:jc w:val="both"/>
        <w:rPr>
          <w:b/>
          <w:color w:val="0070C0"/>
          <w:sz w:val="28"/>
          <w:szCs w:val="28"/>
          <w:lang w:val="en-US" w:eastAsia="zh-CN"/>
        </w:rPr>
      </w:pPr>
      <w:r w:rsidRPr="008C761D">
        <w:rPr>
          <w:b/>
          <w:color w:val="0070C0"/>
          <w:sz w:val="28"/>
          <w:szCs w:val="28"/>
          <w:lang w:val="en-US" w:eastAsia="zh-CN"/>
        </w:rPr>
        <w:t xml:space="preserve">Implementation of the Public Financial </w:t>
      </w:r>
      <w:r w:rsidR="004406B7">
        <w:rPr>
          <w:b/>
          <w:color w:val="0070C0"/>
          <w:sz w:val="28"/>
          <w:szCs w:val="28"/>
          <w:lang w:val="en-US" w:eastAsia="zh-CN"/>
        </w:rPr>
        <w:t>Management Reform Programme 2022-2025</w:t>
      </w:r>
    </w:p>
    <w:p w14:paraId="70E22AAB" w14:textId="17D7B70D" w:rsidR="00E351AA" w:rsidRPr="00E351AA" w:rsidRDefault="003E0F1C" w:rsidP="003E0F1C">
      <w:pPr>
        <w:spacing w:line="240" w:lineRule="auto"/>
        <w:jc w:val="both"/>
        <w:rPr>
          <w:lang w:val="en-US" w:eastAsia="zh-CN"/>
        </w:rPr>
      </w:pPr>
      <w:r w:rsidRPr="008C761D">
        <w:rPr>
          <w:lang w:val="en-US" w:eastAsia="zh-CN"/>
        </w:rPr>
        <w:t>Ministry of Finance and other national institutions implemented a very ambitious agenda for PFM reforms, as part of the Public Financial Management Reform Program 2022-2025.</w:t>
      </w:r>
      <w:r w:rsidR="004406B7">
        <w:rPr>
          <w:lang w:val="en-US" w:eastAsia="zh-CN"/>
        </w:rPr>
        <w:t xml:space="preserve"> </w:t>
      </w:r>
      <w:r w:rsidRPr="008C761D">
        <w:rPr>
          <w:lang w:val="en-US" w:eastAsia="zh-CN"/>
        </w:rPr>
        <w:t xml:space="preserve">Efforts were geared towards strengthening the legislation in several main areas: planning and budgeting, public procurement, public internal financial control, public investment management and public debt management. </w:t>
      </w:r>
    </w:p>
    <w:p w14:paraId="4ACE510E" w14:textId="00BB80DD" w:rsidR="003E0F1C" w:rsidRPr="008C761D" w:rsidRDefault="003E0F1C" w:rsidP="003E0F1C">
      <w:pPr>
        <w:spacing w:line="240" w:lineRule="auto"/>
        <w:jc w:val="both"/>
        <w:rPr>
          <w:lang w:val="en-US"/>
        </w:rPr>
      </w:pPr>
      <w:r w:rsidRPr="008C761D">
        <w:rPr>
          <w:lang w:val="en-US" w:eastAsia="zh-CN"/>
        </w:rPr>
        <w:t>Two Action Plans on Implementation of PFM Programme for 2022 and 2023 were adopted and finalised.</w:t>
      </w:r>
      <w:r w:rsidR="00903D3F">
        <w:rPr>
          <w:lang w:val="en-US" w:eastAsia="zh-CN"/>
        </w:rPr>
        <w:t xml:space="preserve"> </w:t>
      </w:r>
      <w:r w:rsidRPr="008C761D">
        <w:rPr>
          <w:lang w:val="en-US"/>
        </w:rPr>
        <w:t>Annual/semi-annual reports were prepared therefore, being discussed with the PFM Sector Working Group, which were afterwards approved by the PFM Council and considered and adopted by the Government. They are published on the website of the Ministry of Finance (in Macedonian and English).</w:t>
      </w:r>
    </w:p>
    <w:p w14:paraId="680862B2" w14:textId="77777777" w:rsidR="003E0F1C" w:rsidRPr="008C761D" w:rsidRDefault="003E0F1C" w:rsidP="003E0F1C">
      <w:pPr>
        <w:spacing w:line="240" w:lineRule="auto"/>
        <w:jc w:val="both"/>
        <w:rPr>
          <w:rFonts w:eastAsia="Times New Roman"/>
          <w:lang w:val="en-US"/>
        </w:rPr>
      </w:pPr>
      <w:r w:rsidRPr="008C761D">
        <w:rPr>
          <w:rFonts w:eastAsia="Times New Roman"/>
          <w:lang w:val="en-US"/>
        </w:rPr>
        <w:t xml:space="preserve">National institutions implemented the following activities: </w:t>
      </w:r>
    </w:p>
    <w:p w14:paraId="24BF33FD" w14:textId="77777777" w:rsidR="003E0F1C" w:rsidRPr="008C761D" w:rsidRDefault="003E0F1C" w:rsidP="00903D3F">
      <w:pPr>
        <w:numPr>
          <w:ilvl w:val="0"/>
          <w:numId w:val="10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eastAsia="Times New Roman"/>
          <w:lang w:val="en-US"/>
        </w:rPr>
      </w:pPr>
      <w:r w:rsidRPr="008C761D">
        <w:rPr>
          <w:rFonts w:eastAsia="Times New Roman"/>
          <w:lang w:val="en-US"/>
        </w:rPr>
        <w:t>On 15the September 2022, the Parliament adopted the Organic Budget Law, which came into force on 27</w:t>
      </w:r>
      <w:r w:rsidRPr="008C761D">
        <w:rPr>
          <w:rFonts w:eastAsia="Times New Roman"/>
          <w:vertAlign w:val="superscript"/>
          <w:lang w:val="en-US"/>
        </w:rPr>
        <w:t>th</w:t>
      </w:r>
      <w:r w:rsidRPr="008C761D">
        <w:rPr>
          <w:rFonts w:eastAsia="Times New Roman"/>
          <w:lang w:val="en-US"/>
        </w:rPr>
        <w:t xml:space="preserve"> September 2022 and will star applying from 1</w:t>
      </w:r>
      <w:r w:rsidRPr="008C761D">
        <w:rPr>
          <w:rFonts w:eastAsia="Times New Roman"/>
          <w:vertAlign w:val="superscript"/>
          <w:lang w:val="en-US"/>
        </w:rPr>
        <w:t>st</w:t>
      </w:r>
      <w:r w:rsidRPr="008C761D">
        <w:rPr>
          <w:rFonts w:eastAsia="Times New Roman"/>
          <w:lang w:val="en-US"/>
        </w:rPr>
        <w:t xml:space="preserve"> January 2025, except for the provisions referred to in Article 121, which are applied starting 1</w:t>
      </w:r>
      <w:r w:rsidRPr="008C761D">
        <w:rPr>
          <w:rFonts w:eastAsia="Times New Roman"/>
          <w:vertAlign w:val="superscript"/>
          <w:lang w:val="en-US"/>
        </w:rPr>
        <w:t>st</w:t>
      </w:r>
      <w:r w:rsidRPr="008C761D">
        <w:rPr>
          <w:rFonts w:eastAsia="Times New Roman"/>
          <w:lang w:val="en-US"/>
        </w:rPr>
        <w:t xml:space="preserve"> January 2023.Under the OBL, numerical fiscal rules and fiscal principles have been introduced, </w:t>
      </w:r>
      <w:r w:rsidRPr="008C761D">
        <w:rPr>
          <w:rFonts w:cs="Calibri"/>
          <w:lang w:val="en-US"/>
        </w:rPr>
        <w:t xml:space="preserve">consistent with the EU fiscal rules, providing for a more predictable and more accountable fiscal policy, establishment of Fiscal Council, medium-term budget planning, improved state and municipal funds management, and attentive monitoring of the financial performance of the state-owned enterprises. </w:t>
      </w:r>
      <w:r w:rsidRPr="008C761D">
        <w:rPr>
          <w:rFonts w:eastAsia="Times New Roman"/>
          <w:lang w:val="en-US"/>
        </w:rPr>
        <w:t xml:space="preserve">As regards OBL implementation, MoF has started preparing the relevant legislation with support from the ongoing Twinning Project “Strengthening the Functions of Budget Planning, Execution </w:t>
      </w:r>
      <w:proofErr w:type="gramStart"/>
      <w:r w:rsidRPr="008C761D">
        <w:rPr>
          <w:rFonts w:eastAsia="Times New Roman"/>
          <w:lang w:val="en-US"/>
        </w:rPr>
        <w:t>And</w:t>
      </w:r>
      <w:proofErr w:type="gramEnd"/>
      <w:r w:rsidRPr="008C761D">
        <w:rPr>
          <w:rFonts w:eastAsia="Times New Roman"/>
          <w:lang w:val="en-US"/>
        </w:rPr>
        <w:t xml:space="preserve"> Internal Control”, as well as with other donor assistance.</w:t>
      </w:r>
    </w:p>
    <w:p w14:paraId="563A24E9" w14:textId="6F23EEA8" w:rsidR="003E0F1C" w:rsidRPr="008C761D" w:rsidRDefault="003E0F1C" w:rsidP="00903D3F">
      <w:pPr>
        <w:numPr>
          <w:ilvl w:val="0"/>
          <w:numId w:val="10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eastAsia="Times New Roman"/>
          <w:lang w:val="en-US"/>
        </w:rPr>
      </w:pPr>
      <w:r w:rsidRPr="008C761D">
        <w:rPr>
          <w:rFonts w:eastAsia="Times New Roman"/>
          <w:lang w:val="en-US"/>
        </w:rPr>
        <w:t>Fiscal Council was established under the 2023 Budget, as a separate budget user.</w:t>
      </w:r>
      <w:r w:rsidR="00903D3F">
        <w:rPr>
          <w:rFonts w:eastAsia="Times New Roman"/>
          <w:lang w:val="en-US"/>
        </w:rPr>
        <w:t xml:space="preserve"> </w:t>
      </w:r>
      <w:r w:rsidRPr="008C761D">
        <w:rPr>
          <w:rFonts w:eastAsia="Times New Roman"/>
          <w:lang w:val="en-US"/>
        </w:rPr>
        <w:t>Parliament adopted the Decision on Appointment of Fiscal Council Members on 19</w:t>
      </w:r>
      <w:r w:rsidRPr="008C761D">
        <w:rPr>
          <w:rFonts w:eastAsia="Times New Roman"/>
          <w:vertAlign w:val="superscript"/>
          <w:lang w:val="en-US"/>
        </w:rPr>
        <w:t>th</w:t>
      </w:r>
      <w:r w:rsidRPr="008C761D">
        <w:rPr>
          <w:rFonts w:eastAsia="Times New Roman"/>
          <w:lang w:val="en-US"/>
        </w:rPr>
        <w:t xml:space="preserve"> September, with its Rules of Procedure adopted on 12</w:t>
      </w:r>
      <w:r w:rsidRPr="008C761D">
        <w:rPr>
          <w:rFonts w:eastAsia="Times New Roman"/>
          <w:vertAlign w:val="superscript"/>
          <w:lang w:val="en-US"/>
        </w:rPr>
        <w:t>th</w:t>
      </w:r>
      <w:r w:rsidRPr="008C761D">
        <w:rPr>
          <w:rFonts w:eastAsia="Times New Roman"/>
          <w:lang w:val="en-US"/>
        </w:rPr>
        <w:t xml:space="preserve"> October 2023;</w:t>
      </w:r>
    </w:p>
    <w:p w14:paraId="0FA6DABC" w14:textId="577502D1" w:rsidR="003E0F1C" w:rsidRPr="008C761D" w:rsidRDefault="003E0F1C" w:rsidP="00903D3F">
      <w:pPr>
        <w:numPr>
          <w:ilvl w:val="0"/>
          <w:numId w:val="101"/>
        </w:numPr>
        <w:spacing w:before="240" w:line="240" w:lineRule="auto"/>
        <w:jc w:val="both"/>
        <w:rPr>
          <w:rFonts w:eastAsia="Times New Roman"/>
          <w:lang w:val="en-US"/>
        </w:rPr>
      </w:pPr>
      <w:r w:rsidRPr="008C761D">
        <w:rPr>
          <w:rFonts w:eastAsia="Times New Roman"/>
          <w:lang w:val="en-US"/>
        </w:rPr>
        <w:t>Government adopted the new Draft Law on Public Financial Control System on 28</w:t>
      </w:r>
      <w:r w:rsidRPr="008C761D">
        <w:rPr>
          <w:rFonts w:eastAsia="Times New Roman"/>
          <w:vertAlign w:val="superscript"/>
          <w:lang w:val="en-US"/>
        </w:rPr>
        <w:t>th</w:t>
      </w:r>
      <w:r w:rsidRPr="008C761D">
        <w:rPr>
          <w:rFonts w:eastAsia="Times New Roman"/>
          <w:lang w:val="en-US"/>
        </w:rPr>
        <w:t xml:space="preserve"> December 2020.</w:t>
      </w:r>
      <w:r w:rsidR="008F0EBD">
        <w:rPr>
          <w:rFonts w:eastAsia="Times New Roman"/>
          <w:lang w:val="en-US"/>
        </w:rPr>
        <w:t xml:space="preserve"> </w:t>
      </w:r>
      <w:r w:rsidRPr="008C761D">
        <w:rPr>
          <w:rFonts w:eastAsia="Times New Roman"/>
          <w:lang w:val="en-US"/>
        </w:rPr>
        <w:t>At the beginning of January 2021, the Draft Law was submitted to the Parliament for its adoption under two readings, the first one being already completed.</w:t>
      </w:r>
    </w:p>
    <w:p w14:paraId="0F221AD8" w14:textId="236CA313" w:rsidR="003E0F1C" w:rsidRPr="008C761D" w:rsidRDefault="003E0F1C" w:rsidP="00903D3F">
      <w:pPr>
        <w:numPr>
          <w:ilvl w:val="0"/>
          <w:numId w:val="101"/>
        </w:numPr>
        <w:spacing w:before="240" w:line="240" w:lineRule="auto"/>
        <w:jc w:val="both"/>
        <w:rPr>
          <w:rFonts w:eastAsia="Times New Roman"/>
          <w:lang w:val="en-US"/>
        </w:rPr>
      </w:pPr>
      <w:r w:rsidRPr="008C761D">
        <w:rPr>
          <w:rFonts w:eastAsia="Times New Roman"/>
          <w:lang w:val="en-US"/>
        </w:rPr>
        <w:lastRenderedPageBreak/>
        <w:t>On 30</w:t>
      </w:r>
      <w:r w:rsidRPr="008C761D">
        <w:rPr>
          <w:rFonts w:eastAsia="Times New Roman"/>
          <w:vertAlign w:val="superscript"/>
          <w:lang w:val="en-US"/>
        </w:rPr>
        <w:t>th</w:t>
      </w:r>
      <w:r w:rsidRPr="008C761D">
        <w:rPr>
          <w:rFonts w:eastAsia="Times New Roman"/>
          <w:lang w:val="en-US"/>
        </w:rPr>
        <w:t xml:space="preserve"> January 2023, the Parliament adopted the new Law on Public Sector Financial Inspection.</w:t>
      </w:r>
      <w:r w:rsidR="00903D3F">
        <w:rPr>
          <w:rFonts w:eastAsia="Times New Roman"/>
          <w:lang w:val="en-US"/>
        </w:rPr>
        <w:t xml:space="preserve"> </w:t>
      </w:r>
      <w:r w:rsidRPr="008C761D">
        <w:rPr>
          <w:rFonts w:eastAsia="Times New Roman"/>
          <w:lang w:val="en-US"/>
        </w:rPr>
        <w:t>The Law is aimed at protecting the financial interests of public sector entities from serious financial mismanagement, fraud and corruption.</w:t>
      </w:r>
      <w:r w:rsidRPr="008C761D">
        <w:rPr>
          <w:rFonts w:ascii="Helvetica" w:hAnsi="Helvetica"/>
          <w:szCs w:val="14"/>
          <w:shd w:val="clear" w:color="auto" w:fill="FFFFFF"/>
          <w:lang w:val="en-US"/>
        </w:rPr>
        <w:t> </w:t>
      </w:r>
      <w:r w:rsidRPr="008C761D">
        <w:rPr>
          <w:rFonts w:eastAsia="Times New Roman"/>
          <w:lang w:val="en-US"/>
        </w:rPr>
        <w:t>Respective draft bylaws and internal acts are in the process of preparation.</w:t>
      </w:r>
    </w:p>
    <w:p w14:paraId="2A6C7AF4" w14:textId="77777777" w:rsidR="003E0F1C" w:rsidRPr="008C761D" w:rsidRDefault="003E0F1C" w:rsidP="00903D3F">
      <w:pPr>
        <w:numPr>
          <w:ilvl w:val="0"/>
          <w:numId w:val="101"/>
        </w:numPr>
        <w:spacing w:line="240" w:lineRule="auto"/>
        <w:jc w:val="both"/>
        <w:rPr>
          <w:rFonts w:eastAsia="Times New Roman"/>
          <w:lang w:val="en-US"/>
        </w:rPr>
      </w:pPr>
      <w:r w:rsidRPr="008C761D">
        <w:rPr>
          <w:rFonts w:eastAsia="Times New Roman"/>
          <w:lang w:val="en-US"/>
        </w:rPr>
        <w:t>Latest amendments to the Law on Financing Local Government Units were adopted in August 2022, providing for a more realistic planning of municipal budgets.</w:t>
      </w:r>
    </w:p>
    <w:p w14:paraId="1EB5BC1B" w14:textId="77777777" w:rsidR="003E0F1C" w:rsidRPr="008C761D" w:rsidRDefault="003E0F1C" w:rsidP="00903D3F">
      <w:pPr>
        <w:numPr>
          <w:ilvl w:val="0"/>
          <w:numId w:val="101"/>
        </w:numPr>
        <w:spacing w:before="240" w:after="0" w:line="240" w:lineRule="auto"/>
        <w:jc w:val="both"/>
        <w:rPr>
          <w:rFonts w:eastAsia="Times New Roman"/>
          <w:lang w:val="en-US"/>
        </w:rPr>
      </w:pPr>
      <w:r w:rsidRPr="008C761D">
        <w:rPr>
          <w:rFonts w:eastAsia="Times New Roman"/>
          <w:lang w:val="en-US"/>
        </w:rPr>
        <w:t xml:space="preserve">In March 2022, Government of the Republic of North Macedonia adopted the 2022 - 2026 </w:t>
      </w:r>
      <w:r w:rsidRPr="008C761D">
        <w:rPr>
          <w:lang w:val="en-US"/>
        </w:rPr>
        <w:t>Strategy for Development of Public Procurement System in the Republic of North Macedonia.</w:t>
      </w:r>
    </w:p>
    <w:p w14:paraId="3CFE2D01" w14:textId="46854960" w:rsidR="003E0F1C" w:rsidRPr="00E47AF4" w:rsidRDefault="003E0F1C" w:rsidP="00E47AF4">
      <w:pPr>
        <w:numPr>
          <w:ilvl w:val="0"/>
          <w:numId w:val="101"/>
        </w:numPr>
        <w:spacing w:before="240" w:after="0" w:line="240" w:lineRule="auto"/>
        <w:jc w:val="both"/>
        <w:rPr>
          <w:rFonts w:eastAsia="Times New Roman"/>
          <w:lang w:val="en-US"/>
        </w:rPr>
      </w:pPr>
      <w:r w:rsidRPr="00E47AF4">
        <w:rPr>
          <w:rFonts w:eastAsia="Times New Roman"/>
          <w:lang w:val="en-US"/>
        </w:rPr>
        <w:t>In line with the EU recommendations, Draft Law on Public Private Partnership (PPP) was submitted to the European Commission for its alignment with the given recommendation on three occasions, once in 2022 and twice in 2023.European Commission confirming that the Law is fully harmonised with the relevant EU Directive.</w:t>
      </w:r>
      <w:r w:rsidR="00903D3F" w:rsidRPr="00E47AF4">
        <w:rPr>
          <w:rFonts w:eastAsia="Times New Roman"/>
          <w:lang w:val="en-US"/>
        </w:rPr>
        <w:t xml:space="preserve"> </w:t>
      </w:r>
      <w:r w:rsidRPr="00E47AF4">
        <w:rPr>
          <w:rFonts w:eastAsia="Times New Roman"/>
          <w:lang w:val="en-US"/>
        </w:rPr>
        <w:t>Draft Law on PPP is consulted with the Legislative Secretariat and acted upon its suggestions and an official request for opinion will be submitted to the relevant institutions, followed by its submission to the Government.</w:t>
      </w:r>
    </w:p>
    <w:p w14:paraId="7E1146FE" w14:textId="38F7B906" w:rsidR="003E0F1C" w:rsidRPr="008C761D" w:rsidRDefault="003E0F1C" w:rsidP="00903D3F">
      <w:pPr>
        <w:numPr>
          <w:ilvl w:val="0"/>
          <w:numId w:val="101"/>
        </w:numPr>
        <w:spacing w:before="240" w:line="240" w:lineRule="auto"/>
        <w:jc w:val="both"/>
        <w:rPr>
          <w:rFonts w:eastAsia="Times New Roman"/>
          <w:lang w:val="en-US"/>
        </w:rPr>
      </w:pPr>
      <w:r w:rsidRPr="008C761D">
        <w:rPr>
          <w:rFonts w:eastAsia="Times New Roman"/>
          <w:lang w:val="en-US"/>
        </w:rPr>
        <w:t>Ministry of Economy prepared initial version of the Draft Law on Concession for Goods of General Interest.</w:t>
      </w:r>
      <w:r w:rsidR="00903D3F">
        <w:rPr>
          <w:rFonts w:eastAsia="Times New Roman"/>
          <w:lang w:val="en-US"/>
        </w:rPr>
        <w:t xml:space="preserve"> </w:t>
      </w:r>
      <w:r w:rsidRPr="008C761D">
        <w:rPr>
          <w:rFonts w:eastAsia="Times New Roman"/>
          <w:lang w:val="en-US"/>
        </w:rPr>
        <w:t>Draft Law is</w:t>
      </w:r>
      <w:r w:rsidRPr="008C761D">
        <w:rPr>
          <w:rFonts w:cs="Calibri"/>
          <w:lang w:val="en-US"/>
        </w:rPr>
        <w:t xml:space="preserve"> consulted with the Legislative Secretariat and acted upon its suggestions</w:t>
      </w:r>
      <w:r w:rsidRPr="008C761D">
        <w:rPr>
          <w:rFonts w:eastAsia="Times New Roman"/>
          <w:lang w:val="en-US"/>
        </w:rPr>
        <w:t xml:space="preserve"> and </w:t>
      </w:r>
      <w:r w:rsidRPr="008C761D">
        <w:rPr>
          <w:rFonts w:cs="Calibri"/>
          <w:lang w:val="en-US"/>
        </w:rPr>
        <w:t>an official request for opinion will be submitted to the relevant institutions</w:t>
      </w:r>
      <w:r w:rsidRPr="008C761D">
        <w:rPr>
          <w:rFonts w:eastAsia="Times New Roman"/>
          <w:lang w:val="en-US"/>
        </w:rPr>
        <w:t>, followed by its submission to the Government, alongside the Draft Law on PPP.</w:t>
      </w:r>
    </w:p>
    <w:p w14:paraId="77DD70FC" w14:textId="77777777" w:rsidR="003E0F1C" w:rsidRPr="008C761D" w:rsidRDefault="003E0F1C" w:rsidP="00903D3F">
      <w:pPr>
        <w:numPr>
          <w:ilvl w:val="0"/>
          <w:numId w:val="101"/>
        </w:numPr>
        <w:spacing w:line="240" w:lineRule="auto"/>
        <w:jc w:val="both"/>
        <w:rPr>
          <w:rFonts w:eastAsia="Times New Roman"/>
          <w:lang w:val="en-US"/>
        </w:rPr>
      </w:pPr>
      <w:r w:rsidRPr="008C761D">
        <w:rPr>
          <w:rFonts w:eastAsia="Times New Roman"/>
          <w:lang w:val="en-US"/>
        </w:rPr>
        <w:t>Government adopted the Fiscal Strategy 2024 - 2028 on 14</w:t>
      </w:r>
      <w:r w:rsidRPr="008C761D">
        <w:rPr>
          <w:rFonts w:eastAsia="Times New Roman"/>
          <w:vertAlign w:val="superscript"/>
          <w:lang w:val="en-US"/>
        </w:rPr>
        <w:t>th</w:t>
      </w:r>
      <w:r w:rsidRPr="008C761D">
        <w:rPr>
          <w:rFonts w:eastAsia="Times New Roman"/>
          <w:lang w:val="en-US"/>
        </w:rPr>
        <w:t xml:space="preserve"> June 2023.</w:t>
      </w:r>
    </w:p>
    <w:p w14:paraId="0544775A" w14:textId="77777777" w:rsidR="003E0F1C" w:rsidRPr="008C761D" w:rsidRDefault="003E0F1C" w:rsidP="00903D3F">
      <w:pPr>
        <w:numPr>
          <w:ilvl w:val="0"/>
          <w:numId w:val="101"/>
        </w:numPr>
        <w:spacing w:line="240" w:lineRule="auto"/>
        <w:jc w:val="both"/>
        <w:rPr>
          <w:rFonts w:eastAsia="Times New Roman"/>
          <w:lang w:val="en-US"/>
        </w:rPr>
      </w:pPr>
      <w:r w:rsidRPr="008C761D">
        <w:rPr>
          <w:rFonts w:eastAsia="Times New Roman" w:cs="Calibri"/>
          <w:lang w:val="en-US"/>
        </w:rPr>
        <w:t xml:space="preserve">Government adopted the </w:t>
      </w:r>
      <w:r w:rsidRPr="008C761D">
        <w:rPr>
          <w:rFonts w:cs="Calibri"/>
          <w:lang w:val="en-US"/>
        </w:rPr>
        <w:t xml:space="preserve">Fiscal Sustainability and Economic Growth Support Plan in October 2023, which incorporates specific measures contributing to narrowing the budget deficit and reducing the debt, a benchmark set under the </w:t>
      </w:r>
      <w:r w:rsidRPr="008C761D">
        <w:rPr>
          <w:rFonts w:eastAsia="Times New Roman"/>
          <w:lang w:val="en-US"/>
        </w:rPr>
        <w:t xml:space="preserve">Fiscal Strategy 2024 - 2028, </w:t>
      </w:r>
      <w:r w:rsidRPr="008C761D">
        <w:rPr>
          <w:rFonts w:cs="Calibri"/>
          <w:lang w:val="en-US"/>
        </w:rPr>
        <w:t>by streamlining, savings and increased genuine revenue collection.</w:t>
      </w:r>
    </w:p>
    <w:p w14:paraId="2EA3584A" w14:textId="77777777" w:rsidR="003E0F1C" w:rsidRPr="008C761D" w:rsidRDefault="003E0F1C" w:rsidP="00903D3F">
      <w:pPr>
        <w:numPr>
          <w:ilvl w:val="0"/>
          <w:numId w:val="101"/>
        </w:numPr>
        <w:spacing w:line="240" w:lineRule="auto"/>
        <w:jc w:val="both"/>
        <w:rPr>
          <w:rFonts w:eastAsia="Times New Roman"/>
          <w:lang w:val="en-US"/>
        </w:rPr>
      </w:pPr>
      <w:r w:rsidRPr="008C761D">
        <w:rPr>
          <w:rFonts w:eastAsia="Times New Roman"/>
          <w:lang w:val="en-US"/>
        </w:rPr>
        <w:t>Ministry of Finance prepared the Public Debt Management Strategy 2024 - 2028 and the Government adopted it at its session held on 27</w:t>
      </w:r>
      <w:r w:rsidRPr="008C761D">
        <w:rPr>
          <w:rFonts w:eastAsia="Times New Roman"/>
          <w:vertAlign w:val="superscript"/>
          <w:lang w:val="en-US"/>
        </w:rPr>
        <w:t>th</w:t>
      </w:r>
      <w:r w:rsidRPr="008C761D">
        <w:rPr>
          <w:rFonts w:eastAsia="Times New Roman"/>
          <w:lang w:val="en-US"/>
        </w:rPr>
        <w:t xml:space="preserve"> June 2023.In addition, the Government adopted the 2022 Annual Public Debt Management Report on 27</w:t>
      </w:r>
      <w:r w:rsidRPr="008C761D">
        <w:rPr>
          <w:rFonts w:eastAsia="Times New Roman"/>
          <w:vertAlign w:val="superscript"/>
          <w:lang w:val="en-US"/>
        </w:rPr>
        <w:t>th</w:t>
      </w:r>
      <w:r w:rsidRPr="008C761D">
        <w:rPr>
          <w:rFonts w:eastAsia="Times New Roman"/>
          <w:lang w:val="en-US"/>
        </w:rPr>
        <w:t xml:space="preserve"> June 2023. </w:t>
      </w:r>
    </w:p>
    <w:p w14:paraId="4B7EE93F" w14:textId="107B6F51" w:rsidR="003E0F1C" w:rsidRPr="008C761D" w:rsidRDefault="003E0F1C" w:rsidP="00903D3F">
      <w:pPr>
        <w:numPr>
          <w:ilvl w:val="0"/>
          <w:numId w:val="101"/>
        </w:numPr>
        <w:spacing w:line="240" w:lineRule="auto"/>
        <w:jc w:val="both"/>
        <w:rPr>
          <w:rFonts w:eastAsia="Times New Roman"/>
          <w:lang w:val="en-US"/>
        </w:rPr>
      </w:pPr>
      <w:r w:rsidRPr="008C761D">
        <w:rPr>
          <w:rFonts w:eastAsia="Times New Roman"/>
          <w:lang w:val="en-US"/>
        </w:rPr>
        <w:t>In the course of 2022, committed to achieving the objectives and the priorities identified in the Tax System Reform Strategy (2021 - 2025), Ministry of Finance commenced ambitious tax policy reforms aimed at improved quality of the tax system and increased mobilisation of revenues, and prepared Tax Reform Concept.</w:t>
      </w:r>
      <w:r w:rsidR="008C3A44">
        <w:rPr>
          <w:rFonts w:eastAsia="Times New Roman"/>
          <w:lang w:val="en-US"/>
        </w:rPr>
        <w:t xml:space="preserve"> </w:t>
      </w:r>
      <w:r w:rsidRPr="008C761D">
        <w:rPr>
          <w:rFonts w:eastAsia="Times New Roman"/>
          <w:lang w:val="en-US"/>
        </w:rPr>
        <w:t xml:space="preserve">As a result of the measures foreseen under the Tax Reform Concept, legal amendments were proposed in the field of personal income tax, corporate income tax and value added tax, with modifications and amendments being proposed in 2023 in the field of excise duties and </w:t>
      </w:r>
      <w:r w:rsidRPr="008C761D">
        <w:rPr>
          <w:rFonts w:cs="Calibri"/>
          <w:lang w:val="en-US"/>
        </w:rPr>
        <w:t>motor vehicles tax</w:t>
      </w:r>
      <w:r w:rsidRPr="008C761D">
        <w:rPr>
          <w:rFonts w:eastAsia="Times New Roman"/>
          <w:lang w:val="en-US"/>
        </w:rPr>
        <w:t>.</w:t>
      </w:r>
    </w:p>
    <w:p w14:paraId="5EC6F1F9" w14:textId="77777777" w:rsidR="003E0F1C" w:rsidRPr="00E351AA" w:rsidRDefault="003E0F1C" w:rsidP="00903D3F">
      <w:pPr>
        <w:numPr>
          <w:ilvl w:val="0"/>
          <w:numId w:val="106"/>
        </w:numPr>
        <w:spacing w:line="240" w:lineRule="auto"/>
        <w:ind w:left="1134" w:hanging="425"/>
        <w:jc w:val="both"/>
        <w:rPr>
          <w:rFonts w:asciiTheme="minorHAnsi" w:eastAsia="Times New Roman" w:hAnsiTheme="minorHAnsi" w:cstheme="minorHAnsi"/>
          <w:lang w:val="en-US"/>
        </w:rPr>
      </w:pPr>
      <w:r w:rsidRPr="00E351AA">
        <w:rPr>
          <w:rFonts w:asciiTheme="minorHAnsi" w:eastAsia="Times New Roman" w:hAnsiTheme="minorHAnsi" w:cstheme="minorHAnsi"/>
          <w:b/>
          <w:lang w:val="en-US"/>
        </w:rPr>
        <w:t xml:space="preserve">as regards personal income tax, </w:t>
      </w:r>
      <w:r w:rsidRPr="00E351AA">
        <w:rPr>
          <w:rFonts w:asciiTheme="minorHAnsi" w:eastAsia="Times New Roman" w:hAnsiTheme="minorHAnsi" w:cstheme="minorHAnsi"/>
          <w:lang w:val="en-US"/>
        </w:rPr>
        <w:t xml:space="preserve">Law on Modifications and Amendments to the Law on Personal Income Tax (“Official Gazette of the Republic of North Macedonia”, no. </w:t>
      </w:r>
      <w:r w:rsidRPr="00E351AA">
        <w:rPr>
          <w:rFonts w:asciiTheme="minorHAnsi" w:hAnsiTheme="minorHAnsi" w:cstheme="minorHAnsi"/>
          <w:vanish/>
          <w:color w:val="292929"/>
          <w:lang w:val="en-US"/>
        </w:rPr>
        <w:t>  |                                                                                                                                                                                                                                                       </w:t>
      </w:r>
      <w:r w:rsidRPr="00E351AA">
        <w:rPr>
          <w:rFonts w:asciiTheme="minorHAnsi" w:eastAsia="Times New Roman" w:hAnsiTheme="minorHAnsi" w:cstheme="minorHAnsi"/>
          <w:lang w:val="en-US"/>
        </w:rPr>
        <w:t>274 dated 20</w:t>
      </w:r>
      <w:r w:rsidRPr="00E351AA">
        <w:rPr>
          <w:rFonts w:asciiTheme="minorHAnsi" w:eastAsia="Times New Roman" w:hAnsiTheme="minorHAnsi" w:cstheme="minorHAnsi"/>
          <w:vertAlign w:val="superscript"/>
          <w:lang w:val="en-US"/>
        </w:rPr>
        <w:t>th</w:t>
      </w:r>
      <w:r w:rsidRPr="00E351AA">
        <w:rPr>
          <w:rFonts w:asciiTheme="minorHAnsi" w:eastAsia="Times New Roman" w:hAnsiTheme="minorHAnsi" w:cstheme="minorHAnsi"/>
          <w:lang w:val="en-US"/>
        </w:rPr>
        <w:t xml:space="preserve"> December 2022) was prepared and adopted, which applies starting 1</w:t>
      </w:r>
      <w:r w:rsidRPr="00E351AA">
        <w:rPr>
          <w:rFonts w:asciiTheme="minorHAnsi" w:eastAsia="Times New Roman" w:hAnsiTheme="minorHAnsi" w:cstheme="minorHAnsi"/>
          <w:vertAlign w:val="superscript"/>
          <w:lang w:val="en-US"/>
        </w:rPr>
        <w:t>st</w:t>
      </w:r>
      <w:r w:rsidRPr="00E351AA">
        <w:rPr>
          <w:rFonts w:asciiTheme="minorHAnsi" w:eastAsia="Times New Roman" w:hAnsiTheme="minorHAnsi" w:cstheme="minorHAnsi"/>
          <w:lang w:val="en-US"/>
        </w:rPr>
        <w:t xml:space="preserve"> January 2023.The Law stipulates </w:t>
      </w:r>
      <w:r w:rsidRPr="00E351AA">
        <w:rPr>
          <w:rFonts w:asciiTheme="minorHAnsi" w:hAnsiTheme="minorHAnsi" w:cstheme="minorHAnsi"/>
          <w:lang w:val="en-US"/>
        </w:rPr>
        <w:t>taxation of capital gains generated on the basis of sale of securities and shares issued by investments funds, acquired from 1</w:t>
      </w:r>
      <w:r w:rsidRPr="00E351AA">
        <w:rPr>
          <w:rFonts w:asciiTheme="minorHAnsi" w:hAnsiTheme="minorHAnsi" w:cstheme="minorHAnsi"/>
          <w:vertAlign w:val="superscript"/>
          <w:lang w:val="en-US"/>
        </w:rPr>
        <w:t>st</w:t>
      </w:r>
      <w:r w:rsidRPr="00E351AA">
        <w:rPr>
          <w:rFonts w:asciiTheme="minorHAnsi" w:hAnsiTheme="minorHAnsi" w:cstheme="minorHAnsi"/>
          <w:lang w:val="en-US"/>
        </w:rPr>
        <w:t xml:space="preserve"> January 2023</w:t>
      </w:r>
      <w:r w:rsidRPr="00E351AA">
        <w:rPr>
          <w:rFonts w:asciiTheme="minorHAnsi" w:eastAsia="Times New Roman" w:hAnsiTheme="minorHAnsi" w:cstheme="minorHAnsi"/>
          <w:lang w:val="en-US"/>
        </w:rPr>
        <w:t>.In particular, under the respective Law, tax exemption on life insurance premium, voluntary private health insurance premium and contribution for voluntary fully-funded pension insurance paid in favor of the employees is abolished and treatment of unrecognised expenditure on the whole amount of life insurance premium paid for self-employed, is prescribed.</w:t>
      </w:r>
    </w:p>
    <w:p w14:paraId="113DC05E" w14:textId="7D35A465" w:rsidR="003E0F1C" w:rsidRPr="008C761D" w:rsidRDefault="003E0F1C" w:rsidP="00903D3F">
      <w:pPr>
        <w:numPr>
          <w:ilvl w:val="0"/>
          <w:numId w:val="105"/>
        </w:numPr>
        <w:spacing w:line="240" w:lineRule="auto"/>
        <w:jc w:val="both"/>
        <w:rPr>
          <w:rFonts w:eastAsia="Times New Roman"/>
          <w:lang w:val="en-US"/>
        </w:rPr>
      </w:pPr>
      <w:r w:rsidRPr="008C761D">
        <w:rPr>
          <w:rFonts w:eastAsia="Times New Roman"/>
          <w:b/>
          <w:lang w:val="en-US"/>
        </w:rPr>
        <w:lastRenderedPageBreak/>
        <w:t xml:space="preserve">as regards CIT, </w:t>
      </w:r>
      <w:r w:rsidRPr="008C761D">
        <w:rPr>
          <w:rFonts w:eastAsia="Times New Roman"/>
          <w:lang w:val="en-US"/>
        </w:rPr>
        <w:t>Law on Modifications and Amendments to the Corporate Income Tax Law (“Official Gazette of the Republic of North Macedonia”, no. 199/23 dated 25</w:t>
      </w:r>
      <w:r w:rsidRPr="008C761D">
        <w:rPr>
          <w:rFonts w:eastAsia="Times New Roman"/>
          <w:vertAlign w:val="superscript"/>
          <w:lang w:val="en-US"/>
        </w:rPr>
        <w:t>th</w:t>
      </w:r>
      <w:r w:rsidRPr="008C761D">
        <w:rPr>
          <w:rFonts w:eastAsia="Times New Roman"/>
          <w:lang w:val="en-US"/>
        </w:rPr>
        <w:t xml:space="preserve"> September 2023) was prepared and adopted.</w:t>
      </w:r>
      <w:r w:rsidR="008C3A44">
        <w:rPr>
          <w:rFonts w:eastAsia="Times New Roman"/>
          <w:lang w:val="en-US"/>
        </w:rPr>
        <w:t xml:space="preserve"> </w:t>
      </w:r>
      <w:r w:rsidRPr="008C761D">
        <w:rPr>
          <w:rFonts w:eastAsia="Times New Roman"/>
          <w:lang w:val="en-US"/>
        </w:rPr>
        <w:t>In particular, under the respective Law, treatment of unrecognised expenditure on the total amount of costs incurred on the basis of life insurance premiums paid in favour of the employees is defined, and the right to deduction of the assessed tax on the amount of funds donated to sports entities is abolished. The Law also envisages five times the amount of the tax to be paid in cases when the taxpayer fails to prove, substantiated with documents, that it applied the tax exemption, on the basis of reinvested profit, for investments in tangible and intangible assets for the purpose of expanding its business activity, as well as if the taxpayer fails to assess the tax.</w:t>
      </w:r>
      <w:r w:rsidR="00944D78">
        <w:rPr>
          <w:rFonts w:eastAsia="Times New Roman"/>
          <w:lang w:val="en-US"/>
        </w:rPr>
        <w:t xml:space="preserve"> </w:t>
      </w:r>
      <w:r w:rsidRPr="008C761D">
        <w:rPr>
          <w:rFonts w:eastAsia="Times New Roman"/>
          <w:lang w:val="en-US"/>
        </w:rPr>
        <w:t>In addition, the respective Law is harmonised with Council Directive (EU) 2016/1164 of 12 July 2016 laying down rules against tax avoidance practices that directly affect the functioning of the internal market, i.e. general anti-abuse rule is prescribed for an arrangement or a series of arrangements, having been put into place for the main purpose or one of the main purposes of obtaining the tax advantages regulated under the Corporate Income Tax Law.</w:t>
      </w:r>
    </w:p>
    <w:p w14:paraId="090980A3" w14:textId="77777777" w:rsidR="003E0F1C" w:rsidRPr="008C761D" w:rsidRDefault="003E0F1C" w:rsidP="00903D3F">
      <w:pPr>
        <w:numPr>
          <w:ilvl w:val="0"/>
          <w:numId w:val="105"/>
        </w:numPr>
        <w:spacing w:line="240" w:lineRule="auto"/>
        <w:jc w:val="both"/>
        <w:rPr>
          <w:rFonts w:eastAsia="Times New Roman"/>
          <w:b/>
          <w:lang w:val="en-US"/>
        </w:rPr>
      </w:pPr>
      <w:r w:rsidRPr="008C761D">
        <w:rPr>
          <w:rFonts w:eastAsia="Times New Roman"/>
          <w:b/>
          <w:lang w:val="en-US"/>
        </w:rPr>
        <w:t>as regards value added tax</w:t>
      </w:r>
      <w:r w:rsidRPr="008C761D">
        <w:rPr>
          <w:rFonts w:eastAsia="Times New Roman"/>
          <w:lang w:val="en-US"/>
        </w:rPr>
        <w:t>, Law on Modifications and Amendments to the Value Added Tax Law (“Official Gazette of the Republic of North Macedonia”, no. 199/23 dated 25</w:t>
      </w:r>
      <w:r w:rsidRPr="008C761D">
        <w:rPr>
          <w:rFonts w:eastAsia="Times New Roman"/>
          <w:vertAlign w:val="superscript"/>
          <w:lang w:val="en-US"/>
        </w:rPr>
        <w:t>th</w:t>
      </w:r>
      <w:r w:rsidRPr="008C761D">
        <w:rPr>
          <w:rFonts w:eastAsia="Times New Roman"/>
          <w:lang w:val="en-US"/>
        </w:rPr>
        <w:t xml:space="preserve"> September 2023) was prepared and adopted, with following segments being further harmonised with the Council Directive 2006/112/EC of 28 November 2006 on the common system of value added tax:</w:t>
      </w:r>
    </w:p>
    <w:p w14:paraId="4C98A051" w14:textId="77777777" w:rsidR="003E0F1C" w:rsidRPr="008C761D" w:rsidRDefault="003E0F1C" w:rsidP="00903D3F">
      <w:pPr>
        <w:numPr>
          <w:ilvl w:val="1"/>
          <w:numId w:val="104"/>
        </w:numPr>
        <w:spacing w:line="240" w:lineRule="auto"/>
        <w:jc w:val="both"/>
        <w:rPr>
          <w:rFonts w:eastAsia="Times New Roman"/>
          <w:lang w:val="en-US"/>
        </w:rPr>
      </w:pPr>
      <w:r w:rsidRPr="008C761D">
        <w:rPr>
          <w:rFonts w:eastAsia="Times New Roman"/>
          <w:lang w:val="en-US"/>
        </w:rPr>
        <w:t>precisely defining the place of supply of services, as well as introducing the category of a tax representative to act on behalf of the non-resident foreign entities with no head office in the country, but performing supply therein, with respect to settlement of liabilities towards the tax authority, including the payment of VAT;</w:t>
      </w:r>
    </w:p>
    <w:p w14:paraId="164B189F" w14:textId="77777777" w:rsidR="003E0F1C" w:rsidRPr="008C761D" w:rsidRDefault="003E0F1C" w:rsidP="00903D3F">
      <w:pPr>
        <w:numPr>
          <w:ilvl w:val="1"/>
          <w:numId w:val="104"/>
        </w:numPr>
        <w:spacing w:line="240" w:lineRule="auto"/>
        <w:jc w:val="both"/>
        <w:rPr>
          <w:rFonts w:eastAsia="Times New Roman"/>
          <w:lang w:val="en-US"/>
        </w:rPr>
      </w:pPr>
      <w:r w:rsidRPr="008C761D">
        <w:rPr>
          <w:rFonts w:eastAsia="Times New Roman"/>
          <w:lang w:val="en-US"/>
        </w:rPr>
        <w:t>VAT treatment of vouchers;</w:t>
      </w:r>
    </w:p>
    <w:p w14:paraId="59FC5364" w14:textId="77777777" w:rsidR="003E0F1C" w:rsidRPr="008C761D" w:rsidRDefault="003E0F1C" w:rsidP="00903D3F">
      <w:pPr>
        <w:numPr>
          <w:ilvl w:val="1"/>
          <w:numId w:val="104"/>
        </w:numPr>
        <w:spacing w:line="240" w:lineRule="auto"/>
        <w:jc w:val="both"/>
        <w:rPr>
          <w:rFonts w:eastAsia="Times New Roman"/>
          <w:lang w:val="en-US"/>
        </w:rPr>
      </w:pPr>
      <w:r w:rsidRPr="008C761D">
        <w:rPr>
          <w:rFonts w:eastAsia="Times New Roman"/>
          <w:lang w:val="en-US"/>
        </w:rPr>
        <w:t>regulating more precisely the special type of tax base;</w:t>
      </w:r>
    </w:p>
    <w:p w14:paraId="4018160B" w14:textId="77777777" w:rsidR="003E0F1C" w:rsidRPr="008C761D" w:rsidRDefault="003E0F1C" w:rsidP="00903D3F">
      <w:pPr>
        <w:numPr>
          <w:ilvl w:val="0"/>
          <w:numId w:val="105"/>
        </w:numPr>
        <w:spacing w:line="240" w:lineRule="auto"/>
        <w:jc w:val="both"/>
        <w:rPr>
          <w:rFonts w:eastAsia="Times New Roman"/>
          <w:lang w:val="en-US"/>
        </w:rPr>
      </w:pPr>
      <w:r w:rsidRPr="008C761D">
        <w:rPr>
          <w:rFonts w:eastAsia="Times New Roman"/>
          <w:lang w:val="en-US"/>
        </w:rPr>
        <w:t>prescribing the tax rates, whereby: VAT rate is reduced from 18% to 5% for digital textbooks and menstrual hygiene products, with VAT rate increasing from 5% to 10% for foodstuff other than basic foodstuff for human consumption.</w:t>
      </w:r>
    </w:p>
    <w:p w14:paraId="7712815B" w14:textId="16605977" w:rsidR="003E0F1C" w:rsidRPr="008C761D" w:rsidRDefault="003E0F1C" w:rsidP="00903D3F">
      <w:pPr>
        <w:numPr>
          <w:ilvl w:val="0"/>
          <w:numId w:val="105"/>
        </w:numPr>
        <w:spacing w:line="240" w:lineRule="auto"/>
        <w:jc w:val="both"/>
        <w:rPr>
          <w:rFonts w:eastAsia="Times New Roman"/>
          <w:lang w:val="en-US"/>
        </w:rPr>
      </w:pPr>
      <w:r w:rsidRPr="008C761D">
        <w:rPr>
          <w:rFonts w:eastAsia="Times New Roman"/>
          <w:b/>
          <w:lang w:val="en-US"/>
        </w:rPr>
        <w:t>in the field of excise policy</w:t>
      </w:r>
      <w:r w:rsidRPr="008C761D">
        <w:rPr>
          <w:rFonts w:eastAsia="Times New Roman"/>
          <w:lang w:val="en-US"/>
        </w:rPr>
        <w:t>, Law on Modifications and Amendments to the Law on Excises (“Official Gazette of the Republic of North Macedonia”, no. 209/23 dated 5</w:t>
      </w:r>
      <w:r w:rsidRPr="008C761D">
        <w:rPr>
          <w:rFonts w:eastAsia="Times New Roman"/>
          <w:vertAlign w:val="superscript"/>
          <w:lang w:val="en-US"/>
        </w:rPr>
        <w:t>th</w:t>
      </w:r>
      <w:r w:rsidRPr="008C761D">
        <w:rPr>
          <w:rFonts w:eastAsia="Times New Roman"/>
          <w:lang w:val="en-US"/>
        </w:rPr>
        <w:t xml:space="preserve"> October 2023) was prepared and adopted, providing for harmonisation with Council Directive 2011/64/EU of 21 June 2011 on the structure and rates of excise duty applied to manufactured tobacco, by introducing a new 2024 -2030 Excise Calendar, thus attaining the minimum excise duty on cigarettes as per the respective Directive. Increased share of total excise duty in the weighted average price (WAP) of cigarettes is also envisaged.</w:t>
      </w:r>
      <w:r w:rsidR="00944D78">
        <w:rPr>
          <w:rFonts w:eastAsia="Times New Roman"/>
          <w:lang w:val="en-US"/>
        </w:rPr>
        <w:t xml:space="preserve"> </w:t>
      </w:r>
      <w:r w:rsidRPr="008C761D">
        <w:rPr>
          <w:rFonts w:eastAsia="Times New Roman"/>
          <w:lang w:val="en-US"/>
        </w:rPr>
        <w:t>Excise duty on other tobacco products is envisaged to increase as the specific excise duty increases, prescribed in the Excise Calendar for cigarettes.</w:t>
      </w:r>
      <w:r w:rsidR="00944D78">
        <w:rPr>
          <w:rFonts w:eastAsia="Times New Roman"/>
          <w:lang w:val="en-US"/>
        </w:rPr>
        <w:t xml:space="preserve"> </w:t>
      </w:r>
      <w:r w:rsidRPr="008C761D">
        <w:rPr>
          <w:rFonts w:eastAsia="Times New Roman"/>
          <w:lang w:val="en-US"/>
        </w:rPr>
        <w:t>In particular, the Law on Modifications an Amendments to the Law on Excises also envisages regulating more closely the legal provisions on denatured alcohol in line with Council Directive (EU) 2020/1151 of 29 July 2020 amending Directive 92/83/EEC on the harmonisation of the structures of excise duties on alcohol and alcoholic beverages, as well as alignment with Council Directive (EU) 2020/262 of 19 December 2019 laying down the general arrangements for excise duty as regards the electronic administrative document (e-AD).</w:t>
      </w:r>
    </w:p>
    <w:p w14:paraId="1BF96657" w14:textId="3E6B6026" w:rsidR="003E0F1C" w:rsidRPr="008C761D" w:rsidRDefault="003E0F1C" w:rsidP="00903D3F">
      <w:pPr>
        <w:numPr>
          <w:ilvl w:val="0"/>
          <w:numId w:val="105"/>
        </w:numPr>
        <w:spacing w:line="240" w:lineRule="auto"/>
        <w:jc w:val="both"/>
        <w:rPr>
          <w:rFonts w:eastAsia="Times New Roman"/>
          <w:lang w:val="en-US"/>
        </w:rPr>
      </w:pPr>
      <w:r w:rsidRPr="008C761D">
        <w:rPr>
          <w:rFonts w:eastAsia="Times New Roman"/>
          <w:b/>
          <w:lang w:val="en-US"/>
        </w:rPr>
        <w:lastRenderedPageBreak/>
        <w:t>with respect to taxation of motor vehicles</w:t>
      </w:r>
      <w:r w:rsidRPr="008C761D">
        <w:rPr>
          <w:rFonts w:eastAsia="Times New Roman"/>
          <w:lang w:val="en-US"/>
        </w:rPr>
        <w:t>, on 17</w:t>
      </w:r>
      <w:r w:rsidRPr="008C761D">
        <w:rPr>
          <w:rFonts w:eastAsia="Times New Roman"/>
          <w:vertAlign w:val="superscript"/>
          <w:lang w:val="en-US"/>
        </w:rPr>
        <w:t>th</w:t>
      </w:r>
      <w:r w:rsidRPr="008C761D">
        <w:rPr>
          <w:rFonts w:eastAsia="Times New Roman"/>
          <w:lang w:val="en-US"/>
        </w:rPr>
        <w:t xml:space="preserve"> October 2023, the Government adopted the Decree on Modifications and Amendments to the Decree on the Manner of Assessing Motor Vehicles Tax, envisaging, for the purpose of assessing the environmental component of the motor vehicles tax, alongside the existing NEDC method (New European Driving Cycle) for measuring the emission of exhaust gases by motor vehicles by using laboratory tests, application of the new WLTP method (Worldwide Harmonised Light Vehicle Test Procedure), based on measuring the CO2 emission in real traffic conditions.</w:t>
      </w:r>
      <w:r w:rsidR="00944D78">
        <w:rPr>
          <w:rFonts w:eastAsia="Times New Roman"/>
          <w:lang w:val="en-US"/>
        </w:rPr>
        <w:t xml:space="preserve"> </w:t>
      </w:r>
      <w:r w:rsidRPr="008C761D">
        <w:rPr>
          <w:rFonts w:eastAsia="Times New Roman"/>
          <w:lang w:val="en-US"/>
        </w:rPr>
        <w:t>Application of the WLTP method is geared towards implementing part of the environmental protection measures and the commitment to introducing “green taxation”, incorporated in the Tax System Reform Strategy of the Republic of North Macedonia.</w:t>
      </w:r>
    </w:p>
    <w:p w14:paraId="49D7C8D5" w14:textId="65390EBB" w:rsidR="003E0F1C" w:rsidRPr="008C761D" w:rsidRDefault="003E0F1C" w:rsidP="00903D3F">
      <w:pPr>
        <w:numPr>
          <w:ilvl w:val="0"/>
          <w:numId w:val="105"/>
        </w:numPr>
        <w:spacing w:line="240" w:lineRule="auto"/>
        <w:jc w:val="both"/>
        <w:rPr>
          <w:rFonts w:eastAsia="Times New Roman"/>
          <w:lang w:val="en-US"/>
        </w:rPr>
      </w:pPr>
      <w:r w:rsidRPr="008C761D">
        <w:rPr>
          <w:rFonts w:cs="Calibri"/>
          <w:b/>
          <w:color w:val="000000"/>
          <w:lang w:val="en-US"/>
        </w:rPr>
        <w:t>as regards administrative cooperation</w:t>
      </w:r>
      <w:r w:rsidRPr="008C761D">
        <w:rPr>
          <w:rFonts w:cs="Calibri"/>
          <w:color w:val="000000"/>
          <w:lang w:val="en-US"/>
        </w:rPr>
        <w:t>, in the course of 2022, Ministry of Finance prepared the first draft of the Law on Administrative Cooperation for Tax Purposes which, at the moment, is being reviewed and finalised by all competent authorities, and it is planned to be adopted by the end of 2024.</w:t>
      </w:r>
      <w:r w:rsidRPr="008C761D">
        <w:rPr>
          <w:rFonts w:eastAsia="Times New Roman"/>
          <w:lang w:val="en-US"/>
        </w:rPr>
        <w:t>By mid-2025, it is envisaged for the respective Law to be amended, incorporating provisions on automatic exchange of financial account information.</w:t>
      </w:r>
      <w:r w:rsidR="00944D78">
        <w:rPr>
          <w:rFonts w:eastAsia="Times New Roman"/>
          <w:lang w:val="en-US"/>
        </w:rPr>
        <w:t xml:space="preserve"> </w:t>
      </w:r>
      <w:r w:rsidRPr="008C761D">
        <w:rPr>
          <w:rFonts w:eastAsia="Times New Roman"/>
          <w:lang w:val="en-US"/>
        </w:rPr>
        <w:t>The country intends to sign the Multilateral Competent Authority Agreements (MCAA-CBC and MCAA-CRS) by mid 2025.</w:t>
      </w:r>
      <w:r w:rsidR="00944D78">
        <w:rPr>
          <w:rFonts w:eastAsia="Times New Roman"/>
          <w:lang w:val="en-US"/>
        </w:rPr>
        <w:t xml:space="preserve"> </w:t>
      </w:r>
      <w:r w:rsidRPr="008C761D">
        <w:rPr>
          <w:rFonts w:eastAsia="Times New Roman"/>
          <w:lang w:val="en-US"/>
        </w:rPr>
        <w:t>In order to effectively implement the automatic exchange, IT and administrative infrastructure is needed to be established in the PRO, as well as infrastructure for confidentiality and data safeguards, which is planned to be realised by the end of 2025, requiring additional technical assistance from the EU and the OECD.</w:t>
      </w:r>
      <w:r w:rsidR="00944D78">
        <w:rPr>
          <w:rFonts w:eastAsia="Times New Roman"/>
          <w:lang w:val="en-US"/>
        </w:rPr>
        <w:t xml:space="preserve"> </w:t>
      </w:r>
      <w:r w:rsidRPr="008C761D">
        <w:rPr>
          <w:rFonts w:eastAsia="Times New Roman"/>
          <w:lang w:val="en-US"/>
        </w:rPr>
        <w:t>All this is also envisaged under the Tax System Reform Strategy.</w:t>
      </w:r>
    </w:p>
    <w:p w14:paraId="76407A2D" w14:textId="75153E1F" w:rsidR="003E0F1C" w:rsidRPr="008C761D" w:rsidRDefault="003E0F1C" w:rsidP="00903D3F">
      <w:pPr>
        <w:numPr>
          <w:ilvl w:val="0"/>
          <w:numId w:val="10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202124"/>
          <w:lang w:val="en-US" w:eastAsia="mk-MK"/>
        </w:rPr>
      </w:pPr>
      <w:r w:rsidRPr="008C761D">
        <w:rPr>
          <w:rFonts w:cs="Calibri"/>
          <w:lang w:val="en-US" w:eastAsia="mk-MK"/>
        </w:rPr>
        <w:t xml:space="preserve">Ministry of Finance undertakes activities for establishment of </w:t>
      </w:r>
      <w:r w:rsidRPr="008C761D">
        <w:rPr>
          <w:rFonts w:eastAsia="Times New Roman" w:cs="Calibri"/>
          <w:lang w:val="en-US" w:eastAsia="mk-MK"/>
        </w:rPr>
        <w:t>Integrated Financial Management Information System (IFMIS), funded by the World Bank and the EU within the Building Effective, Transparent and Accountable Public Financial Management Institutions Project.</w:t>
      </w:r>
      <w:r w:rsidR="00944D78">
        <w:rPr>
          <w:rFonts w:eastAsia="Times New Roman" w:cs="Calibri"/>
          <w:lang w:val="en-US" w:eastAsia="mk-MK"/>
        </w:rPr>
        <w:t xml:space="preserve"> </w:t>
      </w:r>
      <w:r w:rsidRPr="008C761D">
        <w:rPr>
          <w:rFonts w:cs="Courier New"/>
          <w:color w:val="202124"/>
          <w:lang w:val="en-US" w:eastAsia="mk-MK"/>
        </w:rPr>
        <w:t>IFMIS is part of the PFM reform, which is to provide for a modernised PFM system with digitalised processes geared towards enhanced PFM efficiency and transparency.</w:t>
      </w:r>
      <w:r w:rsidR="00944D78">
        <w:rPr>
          <w:rFonts w:cs="Courier New"/>
          <w:color w:val="202124"/>
          <w:lang w:val="en-US" w:eastAsia="mk-MK"/>
        </w:rPr>
        <w:t xml:space="preserve"> </w:t>
      </w:r>
      <w:r w:rsidRPr="008C761D">
        <w:rPr>
          <w:rFonts w:cs="Courier New"/>
          <w:color w:val="202124"/>
          <w:lang w:val="en-US" w:eastAsia="mk-MK"/>
        </w:rPr>
        <w:t xml:space="preserve">This will be achieved by integrating the existing fragmented systems in the field of public finances into a single centralised digital platform, including, among other things, modules for budget planning and budget execution (including all expenditures, revenues and operations in a single treasury account); debt management and </w:t>
      </w:r>
      <w:r w:rsidRPr="008C761D">
        <w:rPr>
          <w:rFonts w:eastAsia="Times New Roman" w:cs="Calibri"/>
          <w:lang w:val="en-US" w:eastAsia="mk-MK"/>
        </w:rPr>
        <w:t>state funds management, etc.</w:t>
      </w:r>
      <w:r w:rsidR="00944D78">
        <w:rPr>
          <w:rFonts w:eastAsia="Times New Roman" w:cs="Calibri"/>
          <w:lang w:val="en-US" w:eastAsia="mk-MK"/>
        </w:rPr>
        <w:t xml:space="preserve"> </w:t>
      </w:r>
      <w:r w:rsidRPr="008C761D">
        <w:rPr>
          <w:rFonts w:cs="Courier New"/>
          <w:color w:val="202124"/>
          <w:lang w:val="en-US" w:eastAsia="mk-MK"/>
        </w:rPr>
        <w:t>The system is also to provide for interoperability with other IT system within the Government, thus ensuring automated data exchange, as well as web portal for a secure access by all authorised budget users and authorised public entities.</w:t>
      </w:r>
      <w:r w:rsidR="00944D78">
        <w:rPr>
          <w:rFonts w:cs="Courier New"/>
          <w:color w:val="202124"/>
          <w:lang w:val="en-US" w:eastAsia="mk-MK"/>
        </w:rPr>
        <w:t xml:space="preserve"> </w:t>
      </w:r>
      <w:r w:rsidRPr="008C761D">
        <w:rPr>
          <w:rFonts w:cs="Courier New"/>
          <w:color w:val="202124"/>
          <w:lang w:val="en-US" w:eastAsia="mk-MK"/>
        </w:rPr>
        <w:t>Implementation of the IFMIS system is envisaged under the OBL, as one of the preconditions for implementation of PFM reforms outlined in the respective Law.</w:t>
      </w:r>
      <w:r w:rsidR="00944D78">
        <w:rPr>
          <w:rFonts w:cs="Courier New"/>
          <w:color w:val="202124"/>
          <w:lang w:val="en-US" w:eastAsia="mk-MK"/>
        </w:rPr>
        <w:t xml:space="preserve"> </w:t>
      </w:r>
      <w:r w:rsidRPr="008C761D">
        <w:rPr>
          <w:rFonts w:cs="Calibri"/>
          <w:lang w:val="en-US" w:eastAsia="mk-MK"/>
        </w:rPr>
        <w:t>In addition to IFMIS, new</w:t>
      </w:r>
      <w:r w:rsidR="00944D78">
        <w:rPr>
          <w:rFonts w:cs="Calibri"/>
          <w:lang w:val="en-US" w:eastAsia="mk-MK"/>
        </w:rPr>
        <w:t xml:space="preserve"> </w:t>
      </w:r>
      <w:r w:rsidRPr="008C761D">
        <w:rPr>
          <w:rFonts w:eastAsia="Times New Roman" w:cs="Calibri"/>
          <w:lang w:val="en-US" w:eastAsia="mk-MK"/>
        </w:rPr>
        <w:t>State Aid Management Information System and PRO’s Integrated Tax Information System will be implemented within the Building Effective, Transparent and Accountable Public Financial Management Institutions Project.</w:t>
      </w:r>
      <w:r w:rsidR="00944D78">
        <w:rPr>
          <w:rFonts w:eastAsia="Times New Roman" w:cs="Calibri"/>
          <w:lang w:val="en-US" w:eastAsia="mk-MK"/>
        </w:rPr>
        <w:t xml:space="preserve"> </w:t>
      </w:r>
      <w:r w:rsidRPr="008C761D">
        <w:rPr>
          <w:rFonts w:cs="Courier New"/>
          <w:color w:val="202124"/>
          <w:lang w:val="en-US" w:eastAsia="mk-MK"/>
        </w:rPr>
        <w:t>Loan and Grant Agreements with the World Bank were signed on 25</w:t>
      </w:r>
      <w:r w:rsidRPr="008C761D">
        <w:rPr>
          <w:rFonts w:cs="Courier New"/>
          <w:color w:val="202124"/>
          <w:vertAlign w:val="superscript"/>
          <w:lang w:val="en-US" w:eastAsia="mk-MK"/>
        </w:rPr>
        <w:t>th</w:t>
      </w:r>
      <w:r w:rsidRPr="008C761D">
        <w:rPr>
          <w:rFonts w:cs="Courier New"/>
          <w:color w:val="202124"/>
          <w:lang w:val="en-US" w:eastAsia="mk-MK"/>
        </w:rPr>
        <w:t xml:space="preserve"> January 2023 and the Project is launched.</w:t>
      </w:r>
    </w:p>
    <w:p w14:paraId="273B5FDB" w14:textId="77777777" w:rsidR="00C64F6E" w:rsidRPr="008C761D" w:rsidRDefault="00C64F6E" w:rsidP="00903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cs="Courier New"/>
          <w:color w:val="202124"/>
          <w:lang w:val="en-US" w:eastAsia="mk-MK"/>
        </w:rPr>
      </w:pPr>
    </w:p>
    <w:p w14:paraId="02D6F626" w14:textId="40C52EB2" w:rsidR="003E0F1C" w:rsidRDefault="003E0F1C" w:rsidP="00903D3F">
      <w:pPr>
        <w:numPr>
          <w:ilvl w:val="0"/>
          <w:numId w:val="10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lang w:val="en-US" w:eastAsia="mk-MK"/>
        </w:rPr>
      </w:pPr>
      <w:r w:rsidRPr="008C761D">
        <w:rPr>
          <w:rFonts w:cs="Calibri"/>
          <w:lang w:val="en-US" w:eastAsia="mk-MK"/>
        </w:rPr>
        <w:t>On 29th December 2022, Minister of Finance adopted new acts on organisational setup and systematisation of work posts within the MoF, envisaging establishment of Public Finance Academy and Public Investment Management (PIM) Department.</w:t>
      </w:r>
      <w:r w:rsidR="00944D78">
        <w:rPr>
          <w:rFonts w:cs="Calibri"/>
          <w:lang w:val="en-US" w:eastAsia="mk-MK"/>
        </w:rPr>
        <w:t xml:space="preserve"> </w:t>
      </w:r>
      <w:r w:rsidRPr="008C761D">
        <w:rPr>
          <w:rFonts w:cs="Calibri"/>
          <w:lang w:val="en-US" w:eastAsia="mk-MK"/>
        </w:rPr>
        <w:t xml:space="preserve">Staffing process for both Departments commenced in 2023. </w:t>
      </w:r>
    </w:p>
    <w:p w14:paraId="679D36CE" w14:textId="77777777" w:rsidR="00E351AA" w:rsidRPr="008C761D" w:rsidRDefault="00E351AA" w:rsidP="00E35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lang w:val="en-US" w:eastAsia="mk-MK"/>
        </w:rPr>
      </w:pPr>
    </w:p>
    <w:p w14:paraId="0BADB8DE" w14:textId="77777777" w:rsidR="003E0F1C" w:rsidRPr="008C761D" w:rsidRDefault="003E0F1C" w:rsidP="003E0F1C">
      <w:pPr>
        <w:spacing w:line="240" w:lineRule="auto"/>
        <w:rPr>
          <w:b/>
          <w:color w:val="0070C0"/>
          <w:sz w:val="28"/>
          <w:szCs w:val="28"/>
          <w:lang w:val="en-US" w:eastAsia="zh-CN"/>
        </w:rPr>
      </w:pPr>
      <w:r w:rsidRPr="008C761D">
        <w:rPr>
          <w:b/>
          <w:color w:val="0070C0"/>
          <w:sz w:val="28"/>
          <w:szCs w:val="28"/>
          <w:lang w:val="en-US" w:eastAsia="zh-CN"/>
        </w:rPr>
        <w:t>Lessons Learned</w:t>
      </w:r>
    </w:p>
    <w:p w14:paraId="2299E4CF" w14:textId="77777777" w:rsidR="003E0F1C" w:rsidRPr="008C761D" w:rsidRDefault="003E0F1C" w:rsidP="003E0F1C">
      <w:pPr>
        <w:spacing w:line="240" w:lineRule="auto"/>
        <w:jc w:val="both"/>
        <w:rPr>
          <w:lang w:val="en-US"/>
        </w:rPr>
      </w:pPr>
      <w:bookmarkStart w:id="10" w:name="_Toc501441598"/>
      <w:r w:rsidRPr="008C761D">
        <w:rPr>
          <w:lang w:val="en-US"/>
        </w:rPr>
        <w:t xml:space="preserve">Lessons learned pertaining to the implementation of PFM Reform Programme 2022-2025 as a whole: </w:t>
      </w:r>
    </w:p>
    <w:p w14:paraId="04EBA09A" w14:textId="768FBAF2" w:rsidR="003E0F1C" w:rsidRPr="008C761D" w:rsidRDefault="003E0F1C" w:rsidP="003A338C">
      <w:pPr>
        <w:numPr>
          <w:ilvl w:val="0"/>
          <w:numId w:val="10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US"/>
        </w:rPr>
      </w:pPr>
      <w:r w:rsidRPr="008C761D">
        <w:rPr>
          <w:lang w:val="en-US"/>
        </w:rPr>
        <w:lastRenderedPageBreak/>
        <w:t xml:space="preserve">PFM reforms are successful and yield results when there is a strong political commitment to their implementation. Putting in place </w:t>
      </w:r>
      <w:r w:rsidRPr="008C761D">
        <w:rPr>
          <w:rFonts w:eastAsia="Times New Roman" w:cs="Calibri"/>
          <w:lang w:val="en-US" w:eastAsia="mk-MK"/>
        </w:rPr>
        <w:t xml:space="preserve">coordination arrangements - led by government officials - </w:t>
      </w:r>
      <w:r w:rsidRPr="008C761D">
        <w:rPr>
          <w:lang w:val="en-US"/>
        </w:rPr>
        <w:t xml:space="preserve">to monitor and guide reforms and reform models </w:t>
      </w:r>
      <w:r w:rsidRPr="008C761D">
        <w:rPr>
          <w:rFonts w:eastAsia="Times New Roman" w:cs="Calibri"/>
          <w:lang w:val="en-US" w:eastAsia="mk-MK"/>
        </w:rPr>
        <w:t>tailored to the institutional and capacity context</w:t>
      </w:r>
      <w:r w:rsidRPr="008C761D">
        <w:rPr>
          <w:lang w:val="en-US"/>
        </w:rPr>
        <w:t xml:space="preserve"> are of particular importance.</w:t>
      </w:r>
      <w:r w:rsidR="00944D78">
        <w:rPr>
          <w:lang w:val="en-US"/>
        </w:rPr>
        <w:t xml:space="preserve"> </w:t>
      </w:r>
      <w:r w:rsidRPr="008C761D">
        <w:rPr>
          <w:lang w:val="en-US"/>
        </w:rPr>
        <w:t xml:space="preserve">When such essential conditions are not in place, the reforms are unlikely </w:t>
      </w:r>
      <w:r w:rsidR="00944D78">
        <w:rPr>
          <w:lang w:val="en-US"/>
        </w:rPr>
        <w:t>were</w:t>
      </w:r>
      <w:r w:rsidRPr="008C761D">
        <w:rPr>
          <w:lang w:val="en-US"/>
        </w:rPr>
        <w:t xml:space="preserve"> successful.</w:t>
      </w:r>
      <w:r w:rsidR="00944D78">
        <w:rPr>
          <w:lang w:val="en-US"/>
        </w:rPr>
        <w:t xml:space="preserve"> </w:t>
      </w:r>
      <w:r w:rsidRPr="008C761D">
        <w:rPr>
          <w:lang w:val="en-US"/>
        </w:rPr>
        <w:t>Development of core PFM skills requires more appropriate use of the external technical support, with undertaking diagnostic assessments to raise awareness at the political level of the need for reforms.</w:t>
      </w:r>
      <w:r w:rsidR="00944D78">
        <w:rPr>
          <w:lang w:val="en-US"/>
        </w:rPr>
        <w:t xml:space="preserve"> </w:t>
      </w:r>
      <w:r w:rsidRPr="008C761D">
        <w:rPr>
          <w:lang w:val="en-US"/>
        </w:rPr>
        <w:t>The use of PEFA diagnostic assessment on a periodic basis is useful in creating a shared understanding for PFM strengths and weaknesses and a shared perception of the degree of progress being achieved in PFM reforms.</w:t>
      </w:r>
    </w:p>
    <w:p w14:paraId="5E7CDC25" w14:textId="77777777" w:rsidR="003E0F1C" w:rsidRPr="008C761D" w:rsidRDefault="003E0F1C" w:rsidP="003E0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lang w:val="en-US"/>
        </w:rPr>
      </w:pPr>
    </w:p>
    <w:p w14:paraId="77164F5E" w14:textId="4A00C302" w:rsidR="003E0F1C" w:rsidRPr="008C761D" w:rsidRDefault="003E0F1C" w:rsidP="003A338C">
      <w:pPr>
        <w:numPr>
          <w:ilvl w:val="0"/>
          <w:numId w:val="10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US"/>
        </w:rPr>
      </w:pPr>
      <w:r w:rsidRPr="008C761D">
        <w:rPr>
          <w:rFonts w:cs="Calibri"/>
          <w:lang w:val="en-US"/>
        </w:rPr>
        <w:t xml:space="preserve">Reforms must be country owned: </w:t>
      </w:r>
      <w:r w:rsidRPr="008C761D">
        <w:rPr>
          <w:rFonts w:eastAsia="Times New Roman" w:cs="Calibri"/>
          <w:lang w:val="en-US" w:eastAsia="mk-MK"/>
        </w:rPr>
        <w:t>reform should not be imposed as a donor condition.</w:t>
      </w:r>
      <w:r w:rsidR="00944D78">
        <w:rPr>
          <w:rFonts w:eastAsia="Times New Roman" w:cs="Calibri"/>
          <w:lang w:val="en-US" w:eastAsia="mk-MK"/>
        </w:rPr>
        <w:t xml:space="preserve"> </w:t>
      </w:r>
      <w:r w:rsidRPr="008C761D">
        <w:rPr>
          <w:rFonts w:eastAsia="Times New Roman" w:cs="Calibri"/>
          <w:lang w:val="en-US" w:eastAsia="mk-MK"/>
        </w:rPr>
        <w:t>While it seems to be the case that reforms happen faster when linked to budget support, it is more likely to be sustained if ownership is developed.</w:t>
      </w:r>
      <w:r w:rsidR="00944D78">
        <w:rPr>
          <w:rFonts w:eastAsia="Times New Roman" w:cs="Calibri"/>
          <w:lang w:val="en-US" w:eastAsia="mk-MK"/>
        </w:rPr>
        <w:t xml:space="preserve"> </w:t>
      </w:r>
      <w:r w:rsidRPr="008C761D">
        <w:rPr>
          <w:rFonts w:eastAsia="Times New Roman" w:cs="Calibri"/>
          <w:lang w:val="en-US" w:eastAsia="mk-MK"/>
        </w:rPr>
        <w:t>Without reform ownership by the national authorities, the reform process stops when the money stops.</w:t>
      </w:r>
    </w:p>
    <w:p w14:paraId="2DEFBC17" w14:textId="77777777" w:rsidR="003E0F1C" w:rsidRPr="008C761D" w:rsidRDefault="003E0F1C" w:rsidP="003E0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US"/>
        </w:rPr>
      </w:pPr>
    </w:p>
    <w:p w14:paraId="610F8A68" w14:textId="02695AED" w:rsidR="003E0F1C" w:rsidRPr="008C761D" w:rsidRDefault="003E0F1C" w:rsidP="003A338C">
      <w:pPr>
        <w:numPr>
          <w:ilvl w:val="0"/>
          <w:numId w:val="102"/>
        </w:numPr>
        <w:spacing w:line="240" w:lineRule="auto"/>
        <w:jc w:val="both"/>
        <w:rPr>
          <w:lang w:val="en-US"/>
        </w:rPr>
      </w:pPr>
      <w:r w:rsidRPr="008C761D">
        <w:rPr>
          <w:lang w:val="en-US"/>
        </w:rPr>
        <w:t>Coordination in the preparation of annual/semi-annual reports between the members of the Sector Working Group and the stakeholders for each priority was not fully efficient: although good progress was achieved, efficiency and effectiveness were not achieved to their fullest.</w:t>
      </w:r>
      <w:r w:rsidR="00944D78">
        <w:rPr>
          <w:lang w:val="en-US"/>
        </w:rPr>
        <w:t xml:space="preserve"> </w:t>
      </w:r>
      <w:r w:rsidRPr="008C761D">
        <w:rPr>
          <w:lang w:val="en-US"/>
        </w:rPr>
        <w:t>Monitoring and reporting on achievements and challenges in the course of</w:t>
      </w:r>
      <w:r w:rsidR="00944D78">
        <w:rPr>
          <w:lang w:val="en-US"/>
        </w:rPr>
        <w:t xml:space="preserve"> </w:t>
      </w:r>
      <w:r w:rsidRPr="008C761D">
        <w:rPr>
          <w:lang w:val="en-US"/>
        </w:rPr>
        <w:t>Programme implementation was limited, focusing on the progress achieved at certain measures, rather than the priority as a whole.</w:t>
      </w:r>
      <w:r w:rsidR="00944D78">
        <w:rPr>
          <w:lang w:val="en-US"/>
        </w:rPr>
        <w:t xml:space="preserve"> </w:t>
      </w:r>
      <w:r w:rsidRPr="008C761D">
        <w:rPr>
          <w:lang w:val="en-US"/>
        </w:rPr>
        <w:t>What is important is that most of the priorities are to a large extent on the right path as regards the implementation of the ongoing activities.</w:t>
      </w:r>
    </w:p>
    <w:p w14:paraId="2C3D9FA2" w14:textId="2327AFBF" w:rsidR="003E0F1C" w:rsidRPr="008C761D" w:rsidRDefault="003E0F1C" w:rsidP="003A338C">
      <w:pPr>
        <w:numPr>
          <w:ilvl w:val="0"/>
          <w:numId w:val="102"/>
        </w:numPr>
        <w:spacing w:line="240" w:lineRule="auto"/>
        <w:jc w:val="both"/>
        <w:rPr>
          <w:lang w:val="en-US"/>
        </w:rPr>
      </w:pPr>
      <w:r w:rsidRPr="008C761D">
        <w:rPr>
          <w:lang w:val="en-US"/>
        </w:rPr>
        <w:t>Need for a more realistic planning to avoid the risk of failure - from today’s perspective, the process of planning the time limits for implementation of part of the activities was too ambitious, with the time limits not being sufficiently well projected.</w:t>
      </w:r>
      <w:r w:rsidR="00944D78">
        <w:rPr>
          <w:lang w:val="en-US"/>
        </w:rPr>
        <w:t xml:space="preserve"> </w:t>
      </w:r>
      <w:r w:rsidRPr="008C761D">
        <w:rPr>
          <w:lang w:val="en-US"/>
        </w:rPr>
        <w:t>Hence, the reform plan is to be ambitious, but, at the same time, in harmony with the real needs realistic and attainable in terms of implementation capacity and allocated financial resources, i.e. sufficient resources from the state budget, as well as donor funds.</w:t>
      </w:r>
      <w:r w:rsidR="00944D78">
        <w:rPr>
          <w:lang w:val="en-US"/>
        </w:rPr>
        <w:t xml:space="preserve"> </w:t>
      </w:r>
      <w:r w:rsidRPr="008C761D">
        <w:rPr>
          <w:lang w:val="en-US"/>
        </w:rPr>
        <w:t>Strengthened monitoring over the implementation and improved reporting on the status of implementation of the planned activities is an important segment for their better implementation.</w:t>
      </w:r>
    </w:p>
    <w:p w14:paraId="5321DA40" w14:textId="0C0900F1" w:rsidR="003E0F1C" w:rsidRPr="008C761D" w:rsidRDefault="003E0F1C" w:rsidP="003A338C">
      <w:pPr>
        <w:numPr>
          <w:ilvl w:val="0"/>
          <w:numId w:val="102"/>
        </w:numPr>
        <w:spacing w:line="240" w:lineRule="auto"/>
        <w:jc w:val="both"/>
        <w:rPr>
          <w:lang w:val="en-US"/>
        </w:rPr>
      </w:pPr>
      <w:r w:rsidRPr="008C761D">
        <w:rPr>
          <w:lang w:val="en-US"/>
        </w:rPr>
        <w:t>Calculation of the costs related to implementation of the activities was detailed, including the estimated additional costs, excluding the ongoing operations of the administration, making the monitoring of the use of funds under the Programme more difficult. Several crucial activities for which there were no sources of financing, i.e. they were envisaged as 100% financing gap, were not implemented due to lack of funds, such as the development of Unified Electronic Public Private Partnership System, which will generate the Registry of PPP Contracts.</w:t>
      </w:r>
      <w:r w:rsidR="00944D78">
        <w:rPr>
          <w:lang w:val="en-US"/>
        </w:rPr>
        <w:t xml:space="preserve"> </w:t>
      </w:r>
      <w:r w:rsidRPr="008C761D">
        <w:rPr>
          <w:lang w:val="en-US"/>
        </w:rPr>
        <w:t>For the PPP Law to be applicable, budget financial support or donor support is necessary for the System to be developed.</w:t>
      </w:r>
      <w:r w:rsidR="00944D78">
        <w:rPr>
          <w:lang w:val="en-US"/>
        </w:rPr>
        <w:t xml:space="preserve"> </w:t>
      </w:r>
      <w:r w:rsidRPr="008C761D">
        <w:rPr>
          <w:lang w:val="en-US"/>
        </w:rPr>
        <w:t>It is to be carefully decided which activities would be part of the Programme</w:t>
      </w:r>
      <w:r w:rsidR="00944D78">
        <w:rPr>
          <w:lang w:val="en-US"/>
        </w:rPr>
        <w:t xml:space="preserve"> </w:t>
      </w:r>
      <w:r w:rsidRPr="008C761D">
        <w:rPr>
          <w:lang w:val="en-US"/>
        </w:rPr>
        <w:t>so as to avoid any failure to implement them.</w:t>
      </w:r>
      <w:r w:rsidR="00944D78">
        <w:rPr>
          <w:lang w:val="en-US"/>
        </w:rPr>
        <w:t xml:space="preserve"> </w:t>
      </w:r>
      <w:r w:rsidRPr="008C761D">
        <w:rPr>
          <w:lang w:val="en-US"/>
        </w:rPr>
        <w:t>Moreover, monitoring the use of funds from external sources of financing (technical assistance and donor funds) was also made difficult due to lack of information from the donors.</w:t>
      </w:r>
    </w:p>
    <w:p w14:paraId="54BE9F44" w14:textId="0704A7EA" w:rsidR="003E0F1C" w:rsidRPr="008C761D" w:rsidRDefault="003E0F1C" w:rsidP="00944D78">
      <w:pPr>
        <w:numPr>
          <w:ilvl w:val="0"/>
          <w:numId w:val="102"/>
        </w:numPr>
        <w:spacing w:line="240" w:lineRule="auto"/>
        <w:jc w:val="both"/>
        <w:rPr>
          <w:lang w:val="en-US"/>
        </w:rPr>
      </w:pPr>
      <w:r w:rsidRPr="008C761D">
        <w:rPr>
          <w:lang w:val="en-US"/>
        </w:rPr>
        <w:t>Human resource management is a huge challenge in the 21</w:t>
      </w:r>
      <w:r w:rsidRPr="008C761D">
        <w:rPr>
          <w:vertAlign w:val="superscript"/>
          <w:lang w:val="en-US"/>
        </w:rPr>
        <w:t>st</w:t>
      </w:r>
      <w:r w:rsidRPr="008C761D">
        <w:rPr>
          <w:lang w:val="en-US"/>
        </w:rPr>
        <w:t xml:space="preserve"> century.</w:t>
      </w:r>
      <w:r w:rsidR="00944D78">
        <w:rPr>
          <w:lang w:val="en-US"/>
        </w:rPr>
        <w:t xml:space="preserve"> </w:t>
      </w:r>
      <w:r w:rsidRPr="008C761D">
        <w:rPr>
          <w:lang w:val="en-US"/>
        </w:rPr>
        <w:t>Planning process, as part of the human resource management - number of personnel leaving the institutions on various basis (old age pension, death, voluntary termination or lay-offs, etc.) is to be strategically envisaged</w:t>
      </w:r>
      <w:r w:rsidR="00944D78">
        <w:rPr>
          <w:lang w:val="en-US"/>
        </w:rPr>
        <w:t xml:space="preserve"> </w:t>
      </w:r>
      <w:r w:rsidRPr="008C761D">
        <w:rPr>
          <w:lang w:val="en-US"/>
        </w:rPr>
        <w:t>several years beforehand, so as to avoid shortage of personnel, considering that personnel is not developed in a month or two or in just couple of months. On the contrary, it is a matter of a planning process which takes places several years backwards so as for the personnel to be educated and trained and to gain sufficient experience in performing the tasks and the duties.</w:t>
      </w:r>
      <w:r w:rsidR="00944D78">
        <w:rPr>
          <w:lang w:val="en-US"/>
        </w:rPr>
        <w:t xml:space="preserve"> </w:t>
      </w:r>
      <w:r w:rsidRPr="008C761D">
        <w:rPr>
          <w:lang w:val="en-US"/>
        </w:rPr>
        <w:t xml:space="preserve">Government services, with the crucial </w:t>
      </w:r>
      <w:r w:rsidRPr="008C761D">
        <w:rPr>
          <w:lang w:val="en-US"/>
        </w:rPr>
        <w:lastRenderedPageBreak/>
        <w:t>roles they perform, are an irreplaceable resource of every country.</w:t>
      </w:r>
      <w:r w:rsidR="00944D78">
        <w:rPr>
          <w:lang w:val="en-US"/>
        </w:rPr>
        <w:t xml:space="preserve"> </w:t>
      </w:r>
      <w:r w:rsidRPr="008C761D">
        <w:rPr>
          <w:lang w:val="en-US"/>
        </w:rPr>
        <w:t>Administration reforms in line with the European standards are a necessary step towards modernising the public administration and the EU candidate countries.</w:t>
      </w:r>
      <w:r w:rsidR="00944D78">
        <w:rPr>
          <w:lang w:val="en-US"/>
        </w:rPr>
        <w:t xml:space="preserve"> </w:t>
      </w:r>
      <w:r w:rsidRPr="008C761D">
        <w:rPr>
          <w:lang w:val="en-US"/>
        </w:rPr>
        <w:t>Working in the interest of the citizens, depoliticisation and building a sound administrative system are the fundamental features each administration is to possess.</w:t>
      </w:r>
      <w:r w:rsidR="00944D78">
        <w:rPr>
          <w:lang w:val="en-US"/>
        </w:rPr>
        <w:t xml:space="preserve"> </w:t>
      </w:r>
      <w:r w:rsidRPr="008C761D">
        <w:rPr>
          <w:lang w:val="en-US"/>
        </w:rPr>
        <w:t>Hiring and retaining qualified personnel is a problem in particular for IT and other key sectors, such as public debt management, PIM, PPPs, tax projections, budget planning, which could adversely affect the implementation of both the projects and the reforms.</w:t>
      </w:r>
      <w:r w:rsidR="00944D78">
        <w:rPr>
          <w:lang w:val="en-US"/>
        </w:rPr>
        <w:t xml:space="preserve"> </w:t>
      </w:r>
      <w:r w:rsidRPr="008C761D">
        <w:rPr>
          <w:lang w:val="en-US"/>
        </w:rPr>
        <w:t>Despite the built capacities and carried out training, large fluctuation in personnel adversely reflects on the sustainability/viability of the achieved results.</w:t>
      </w:r>
      <w:r w:rsidR="00944D78">
        <w:rPr>
          <w:lang w:val="en-US"/>
        </w:rPr>
        <w:t xml:space="preserve"> </w:t>
      </w:r>
      <w:r w:rsidRPr="008C761D">
        <w:rPr>
          <w:lang w:val="en-US"/>
        </w:rPr>
        <w:t>Therefore, activities are continuously undertaken aimed at development and improved quality in all state organisational entities by preparing strategic plans and modifications and amendments to the laws governing the civil servants, i.e. by improving the process of recruitment, selection, assessment and motivation of civil servants.</w:t>
      </w:r>
      <w:r w:rsidR="00944D78">
        <w:rPr>
          <w:lang w:val="en-US"/>
        </w:rPr>
        <w:t xml:space="preserve"> </w:t>
      </w:r>
      <w:r w:rsidRPr="008C761D">
        <w:rPr>
          <w:lang w:val="en-US"/>
        </w:rPr>
        <w:t>However, achieving this requires adoption of a systemic solution to retain the public administration staff.</w:t>
      </w:r>
      <w:r w:rsidR="00944D78">
        <w:rPr>
          <w:lang w:val="en-US"/>
        </w:rPr>
        <w:t xml:space="preserve"> </w:t>
      </w:r>
      <w:r w:rsidRPr="008C761D">
        <w:rPr>
          <w:lang w:val="en-US"/>
        </w:rPr>
        <w:t>It is partially done with the adoption of a decree on right to wage allowance for the employees at the central-level budget users.</w:t>
      </w:r>
    </w:p>
    <w:p w14:paraId="2FF0E1A0" w14:textId="4D3AD05C" w:rsidR="003E0F1C" w:rsidRPr="008C761D" w:rsidRDefault="003E0F1C" w:rsidP="00944D78">
      <w:pPr>
        <w:spacing w:line="240" w:lineRule="auto"/>
        <w:ind w:left="720"/>
        <w:jc w:val="both"/>
        <w:rPr>
          <w:lang w:val="en-US"/>
        </w:rPr>
      </w:pPr>
      <w:r w:rsidRPr="008C761D">
        <w:rPr>
          <w:lang w:val="en-US"/>
        </w:rPr>
        <w:t>It is indispensable to ensure programming flexibility and adjustability so as to improve the results, which was achieved by preparing annual action plans, since the focus was placed on objectives and outcomes rather than indicators and annual targets formulated at activity level.</w:t>
      </w:r>
      <w:r w:rsidR="00944D78">
        <w:rPr>
          <w:lang w:val="en-US"/>
        </w:rPr>
        <w:t xml:space="preserve"> </w:t>
      </w:r>
      <w:r w:rsidRPr="008C761D">
        <w:rPr>
          <w:lang w:val="en-US"/>
        </w:rPr>
        <w:t>Outcome indicators reflect the progress achieved as a result of reforms implemented.</w:t>
      </w:r>
    </w:p>
    <w:p w14:paraId="470C7C82" w14:textId="77777777" w:rsidR="003E0F1C" w:rsidRPr="008C761D" w:rsidRDefault="003E0F1C" w:rsidP="00944D78">
      <w:pPr>
        <w:numPr>
          <w:ilvl w:val="0"/>
          <w:numId w:val="102"/>
        </w:numPr>
        <w:spacing w:line="240" w:lineRule="auto"/>
        <w:jc w:val="both"/>
        <w:rPr>
          <w:lang w:val="en-US"/>
        </w:rPr>
      </w:pPr>
      <w:r w:rsidRPr="008C761D">
        <w:rPr>
          <w:lang w:val="en-US"/>
        </w:rPr>
        <w:t xml:space="preserve"> “Small steps lead to big results</w:t>
      </w:r>
      <w:proofErr w:type="gramStart"/>
      <w:r w:rsidRPr="008C761D">
        <w:rPr>
          <w:lang w:val="en-US"/>
        </w:rPr>
        <w:t>”.Considering</w:t>
      </w:r>
      <w:proofErr w:type="gramEnd"/>
      <w:r w:rsidRPr="008C761D">
        <w:rPr>
          <w:lang w:val="en-US"/>
        </w:rPr>
        <w:t xml:space="preserve"> the nature of the PFM sector, reforms are a slow process and small achievements should be valued and appropriately presented.By constantly taking small steps to reach the objectives, big results, seeming impossible, can be achieved. </w:t>
      </w:r>
    </w:p>
    <w:p w14:paraId="451168B5" w14:textId="77777777" w:rsidR="003E0F1C" w:rsidRPr="008C761D" w:rsidRDefault="003E0F1C" w:rsidP="00944D78">
      <w:pPr>
        <w:numPr>
          <w:ilvl w:val="0"/>
          <w:numId w:val="102"/>
        </w:numPr>
        <w:spacing w:before="120" w:line="240" w:lineRule="auto"/>
        <w:jc w:val="both"/>
        <w:rPr>
          <w:lang w:val="en-US"/>
        </w:rPr>
      </w:pPr>
      <w:r w:rsidRPr="008C761D">
        <w:rPr>
          <w:lang w:val="en-US"/>
        </w:rPr>
        <w:t xml:space="preserve">Need for integrated instead of fragmented approach is of essence for reform planning and </w:t>
      </w:r>
      <w:proofErr w:type="gramStart"/>
      <w:r w:rsidRPr="008C761D">
        <w:rPr>
          <w:lang w:val="en-US"/>
        </w:rPr>
        <w:t>implementing.The</w:t>
      </w:r>
      <w:proofErr w:type="gramEnd"/>
      <w:r w:rsidRPr="008C761D">
        <w:rPr>
          <w:lang w:val="en-US"/>
        </w:rPr>
        <w:t xml:space="preserve"> whole picture needs to be designed, but be implemented piece by piece on the basis of priorities and human resources, covering the whole PFM system. Cooperation needs to be encouraged and information are to be shared between the relevant institutions included in the PFM reform, all to the end of harmonising and consistency of the reform activities in different areas and maximising the value added.</w:t>
      </w:r>
      <w:r w:rsidRPr="008C761D">
        <w:rPr>
          <w:rFonts w:cs="Arial"/>
          <w:shd w:val="clear" w:color="auto" w:fill="FFFFFF"/>
          <w:lang w:val="en-US"/>
        </w:rPr>
        <w:t> </w:t>
      </w:r>
    </w:p>
    <w:p w14:paraId="47EACDA8" w14:textId="77777777" w:rsidR="003E0F1C" w:rsidRPr="008C761D" w:rsidRDefault="003E0F1C" w:rsidP="003A338C">
      <w:pPr>
        <w:numPr>
          <w:ilvl w:val="0"/>
          <w:numId w:val="102"/>
        </w:numPr>
        <w:spacing w:before="120" w:line="240" w:lineRule="auto"/>
        <w:jc w:val="both"/>
        <w:rPr>
          <w:lang w:val="en-US"/>
        </w:rPr>
      </w:pPr>
      <w:r w:rsidRPr="008C761D">
        <w:rPr>
          <w:lang w:val="en-US"/>
        </w:rPr>
        <w:t>Consolidation and harmonisation of different IT systems is of considerable importance in order to avoid duplication and achieve economies of scale.</w:t>
      </w:r>
    </w:p>
    <w:p w14:paraId="15E08112" w14:textId="5F279CC4" w:rsidR="003E0F1C" w:rsidRPr="008C761D" w:rsidRDefault="003E0F1C" w:rsidP="003A338C">
      <w:pPr>
        <w:numPr>
          <w:ilvl w:val="0"/>
          <w:numId w:val="102"/>
        </w:numPr>
        <w:spacing w:line="240" w:lineRule="auto"/>
        <w:jc w:val="both"/>
        <w:rPr>
          <w:lang w:val="en-US"/>
        </w:rPr>
      </w:pPr>
      <w:r w:rsidRPr="008C761D">
        <w:rPr>
          <w:lang w:val="en-US"/>
        </w:rPr>
        <w:t>Strengthening the process of coordination of donors and providers of technical assistance to the end of avoiding overlapping of donor interventions.</w:t>
      </w:r>
      <w:r w:rsidR="00944D78">
        <w:rPr>
          <w:lang w:val="en-US"/>
        </w:rPr>
        <w:t xml:space="preserve"> </w:t>
      </w:r>
      <w:r w:rsidRPr="008C761D">
        <w:rPr>
          <w:lang w:val="en-US"/>
        </w:rPr>
        <w:t>This is partially overcome by organizing high-level PFM policy dialogues, with all stakeholders, among which the donors as well.</w:t>
      </w:r>
      <w:r w:rsidR="00944D78">
        <w:rPr>
          <w:lang w:val="en-US"/>
        </w:rPr>
        <w:t xml:space="preserve"> </w:t>
      </w:r>
      <w:r w:rsidRPr="008C761D">
        <w:rPr>
          <w:lang w:val="en-US"/>
        </w:rPr>
        <w:t>Information on ongoing donor assistance for the implementation of reform activities were presented and exchanged during such dialogues.</w:t>
      </w:r>
    </w:p>
    <w:p w14:paraId="60C45D9D" w14:textId="77777777" w:rsidR="003E0F1C" w:rsidRPr="008C761D" w:rsidRDefault="003E0F1C" w:rsidP="003E0F1C">
      <w:pPr>
        <w:spacing w:line="240" w:lineRule="auto"/>
        <w:jc w:val="both"/>
        <w:rPr>
          <w:lang w:val="en-US"/>
        </w:rPr>
      </w:pPr>
      <w:r w:rsidRPr="008C761D">
        <w:rPr>
          <w:lang w:val="en-US"/>
        </w:rPr>
        <w:t>Specific lessons learned on implementation of PFM Reform Programme 2022-2025, in particular the following:</w:t>
      </w:r>
    </w:p>
    <w:p w14:paraId="68483436" w14:textId="7970CA47" w:rsidR="003E0F1C" w:rsidRPr="008C761D" w:rsidRDefault="003E0F1C" w:rsidP="003A338C">
      <w:pPr>
        <w:numPr>
          <w:ilvl w:val="0"/>
          <w:numId w:val="103"/>
        </w:numPr>
        <w:spacing w:line="240" w:lineRule="auto"/>
        <w:jc w:val="both"/>
        <w:rPr>
          <w:lang w:val="en-US"/>
        </w:rPr>
      </w:pPr>
      <w:r w:rsidRPr="008C761D">
        <w:rPr>
          <w:lang w:val="en-US"/>
        </w:rPr>
        <w:t>Delays in implementing some key reform activities under the Programme</w:t>
      </w:r>
      <w:r w:rsidR="00944D78">
        <w:rPr>
          <w:lang w:val="en-US"/>
        </w:rPr>
        <w:t xml:space="preserve"> </w:t>
      </w:r>
      <w:r w:rsidRPr="008C761D">
        <w:rPr>
          <w:lang w:val="en-US"/>
        </w:rPr>
        <w:t>as a result of delays in the preparation and the adoption of the necessary new legislative, for instance, Organic Budget Law and PIFC Law, the adoption of which was basis for implementation of other reform processes, such as IFMIS implementation.</w:t>
      </w:r>
      <w:r w:rsidR="00944D78">
        <w:rPr>
          <w:lang w:val="en-US"/>
        </w:rPr>
        <w:t xml:space="preserve"> </w:t>
      </w:r>
      <w:r w:rsidRPr="008C761D">
        <w:rPr>
          <w:lang w:val="en-US"/>
        </w:rPr>
        <w:t xml:space="preserve">Although modifications and amendments to the laws, the bylaws, etc. are necessary for the PFM reform, they are still not sufficient for achieving </w:t>
      </w:r>
      <w:proofErr w:type="gramStart"/>
      <w:r w:rsidRPr="008C761D">
        <w:rPr>
          <w:lang w:val="en-US"/>
        </w:rPr>
        <w:t>success.Such</w:t>
      </w:r>
      <w:proofErr w:type="gramEnd"/>
      <w:r w:rsidRPr="008C761D">
        <w:rPr>
          <w:lang w:val="en-US"/>
        </w:rPr>
        <w:t xml:space="preserve"> modifications and amendments have to be supported by clear interpretation and implementation of policies by the high-level </w:t>
      </w:r>
      <w:r w:rsidRPr="008C761D">
        <w:rPr>
          <w:lang w:val="en-US"/>
        </w:rPr>
        <w:lastRenderedPageBreak/>
        <w:t>management, training and development of the personnel at all levels, changes in the administrative procedures and timely and accurately reporting at all levels.</w:t>
      </w:r>
    </w:p>
    <w:p w14:paraId="3507F633" w14:textId="735006E1" w:rsidR="003E0F1C" w:rsidRPr="008C761D" w:rsidRDefault="003E0F1C" w:rsidP="003A338C">
      <w:pPr>
        <w:numPr>
          <w:ilvl w:val="0"/>
          <w:numId w:val="103"/>
        </w:numPr>
        <w:spacing w:line="240" w:lineRule="auto"/>
        <w:jc w:val="both"/>
        <w:rPr>
          <w:lang w:val="en-US"/>
        </w:rPr>
      </w:pPr>
      <w:r w:rsidRPr="008C761D">
        <w:rPr>
          <w:lang w:val="en-US"/>
        </w:rPr>
        <w:t>IFMIS is to provide for more efficient public finance management by streamlining and automating the working processes and ensuring real-time data, contributing to better decision making and distribution of the available resources, as well as increasing both transparency and accountability.Thus, by meticulously monitoring the budget revenues and expenditures, fiscal discipline is expected to be strengthened, ensuring alignment with the budget limits.The system will also provide for a financial integrity and reduction of fraud risk through a strengthened system of audit controls.</w:t>
      </w:r>
      <w:r w:rsidR="00944D78">
        <w:rPr>
          <w:lang w:val="en-US"/>
        </w:rPr>
        <w:t xml:space="preserve"> </w:t>
      </w:r>
      <w:r w:rsidRPr="008C761D">
        <w:rPr>
          <w:lang w:val="en-US"/>
        </w:rPr>
        <w:t>Still, implementation and operationalisation of IFMIS is conditioned by fulfilling the requirements - preparation of bylaws stemming from the Organic Budget Law, which pertain to implementation of specific requirements for improvement of the public finance working process, such as:</w:t>
      </w:r>
      <w:r w:rsidR="00944D78">
        <w:rPr>
          <w:lang w:val="en-US"/>
        </w:rPr>
        <w:t xml:space="preserve"> </w:t>
      </w:r>
      <w:r w:rsidRPr="008C761D">
        <w:rPr>
          <w:lang w:val="en-US"/>
        </w:rPr>
        <w:t>development of a standard budget classification/Chart of Accounts (CoA), establishment of Registry of Public Entities, etc.</w:t>
      </w:r>
    </w:p>
    <w:bookmarkEnd w:id="10"/>
    <w:p w14:paraId="0D7CE2AA" w14:textId="76367213" w:rsidR="003E0F1C" w:rsidRPr="008C761D" w:rsidRDefault="003E0F1C" w:rsidP="003A338C">
      <w:pPr>
        <w:numPr>
          <w:ilvl w:val="0"/>
          <w:numId w:val="103"/>
        </w:numPr>
        <w:spacing w:line="240" w:lineRule="auto"/>
        <w:jc w:val="both"/>
        <w:rPr>
          <w:lang w:val="en-US"/>
        </w:rPr>
      </w:pPr>
      <w:r w:rsidRPr="008C761D">
        <w:rPr>
          <w:lang w:val="en-US"/>
        </w:rPr>
        <w:t xml:space="preserve">What is of crucial importance for conducting prudent fiscal policy is prudent public debt management, i.e. monitoring the public debt stock, monitoring the risks which the debt portfolio is susceptible to, as well as improving public debt </w:t>
      </w:r>
      <w:proofErr w:type="gramStart"/>
      <w:r w:rsidRPr="008C761D">
        <w:rPr>
          <w:lang w:val="en-US"/>
        </w:rPr>
        <w:t>transparency.COVID</w:t>
      </w:r>
      <w:proofErr w:type="gramEnd"/>
      <w:r w:rsidRPr="008C761D">
        <w:rPr>
          <w:lang w:val="en-US"/>
        </w:rPr>
        <w:t xml:space="preserve">-19 induced crisis reflected on the public debt amount as well, i.e. it was the reason for the increase of public debt by around 10 p.p. in the course of 2020. However, in the period that followed, despite the big challenges caused by the war in Ukraine and the energy crisis, public debt was stabilised and kept below </w:t>
      </w:r>
      <w:r w:rsidRPr="008C761D">
        <w:rPr>
          <w:rFonts w:cs="Calibri"/>
          <w:lang w:val="en-US"/>
        </w:rPr>
        <w:t>the Maastricht criteria.</w:t>
      </w:r>
      <w:r w:rsidR="00944D78">
        <w:rPr>
          <w:rFonts w:cs="Calibri"/>
          <w:lang w:val="en-US"/>
        </w:rPr>
        <w:t xml:space="preserve"> </w:t>
      </w:r>
      <w:r w:rsidRPr="008C761D">
        <w:rPr>
          <w:lang w:val="en-US"/>
        </w:rPr>
        <w:t>Moreover, the pandemic has taught us that processes need greater digitalisation, hence, activities have been commenced for digital payment of liabilities to foreign creditors.</w:t>
      </w:r>
    </w:p>
    <w:p w14:paraId="0B1048F6" w14:textId="4873E4A7" w:rsidR="003E0F1C" w:rsidRPr="008C761D" w:rsidRDefault="003E0F1C" w:rsidP="003A338C">
      <w:pPr>
        <w:numPr>
          <w:ilvl w:val="0"/>
          <w:numId w:val="103"/>
        </w:numPr>
        <w:spacing w:line="240" w:lineRule="auto"/>
        <w:jc w:val="both"/>
        <w:rPr>
          <w:lang w:val="en-US"/>
        </w:rPr>
      </w:pPr>
      <w:r w:rsidRPr="008C761D">
        <w:rPr>
          <w:lang w:val="en-US"/>
        </w:rPr>
        <w:t>To the end of a more efficient development of the financial markets, Ministry of Finance has oriented towards issuance of new instruments on the domestic securities market.</w:t>
      </w:r>
      <w:r w:rsidR="00944D78">
        <w:rPr>
          <w:lang w:val="en-US"/>
        </w:rPr>
        <w:t xml:space="preserve"> </w:t>
      </w:r>
      <w:r w:rsidRPr="008C761D">
        <w:rPr>
          <w:lang w:val="en-US"/>
        </w:rPr>
        <w:t xml:space="preserve">In the course of 2023, two auctions of development bonds for citizens - securities bearing the same features as ordinary bonds, but intended for the citizens of the Republic of North Macedonia - were successfully carried out, </w:t>
      </w:r>
      <w:proofErr w:type="gramStart"/>
      <w:r w:rsidRPr="008C761D">
        <w:rPr>
          <w:rFonts w:cs="Calibri"/>
          <w:lang w:val="en-US"/>
        </w:rPr>
        <w:t>The</w:t>
      </w:r>
      <w:proofErr w:type="gramEnd"/>
      <w:r w:rsidRPr="008C761D">
        <w:rPr>
          <w:rFonts w:cs="Calibri"/>
          <w:lang w:val="en-US"/>
        </w:rPr>
        <w:t xml:space="preserve"> citizens recognised this new instrument as a great opportunity to make a risk-free and safe investment, thereby adding incremental value to their money in terms of generating sound earnings amid inflation.</w:t>
      </w:r>
      <w:r w:rsidR="00944D78">
        <w:rPr>
          <w:rFonts w:cs="Calibri"/>
          <w:lang w:val="en-US"/>
        </w:rPr>
        <w:t xml:space="preserve"> </w:t>
      </w:r>
      <w:r w:rsidRPr="008C761D">
        <w:rPr>
          <w:lang w:val="en-US"/>
        </w:rPr>
        <w:t xml:space="preserve">Moreover, in line with the modifications and amendments to the Law on Financing Local Government Units, Ministry of Finance issued structural bonds in September 2023.Structural bonds are securities, which Minister of Finance issues to the municipalities, thus assisting them to settle the arrears towards the creditors. </w:t>
      </w:r>
      <w:proofErr w:type="gramStart"/>
      <w:r w:rsidRPr="008C761D">
        <w:rPr>
          <w:lang w:val="en-US"/>
        </w:rPr>
        <w:t>This instruments</w:t>
      </w:r>
      <w:proofErr w:type="gramEnd"/>
      <w:r w:rsidRPr="008C761D">
        <w:rPr>
          <w:lang w:val="en-US"/>
        </w:rPr>
        <w:t xml:space="preserve"> helps the municipalities both to consolidate their budgets and focus on their development.</w:t>
      </w:r>
      <w:r w:rsidR="00944D78">
        <w:rPr>
          <w:lang w:val="en-US"/>
        </w:rPr>
        <w:t xml:space="preserve"> </w:t>
      </w:r>
      <w:r w:rsidRPr="008C761D">
        <w:rPr>
          <w:lang w:val="en-US"/>
        </w:rPr>
        <w:t>In October 2023, Ministry of Finance issued green bonds.  Funds generated at the auction were intended for the Energy Efficiency Fund established within the Development Bank.</w:t>
      </w:r>
      <w:r w:rsidR="00944D78">
        <w:rPr>
          <w:lang w:val="en-US"/>
        </w:rPr>
        <w:t xml:space="preserve"> </w:t>
      </w:r>
      <w:r w:rsidRPr="008C761D">
        <w:rPr>
          <w:lang w:val="en-US"/>
        </w:rPr>
        <w:t>They are government securities, intended to support green projects in the country, aimed at accelerating green development and development of the capital market in the country by diversifying the offer with new instruments.</w:t>
      </w:r>
    </w:p>
    <w:p w14:paraId="0ACBB77F" w14:textId="77777777" w:rsidR="003E0F1C" w:rsidRPr="008C761D" w:rsidRDefault="003E0F1C" w:rsidP="003E0F1C">
      <w:pPr>
        <w:spacing w:line="240" w:lineRule="auto"/>
        <w:ind w:left="426"/>
        <w:jc w:val="both"/>
        <w:rPr>
          <w:lang w:val="en-US"/>
        </w:rPr>
      </w:pPr>
    </w:p>
    <w:p w14:paraId="444B4A78" w14:textId="77777777" w:rsidR="003E0F1C" w:rsidRPr="008C761D" w:rsidRDefault="003E0F1C" w:rsidP="003E0F1C">
      <w:pPr>
        <w:spacing w:line="240" w:lineRule="auto"/>
        <w:ind w:left="426"/>
        <w:jc w:val="both"/>
        <w:rPr>
          <w:lang w:val="en-US"/>
        </w:rPr>
      </w:pPr>
    </w:p>
    <w:p w14:paraId="3392A90B" w14:textId="1067942C" w:rsidR="00B4638B" w:rsidRPr="008C761D" w:rsidRDefault="00B110BC" w:rsidP="00E84CD0">
      <w:pPr>
        <w:pStyle w:val="Heading1"/>
        <w:spacing w:line="240" w:lineRule="auto"/>
        <w:jc w:val="both"/>
        <w:rPr>
          <w:rFonts w:ascii="Calibri" w:hAnsi="Calibri" w:cs="Calibri"/>
          <w:color w:val="2F5496"/>
          <w:sz w:val="40"/>
          <w:szCs w:val="40"/>
          <w:lang w:val="en-US"/>
        </w:rPr>
      </w:pPr>
      <w:bookmarkStart w:id="11" w:name="_Toc160611808"/>
      <w:r w:rsidRPr="008C761D">
        <w:rPr>
          <w:rFonts w:ascii="Calibri" w:hAnsi="Calibri" w:cs="Calibri"/>
          <w:color w:val="2F5496"/>
          <w:sz w:val="40"/>
          <w:szCs w:val="40"/>
          <w:lang w:val="en-US"/>
        </w:rPr>
        <w:lastRenderedPageBreak/>
        <w:t>Chapter II. Pillar</w:t>
      </w:r>
      <w:r w:rsidR="0058567E" w:rsidRPr="008C761D">
        <w:rPr>
          <w:rFonts w:ascii="Calibri" w:hAnsi="Calibri" w:cs="Calibri"/>
          <w:color w:val="2F5496"/>
          <w:sz w:val="40"/>
          <w:szCs w:val="40"/>
          <w:lang w:val="en-US"/>
        </w:rPr>
        <w:t>s</w:t>
      </w:r>
      <w:r w:rsidRPr="008C761D">
        <w:rPr>
          <w:rFonts w:ascii="Calibri" w:hAnsi="Calibri" w:cs="Calibri"/>
          <w:color w:val="2F5496"/>
          <w:sz w:val="40"/>
          <w:szCs w:val="40"/>
          <w:lang w:val="en-US"/>
        </w:rPr>
        <w:t xml:space="preserve">, Priorities, Measures and </w:t>
      </w:r>
      <w:r w:rsidR="009125BD" w:rsidRPr="008C761D">
        <w:rPr>
          <w:rFonts w:ascii="Calibri" w:hAnsi="Calibri" w:cs="Calibri"/>
          <w:color w:val="2F5496"/>
          <w:sz w:val="40"/>
          <w:szCs w:val="40"/>
          <w:lang w:val="en-US"/>
        </w:rPr>
        <w:t>Outcomes</w:t>
      </w:r>
      <w:bookmarkEnd w:id="11"/>
    </w:p>
    <w:p w14:paraId="1C6BD4A7" w14:textId="7D73FC56" w:rsidR="00E83C20" w:rsidRPr="008C761D" w:rsidRDefault="00E83C20" w:rsidP="00C64F6E">
      <w:pPr>
        <w:spacing w:before="240" w:after="0" w:line="240" w:lineRule="auto"/>
        <w:jc w:val="both"/>
        <w:rPr>
          <w:rFonts w:cs="Calibri"/>
          <w:color w:val="2F5496"/>
          <w:sz w:val="36"/>
          <w:szCs w:val="36"/>
          <w:lang w:val="en-US"/>
        </w:rPr>
      </w:pPr>
      <w:r w:rsidRPr="00FF78CB">
        <w:rPr>
          <w:rFonts w:eastAsia="MS PGothic" w:cs="Calibri"/>
          <w:color w:val="2F5496"/>
          <w:sz w:val="36"/>
          <w:szCs w:val="36"/>
          <w:lang w:val="en-US" w:eastAsia="zh-CN"/>
        </w:rPr>
        <w:t>PILL</w:t>
      </w:r>
      <w:r w:rsidR="00C64F6E" w:rsidRPr="00FF78CB">
        <w:rPr>
          <w:rFonts w:eastAsia="MS PGothic" w:cs="Calibri"/>
          <w:color w:val="2F5496"/>
          <w:sz w:val="36"/>
          <w:szCs w:val="36"/>
          <w:lang w:val="en-US" w:eastAsia="zh-CN"/>
        </w:rPr>
        <w:t xml:space="preserve">AR </w:t>
      </w:r>
      <w:r w:rsidR="00AF2E34" w:rsidRPr="00FF78CB">
        <w:rPr>
          <w:rFonts w:eastAsia="MS PGothic" w:cs="Calibri"/>
          <w:color w:val="2F5496"/>
          <w:sz w:val="36"/>
          <w:szCs w:val="36"/>
          <w:lang w:val="en-US" w:eastAsia="zh-CN"/>
        </w:rPr>
        <w:t>I</w:t>
      </w:r>
      <w:r w:rsidR="00FF78CB" w:rsidRPr="00FF78CB">
        <w:rPr>
          <w:rFonts w:eastAsia="MS PGothic" w:cs="Calibri"/>
          <w:color w:val="2F5496"/>
          <w:sz w:val="36"/>
          <w:szCs w:val="36"/>
          <w:lang w:val="en-US" w:eastAsia="zh-CN"/>
        </w:rPr>
        <w:t xml:space="preserve"> </w:t>
      </w:r>
      <w:r w:rsidR="00FF78CB">
        <w:rPr>
          <w:rFonts w:eastAsia="MS PGothic" w:cs="Calibri"/>
          <w:color w:val="2F5496"/>
          <w:sz w:val="36"/>
          <w:szCs w:val="36"/>
          <w:lang w:val="en-US" w:eastAsia="zh-CN"/>
        </w:rPr>
        <w:t>-</w:t>
      </w:r>
      <w:r w:rsidR="00C64F6E" w:rsidRPr="00FF78CB">
        <w:rPr>
          <w:rFonts w:eastAsia="MS PGothic" w:cs="Calibri"/>
          <w:color w:val="2F5496"/>
          <w:sz w:val="36"/>
          <w:szCs w:val="36"/>
          <w:lang w:val="en-US" w:eastAsia="zh-CN"/>
        </w:rPr>
        <w:t xml:space="preserve"> </w:t>
      </w:r>
      <w:r w:rsidRPr="00FF78CB">
        <w:rPr>
          <w:rFonts w:eastAsia="MS PGothic" w:cs="Calibri"/>
          <w:color w:val="2F5496"/>
          <w:sz w:val="36"/>
          <w:szCs w:val="36"/>
          <w:lang w:val="en-US" w:eastAsia="zh-CN"/>
        </w:rPr>
        <w:t>Economic</w:t>
      </w:r>
      <w:r w:rsidR="00C64F6E" w:rsidRPr="00FF78CB">
        <w:rPr>
          <w:rFonts w:eastAsia="MS PGothic" w:cs="Calibri"/>
          <w:color w:val="2F5496"/>
          <w:sz w:val="36"/>
          <w:szCs w:val="36"/>
          <w:lang w:val="en-US" w:eastAsia="zh-CN"/>
        </w:rPr>
        <w:t xml:space="preserve"> </w:t>
      </w:r>
      <w:r w:rsidRPr="00FF78CB">
        <w:rPr>
          <w:rFonts w:eastAsia="MS PGothic" w:cs="Calibri"/>
          <w:color w:val="2F5496"/>
          <w:sz w:val="36"/>
          <w:szCs w:val="36"/>
          <w:lang w:val="en-US" w:eastAsia="zh-CN"/>
        </w:rPr>
        <w:t>Analysis,</w:t>
      </w:r>
      <w:r w:rsidR="00C64F6E" w:rsidRPr="00FF78CB">
        <w:rPr>
          <w:rFonts w:eastAsia="MS PGothic" w:cs="Calibri"/>
          <w:color w:val="2F5496"/>
          <w:sz w:val="36"/>
          <w:szCs w:val="36"/>
          <w:lang w:val="en-US" w:eastAsia="zh-CN"/>
        </w:rPr>
        <w:t xml:space="preserve"> Macroeconomic and Fiscal</w:t>
      </w:r>
      <w:r w:rsidR="00C64F6E" w:rsidRPr="008C761D">
        <w:rPr>
          <w:rFonts w:cs="Calibri"/>
          <w:color w:val="2F5496"/>
          <w:sz w:val="36"/>
          <w:szCs w:val="36"/>
          <w:lang w:val="en-US"/>
        </w:rPr>
        <w:t xml:space="preserve"> Framework</w:t>
      </w:r>
    </w:p>
    <w:p w14:paraId="6FC9D359" w14:textId="77777777" w:rsidR="00E83C20" w:rsidRPr="008C761D" w:rsidRDefault="00E83C20" w:rsidP="00C64F6E">
      <w:pPr>
        <w:spacing w:before="240" w:after="0" w:line="240" w:lineRule="auto"/>
        <w:rPr>
          <w:rFonts w:eastAsia="MS PGothic" w:cs="Calibri"/>
          <w:color w:val="2F5496"/>
          <w:sz w:val="36"/>
          <w:szCs w:val="36"/>
          <w:lang w:val="en-US" w:eastAsia="zh-CN"/>
        </w:rPr>
      </w:pPr>
      <w:r w:rsidRPr="008C761D">
        <w:rPr>
          <w:rFonts w:eastAsia="MS PGothic" w:cs="Calibri"/>
          <w:color w:val="2F5496"/>
          <w:sz w:val="36"/>
          <w:szCs w:val="36"/>
          <w:lang w:val="en-US" w:eastAsia="zh-CN"/>
        </w:rPr>
        <w:t>PILLAR II - Revenue Mobilisation</w:t>
      </w:r>
    </w:p>
    <w:p w14:paraId="2CBDDE84" w14:textId="65A45F1C" w:rsidR="00E83C20" w:rsidRPr="008C761D" w:rsidRDefault="00E83C20" w:rsidP="00C64F6E">
      <w:pPr>
        <w:spacing w:before="240" w:after="0" w:line="240" w:lineRule="auto"/>
        <w:rPr>
          <w:rFonts w:eastAsia="MS PGothic" w:cs="Calibri"/>
          <w:color w:val="2F5496"/>
          <w:sz w:val="36"/>
          <w:szCs w:val="36"/>
          <w:lang w:val="en-US" w:eastAsia="zh-CN"/>
        </w:rPr>
      </w:pPr>
      <w:r w:rsidRPr="008C761D">
        <w:rPr>
          <w:rFonts w:eastAsia="MS PGothic" w:cs="Calibri"/>
          <w:color w:val="2F5496"/>
          <w:sz w:val="36"/>
          <w:szCs w:val="36"/>
          <w:lang w:val="en-US" w:eastAsia="zh-CN"/>
        </w:rPr>
        <w:t>PILLAR III</w:t>
      </w:r>
      <w:r w:rsidR="00860E17" w:rsidRPr="008C761D">
        <w:rPr>
          <w:rFonts w:eastAsia="MS PGothic" w:cs="Calibri"/>
          <w:color w:val="2F5496"/>
          <w:sz w:val="36"/>
          <w:szCs w:val="36"/>
          <w:lang w:val="en-US" w:eastAsia="zh-CN"/>
        </w:rPr>
        <w:t xml:space="preserve"> -</w:t>
      </w:r>
      <w:r w:rsidR="00FF78CB">
        <w:rPr>
          <w:rFonts w:eastAsia="MS PGothic" w:cs="Calibri"/>
          <w:color w:val="2F5496"/>
          <w:sz w:val="36"/>
          <w:szCs w:val="36"/>
          <w:lang w:val="en-US" w:eastAsia="zh-CN"/>
        </w:rPr>
        <w:t xml:space="preserve"> </w:t>
      </w:r>
      <w:r w:rsidRPr="008C761D">
        <w:rPr>
          <w:rFonts w:eastAsia="MS PGothic" w:cs="Calibri"/>
          <w:color w:val="2F5496"/>
          <w:sz w:val="36"/>
          <w:szCs w:val="36"/>
          <w:lang w:val="en-US" w:eastAsia="zh-CN"/>
        </w:rPr>
        <w:t>Planning and Budget</w:t>
      </w:r>
    </w:p>
    <w:p w14:paraId="0B0E3810" w14:textId="77777777" w:rsidR="00E83C20" w:rsidRPr="008C761D" w:rsidRDefault="00E83C20" w:rsidP="00C64F6E">
      <w:pPr>
        <w:spacing w:before="240" w:after="0" w:line="240" w:lineRule="auto"/>
        <w:rPr>
          <w:rFonts w:cs="Calibri"/>
          <w:color w:val="2F5496"/>
          <w:sz w:val="36"/>
          <w:szCs w:val="36"/>
          <w:lang w:val="en-US"/>
        </w:rPr>
      </w:pPr>
      <w:r w:rsidRPr="008C761D">
        <w:rPr>
          <w:rFonts w:cs="Calibri"/>
          <w:color w:val="2F5496"/>
          <w:sz w:val="36"/>
          <w:szCs w:val="36"/>
          <w:lang w:val="en-US"/>
        </w:rPr>
        <w:t>PILLAR IV - Public procurement</w:t>
      </w:r>
    </w:p>
    <w:p w14:paraId="3B896394" w14:textId="30E1D3AE" w:rsidR="00E83C20" w:rsidRPr="008C761D" w:rsidRDefault="00E83C20" w:rsidP="00D16F97">
      <w:pPr>
        <w:spacing w:before="240" w:after="0" w:line="240" w:lineRule="auto"/>
        <w:rPr>
          <w:rFonts w:cs="Calibri"/>
          <w:color w:val="2F5496"/>
          <w:sz w:val="36"/>
          <w:szCs w:val="36"/>
          <w:lang w:val="en-US"/>
        </w:rPr>
      </w:pPr>
      <w:r w:rsidRPr="008C761D">
        <w:rPr>
          <w:rFonts w:cs="Calibri"/>
          <w:color w:val="2F5496"/>
          <w:sz w:val="36"/>
          <w:szCs w:val="36"/>
          <w:lang w:val="en-US"/>
        </w:rPr>
        <w:t>PILLAR V</w:t>
      </w:r>
      <w:r w:rsidR="00FF78CB">
        <w:rPr>
          <w:rFonts w:cs="Calibri"/>
          <w:color w:val="2F5496"/>
          <w:sz w:val="36"/>
          <w:szCs w:val="36"/>
          <w:lang w:val="en-US"/>
        </w:rPr>
        <w:t xml:space="preserve"> </w:t>
      </w:r>
      <w:r w:rsidRPr="008C761D">
        <w:rPr>
          <w:rFonts w:cs="Calibri"/>
          <w:color w:val="2F5496"/>
          <w:sz w:val="36"/>
          <w:szCs w:val="36"/>
          <w:lang w:val="en-US"/>
        </w:rPr>
        <w:t xml:space="preserve">- </w:t>
      </w:r>
      <w:r w:rsidR="006A593F" w:rsidRPr="006A593F">
        <w:rPr>
          <w:rFonts w:cs="Calibri"/>
          <w:color w:val="2F5496"/>
          <w:sz w:val="36"/>
          <w:szCs w:val="36"/>
          <w:lang w:val="en-US"/>
        </w:rPr>
        <w:t xml:space="preserve">Public </w:t>
      </w:r>
      <w:r w:rsidR="00000CE4" w:rsidRPr="00000CE4">
        <w:rPr>
          <w:rFonts w:cs="Calibri"/>
          <w:color w:val="2F5496"/>
          <w:sz w:val="36"/>
          <w:szCs w:val="36"/>
          <w:lang w:val="en-US"/>
        </w:rPr>
        <w:t xml:space="preserve">finance </w:t>
      </w:r>
      <w:r w:rsidR="00D16F97">
        <w:rPr>
          <w:rFonts w:cs="Calibri"/>
          <w:color w:val="2F5496"/>
          <w:sz w:val="36"/>
          <w:szCs w:val="36"/>
          <w:lang w:val="en-US"/>
        </w:rPr>
        <w:t>digitalization a</w:t>
      </w:r>
      <w:r w:rsidR="00000CE4" w:rsidRPr="00000CE4">
        <w:rPr>
          <w:rFonts w:cs="Calibri"/>
          <w:color w:val="2F5496"/>
          <w:sz w:val="36"/>
          <w:szCs w:val="36"/>
          <w:lang w:val="en-US"/>
        </w:rPr>
        <w:t>nd </w:t>
      </w:r>
      <w:r w:rsidR="00D16F97" w:rsidRPr="00D16F97">
        <w:rPr>
          <w:rFonts w:cs="Calibri"/>
          <w:color w:val="2F5496"/>
          <w:sz w:val="36"/>
          <w:szCs w:val="36"/>
          <w:lang w:val="en-US"/>
        </w:rPr>
        <w:t>continuоus</w:t>
      </w:r>
      <w:r w:rsidR="00000CE4" w:rsidRPr="00000CE4">
        <w:rPr>
          <w:rFonts w:cs="Calibri"/>
          <w:color w:val="2F5496"/>
          <w:sz w:val="36"/>
          <w:szCs w:val="36"/>
          <w:lang w:val="en-US"/>
        </w:rPr>
        <w:t> learning</w:t>
      </w:r>
    </w:p>
    <w:p w14:paraId="20BDED39" w14:textId="1BB49684" w:rsidR="00E83C20" w:rsidRPr="008C761D" w:rsidRDefault="00E83C20" w:rsidP="00C64F6E">
      <w:pPr>
        <w:spacing w:before="240"/>
        <w:rPr>
          <w:rFonts w:cs="Calibri"/>
          <w:color w:val="2F5496"/>
          <w:sz w:val="36"/>
          <w:szCs w:val="36"/>
          <w:lang w:val="en-US"/>
        </w:rPr>
      </w:pPr>
      <w:r w:rsidRPr="008C761D">
        <w:rPr>
          <w:rFonts w:cs="Calibri"/>
          <w:color w:val="2F5496"/>
          <w:sz w:val="36"/>
          <w:szCs w:val="36"/>
          <w:lang w:val="en-US"/>
        </w:rPr>
        <w:t xml:space="preserve">PILLAR VI </w:t>
      </w:r>
      <w:r w:rsidR="00FF78CB">
        <w:rPr>
          <w:rFonts w:cs="Calibri"/>
          <w:color w:val="2F5496"/>
          <w:sz w:val="36"/>
          <w:szCs w:val="36"/>
          <w:lang w:val="en-US"/>
        </w:rPr>
        <w:t>-</w:t>
      </w:r>
      <w:r w:rsidRPr="008C761D">
        <w:rPr>
          <w:rFonts w:cs="Calibri"/>
          <w:color w:val="2F5496"/>
          <w:sz w:val="36"/>
          <w:szCs w:val="36"/>
          <w:lang w:val="en-US"/>
        </w:rPr>
        <w:t xml:space="preserve"> Public</w:t>
      </w:r>
      <w:r w:rsidR="00C64F6E" w:rsidRPr="008C761D">
        <w:rPr>
          <w:rFonts w:cs="Calibri"/>
          <w:color w:val="2F5496"/>
          <w:sz w:val="36"/>
          <w:szCs w:val="36"/>
          <w:lang w:val="en-US"/>
        </w:rPr>
        <w:t xml:space="preserve"> </w:t>
      </w:r>
      <w:r w:rsidRPr="008C761D">
        <w:rPr>
          <w:rFonts w:cs="Calibri"/>
          <w:color w:val="2F5496"/>
          <w:sz w:val="36"/>
          <w:szCs w:val="36"/>
          <w:lang w:val="en-US"/>
        </w:rPr>
        <w:t>Internal</w:t>
      </w:r>
      <w:r w:rsidR="00C64F6E" w:rsidRPr="008C761D">
        <w:rPr>
          <w:rFonts w:cs="Calibri"/>
          <w:color w:val="2F5496"/>
          <w:sz w:val="36"/>
          <w:szCs w:val="36"/>
          <w:lang w:val="en-US"/>
        </w:rPr>
        <w:t xml:space="preserve"> </w:t>
      </w:r>
      <w:r w:rsidRPr="008C761D">
        <w:rPr>
          <w:rFonts w:cs="Calibri"/>
          <w:color w:val="2F5496"/>
          <w:sz w:val="36"/>
          <w:szCs w:val="36"/>
          <w:lang w:val="en-US"/>
        </w:rPr>
        <w:t>Financial</w:t>
      </w:r>
      <w:r w:rsidR="00C64F6E" w:rsidRPr="008C761D">
        <w:rPr>
          <w:rFonts w:cs="Calibri"/>
          <w:color w:val="2F5496"/>
          <w:sz w:val="36"/>
          <w:szCs w:val="36"/>
          <w:lang w:val="en-US"/>
        </w:rPr>
        <w:t xml:space="preserve"> </w:t>
      </w:r>
      <w:r w:rsidRPr="008C761D">
        <w:rPr>
          <w:rFonts w:cs="Calibri"/>
          <w:color w:val="2F5496"/>
          <w:sz w:val="36"/>
          <w:szCs w:val="36"/>
          <w:lang w:val="en-US"/>
        </w:rPr>
        <w:t>Control</w:t>
      </w:r>
    </w:p>
    <w:p w14:paraId="31426FFC" w14:textId="41A413C3" w:rsidR="00E83C20" w:rsidRPr="008C761D" w:rsidRDefault="00E83C20" w:rsidP="00C64F6E">
      <w:pPr>
        <w:spacing w:before="240" w:after="0" w:line="240" w:lineRule="auto"/>
        <w:rPr>
          <w:rFonts w:cs="Calibri"/>
          <w:color w:val="2F5496"/>
          <w:sz w:val="36"/>
          <w:szCs w:val="36"/>
          <w:lang w:val="en-US"/>
        </w:rPr>
      </w:pPr>
      <w:r w:rsidRPr="008C761D">
        <w:rPr>
          <w:rFonts w:cs="Calibri"/>
          <w:color w:val="2F5496"/>
          <w:sz w:val="36"/>
          <w:szCs w:val="36"/>
          <w:lang w:val="en-US"/>
        </w:rPr>
        <w:t>PILLAR VII</w:t>
      </w:r>
      <w:r w:rsidR="00FF78CB">
        <w:rPr>
          <w:rFonts w:cs="Calibri"/>
          <w:color w:val="2F5496"/>
          <w:sz w:val="36"/>
          <w:szCs w:val="36"/>
          <w:lang w:val="en-US"/>
        </w:rPr>
        <w:t xml:space="preserve"> </w:t>
      </w:r>
      <w:r w:rsidRPr="008C761D">
        <w:rPr>
          <w:rFonts w:cs="Calibri"/>
          <w:color w:val="2F5496"/>
          <w:sz w:val="36"/>
          <w:szCs w:val="36"/>
          <w:lang w:val="en-US"/>
        </w:rPr>
        <w:t>- External</w:t>
      </w:r>
      <w:r w:rsidR="00C64F6E" w:rsidRPr="008C761D">
        <w:rPr>
          <w:rFonts w:cs="Calibri"/>
          <w:color w:val="2F5496"/>
          <w:sz w:val="36"/>
          <w:szCs w:val="36"/>
          <w:lang w:val="en-US"/>
        </w:rPr>
        <w:t xml:space="preserve"> </w:t>
      </w:r>
      <w:r w:rsidR="003B34A2">
        <w:rPr>
          <w:rFonts w:cs="Calibri"/>
          <w:color w:val="2F5496"/>
          <w:sz w:val="36"/>
          <w:szCs w:val="36"/>
          <w:lang w:val="en-US"/>
        </w:rPr>
        <w:t>Audit</w:t>
      </w:r>
      <w:r w:rsidR="00C64F6E" w:rsidRPr="008C761D">
        <w:rPr>
          <w:rFonts w:cs="Calibri"/>
          <w:color w:val="2F5496"/>
          <w:sz w:val="36"/>
          <w:szCs w:val="36"/>
          <w:lang w:val="en-US"/>
        </w:rPr>
        <w:t xml:space="preserve"> </w:t>
      </w:r>
      <w:r w:rsidRPr="008C761D">
        <w:rPr>
          <w:rFonts w:cs="Calibri"/>
          <w:color w:val="2F5496"/>
          <w:sz w:val="36"/>
          <w:szCs w:val="36"/>
          <w:lang w:val="en-US"/>
        </w:rPr>
        <w:t>and</w:t>
      </w:r>
      <w:r w:rsidR="00C64F6E" w:rsidRPr="008C761D">
        <w:rPr>
          <w:rFonts w:cs="Calibri"/>
          <w:color w:val="2F5496"/>
          <w:sz w:val="36"/>
          <w:szCs w:val="36"/>
          <w:lang w:val="en-US"/>
        </w:rPr>
        <w:t xml:space="preserve"> </w:t>
      </w:r>
      <w:r w:rsidRPr="008C761D">
        <w:rPr>
          <w:rFonts w:cs="Calibri"/>
          <w:color w:val="2F5496"/>
          <w:sz w:val="36"/>
          <w:szCs w:val="36"/>
          <w:lang w:val="en-US"/>
        </w:rPr>
        <w:t>Parliamentary</w:t>
      </w:r>
      <w:r w:rsidR="00C64F6E" w:rsidRPr="008C761D">
        <w:rPr>
          <w:rFonts w:cs="Calibri"/>
          <w:color w:val="2F5496"/>
          <w:sz w:val="36"/>
          <w:szCs w:val="36"/>
          <w:lang w:val="en-US"/>
        </w:rPr>
        <w:t xml:space="preserve"> </w:t>
      </w:r>
      <w:r w:rsidRPr="008C761D">
        <w:rPr>
          <w:rFonts w:cs="Calibri"/>
          <w:color w:val="2F5496"/>
          <w:sz w:val="36"/>
          <w:szCs w:val="36"/>
          <w:lang w:val="en-US"/>
        </w:rPr>
        <w:t>Oversight</w:t>
      </w:r>
    </w:p>
    <w:p w14:paraId="5CCEECF0" w14:textId="77777777" w:rsidR="00E83C20" w:rsidRPr="008C761D" w:rsidRDefault="00E83C20" w:rsidP="00C64F6E">
      <w:pPr>
        <w:spacing w:before="240" w:after="0" w:line="240" w:lineRule="auto"/>
        <w:rPr>
          <w:rFonts w:cs="Calibri"/>
          <w:color w:val="2F5496"/>
          <w:sz w:val="36"/>
          <w:szCs w:val="36"/>
          <w:lang w:val="en-US"/>
        </w:rPr>
      </w:pPr>
      <w:r w:rsidRPr="008C761D">
        <w:rPr>
          <w:rFonts w:cs="Calibri"/>
          <w:color w:val="2F5496"/>
          <w:sz w:val="36"/>
          <w:szCs w:val="36"/>
          <w:lang w:val="en-US"/>
        </w:rPr>
        <w:t>PILLAR VIII - PFM at Local Level</w:t>
      </w:r>
    </w:p>
    <w:p w14:paraId="09649D97" w14:textId="77777777" w:rsidR="00E83C20" w:rsidRPr="008C761D" w:rsidRDefault="00E83C20" w:rsidP="00E84CD0">
      <w:pPr>
        <w:spacing w:line="240" w:lineRule="auto"/>
        <w:rPr>
          <w:lang w:val="en-US"/>
        </w:rPr>
      </w:pPr>
    </w:p>
    <w:p w14:paraId="73FE5AA2" w14:textId="77777777" w:rsidR="00E83C20" w:rsidRPr="008C761D" w:rsidRDefault="00E83C20" w:rsidP="00E84CD0">
      <w:pPr>
        <w:spacing w:line="240" w:lineRule="auto"/>
        <w:rPr>
          <w:rFonts w:cs="Calibri"/>
          <w:color w:val="2F5496"/>
          <w:sz w:val="36"/>
          <w:szCs w:val="36"/>
          <w:lang w:val="en-US"/>
        </w:rPr>
      </w:pPr>
    </w:p>
    <w:p w14:paraId="7FE7DC34" w14:textId="77777777" w:rsidR="00E83C20" w:rsidRPr="008C761D" w:rsidRDefault="00E83C20" w:rsidP="00E84CD0">
      <w:pPr>
        <w:spacing w:line="240" w:lineRule="auto"/>
        <w:rPr>
          <w:rFonts w:eastAsia="MS PGothic" w:cs="Calibri"/>
          <w:color w:val="2F5496"/>
          <w:sz w:val="36"/>
          <w:szCs w:val="36"/>
          <w:lang w:val="en-US" w:eastAsia="zh-CN"/>
        </w:rPr>
      </w:pPr>
    </w:p>
    <w:p w14:paraId="7CF7B1B2" w14:textId="77777777" w:rsidR="00E83C20" w:rsidRPr="008C761D" w:rsidRDefault="00E83C20" w:rsidP="00E84CD0">
      <w:pPr>
        <w:spacing w:line="240" w:lineRule="auto"/>
        <w:rPr>
          <w:rFonts w:eastAsia="MS PGothic" w:cs="Calibri"/>
          <w:color w:val="2F5496"/>
          <w:sz w:val="36"/>
          <w:szCs w:val="36"/>
          <w:lang w:val="en-US" w:eastAsia="zh-CN"/>
        </w:rPr>
      </w:pPr>
    </w:p>
    <w:p w14:paraId="4568EEC7" w14:textId="77777777" w:rsidR="00E83C20" w:rsidRPr="008C761D" w:rsidRDefault="00E83C20" w:rsidP="00E84CD0">
      <w:pPr>
        <w:spacing w:line="240" w:lineRule="auto"/>
        <w:rPr>
          <w:rFonts w:cs="Calibri"/>
          <w:color w:val="2F5496"/>
          <w:sz w:val="36"/>
          <w:szCs w:val="36"/>
          <w:lang w:val="en-US"/>
        </w:rPr>
      </w:pPr>
    </w:p>
    <w:p w14:paraId="659D1E89" w14:textId="77777777" w:rsidR="00E83C20" w:rsidRPr="008C761D" w:rsidRDefault="00E83C20" w:rsidP="00E84CD0">
      <w:pPr>
        <w:spacing w:line="240" w:lineRule="auto"/>
        <w:rPr>
          <w:lang w:val="en-US"/>
        </w:rPr>
      </w:pPr>
    </w:p>
    <w:p w14:paraId="57A94A3B" w14:textId="77777777" w:rsidR="00A64FD7" w:rsidRPr="006A0F62" w:rsidRDefault="00186AC6" w:rsidP="00E84CD0">
      <w:pPr>
        <w:pStyle w:val="Heading1"/>
        <w:spacing w:line="240" w:lineRule="auto"/>
        <w:jc w:val="both"/>
        <w:rPr>
          <w:rFonts w:ascii="Calibri" w:hAnsi="Calibri" w:cs="Calibri"/>
          <w:color w:val="2F5496"/>
          <w:lang w:val="en-US"/>
        </w:rPr>
      </w:pPr>
      <w:r w:rsidRPr="008C761D">
        <w:rPr>
          <w:rFonts w:ascii="Calibri" w:hAnsi="Calibri" w:cs="Calibri"/>
          <w:color w:val="2F5496"/>
          <w:sz w:val="36"/>
          <w:szCs w:val="36"/>
          <w:lang w:val="en-US"/>
        </w:rPr>
        <w:br w:type="page"/>
      </w:r>
      <w:bookmarkStart w:id="12" w:name="_Toc160611809"/>
      <w:r w:rsidR="00A64FD7" w:rsidRPr="006A0F62">
        <w:rPr>
          <w:rFonts w:ascii="Calibri" w:hAnsi="Calibri" w:cs="Calibri"/>
          <w:color w:val="2F5496"/>
          <w:lang w:val="en-US"/>
        </w:rPr>
        <w:lastRenderedPageBreak/>
        <w:t>PILLAR I - Economic Analysis, Macroeconomic and Fiscal Framework</w:t>
      </w:r>
      <w:bookmarkEnd w:id="12"/>
    </w:p>
    <w:p w14:paraId="149198D2" w14:textId="77777777" w:rsidR="00D144DD" w:rsidRPr="008C761D" w:rsidRDefault="00D144DD" w:rsidP="00E3318E">
      <w:pPr>
        <w:spacing w:after="60" w:line="240" w:lineRule="auto"/>
        <w:jc w:val="both"/>
        <w:rPr>
          <w:rFonts w:cs="Calibri"/>
          <w:highlight w:val="yellow"/>
          <w:lang w:val="en-US"/>
        </w:rPr>
      </w:pPr>
    </w:p>
    <w:p w14:paraId="30A06C88" w14:textId="77777777" w:rsidR="00D144DD" w:rsidRPr="008C761D" w:rsidRDefault="006A55CA" w:rsidP="00E3318E">
      <w:pPr>
        <w:spacing w:after="60" w:line="240" w:lineRule="auto"/>
        <w:jc w:val="both"/>
        <w:rPr>
          <w:rFonts w:cs="Calibri"/>
          <w:b/>
          <w:color w:val="2F5496" w:themeColor="accent1" w:themeShade="BF"/>
          <w:lang w:val="en-US"/>
        </w:rPr>
      </w:pPr>
      <w:r w:rsidRPr="008C761D">
        <w:rPr>
          <w:rFonts w:cs="Calibri"/>
          <w:b/>
          <w:color w:val="2F5496" w:themeColor="accent1" w:themeShade="BF"/>
          <w:lang w:val="en-US"/>
        </w:rPr>
        <w:t>Introduction</w:t>
      </w:r>
    </w:p>
    <w:p w14:paraId="157078BF" w14:textId="77777777" w:rsidR="004079E5" w:rsidRPr="008C761D" w:rsidRDefault="004079E5" w:rsidP="00982DAE">
      <w:pPr>
        <w:spacing w:line="240" w:lineRule="auto"/>
        <w:jc w:val="both"/>
        <w:rPr>
          <w:lang w:val="en-US"/>
        </w:rPr>
      </w:pPr>
      <w:r w:rsidRPr="008C761D">
        <w:rPr>
          <w:lang w:val="en-US"/>
        </w:rPr>
        <w:t xml:space="preserve">Preparation of credible macroeconomic fiscal framework is one of the key elements for sound public finance management. Its successful preparation depends on balanced and sustainable approach when determining the revenue, expenditure and debt levels, as well as on quality economic analyses in accordance with international best practices. In that direction, the PFMRP 2024-2027 will continue to report on the necessary reforms in order to improve the operating public administration standards for the following three priorities: </w:t>
      </w:r>
    </w:p>
    <w:p w14:paraId="16D4FAFA" w14:textId="77777777" w:rsidR="004079E5" w:rsidRPr="008C761D" w:rsidRDefault="004079E5" w:rsidP="00AF15BB">
      <w:pPr>
        <w:pStyle w:val="ListParagraph"/>
        <w:numPr>
          <w:ilvl w:val="0"/>
          <w:numId w:val="112"/>
        </w:numPr>
        <w:rPr>
          <w:b/>
          <w:lang w:val="en-US"/>
        </w:rPr>
      </w:pPr>
      <w:r w:rsidRPr="008C761D">
        <w:rPr>
          <w:b/>
          <w:color w:val="2C2825"/>
          <w:shd w:val="clear" w:color="auto" w:fill="FFFFFF"/>
          <w:lang w:val="en-US"/>
        </w:rPr>
        <w:t>Priority 1:</w:t>
      </w:r>
      <w:r w:rsidRPr="008C761D">
        <w:rPr>
          <w:b/>
          <w:lang w:val="en-US"/>
        </w:rPr>
        <w:t xml:space="preserve"> Revenue forecasting</w:t>
      </w:r>
    </w:p>
    <w:p w14:paraId="03ACF628" w14:textId="77777777" w:rsidR="004079E5" w:rsidRPr="008C761D" w:rsidRDefault="004079E5" w:rsidP="00AF15BB">
      <w:pPr>
        <w:pStyle w:val="ListParagraph"/>
        <w:numPr>
          <w:ilvl w:val="0"/>
          <w:numId w:val="112"/>
        </w:numPr>
        <w:rPr>
          <w:b/>
          <w:lang w:val="en-US"/>
        </w:rPr>
      </w:pPr>
      <w:r w:rsidRPr="008C761D">
        <w:rPr>
          <w:b/>
          <w:color w:val="2C2825"/>
          <w:shd w:val="clear" w:color="auto" w:fill="FFFFFF"/>
          <w:lang w:val="en-US"/>
        </w:rPr>
        <w:t>Priority 2:</w:t>
      </w:r>
      <w:r w:rsidRPr="008C761D">
        <w:rPr>
          <w:b/>
          <w:lang w:val="en-US"/>
        </w:rPr>
        <w:t xml:space="preserve"> Economic analyses and macroeconomic forecasting </w:t>
      </w:r>
    </w:p>
    <w:p w14:paraId="61662D73" w14:textId="403141E4" w:rsidR="00622767" w:rsidRPr="008C761D" w:rsidRDefault="004079E5" w:rsidP="00AF15BB">
      <w:pPr>
        <w:pStyle w:val="ListParagraph"/>
        <w:numPr>
          <w:ilvl w:val="0"/>
          <w:numId w:val="112"/>
        </w:numPr>
        <w:rPr>
          <w:b/>
          <w:lang w:val="en-US"/>
        </w:rPr>
      </w:pPr>
      <w:r w:rsidRPr="008C761D">
        <w:rPr>
          <w:b/>
          <w:color w:val="2C2825"/>
          <w:shd w:val="clear" w:color="auto" w:fill="FFFFFF"/>
          <w:lang w:val="en-US"/>
        </w:rPr>
        <w:t>Priority 3</w:t>
      </w:r>
      <w:r w:rsidR="00622767" w:rsidRPr="008C761D">
        <w:rPr>
          <w:b/>
          <w:lang w:val="en-US"/>
        </w:rPr>
        <w:t>: Debt management</w:t>
      </w:r>
    </w:p>
    <w:p w14:paraId="32F21A63" w14:textId="77777777" w:rsidR="008E06E4" w:rsidRPr="008C761D" w:rsidRDefault="004079E5" w:rsidP="008E06E4">
      <w:pPr>
        <w:spacing w:after="60" w:line="240" w:lineRule="auto"/>
        <w:jc w:val="both"/>
        <w:rPr>
          <w:rFonts w:cs="Calibri"/>
          <w:b/>
          <w:color w:val="2C2825"/>
          <w:shd w:val="clear" w:color="auto" w:fill="FFFFFF"/>
          <w:lang w:val="en-US"/>
        </w:rPr>
      </w:pPr>
      <w:r w:rsidRPr="008C761D">
        <w:rPr>
          <w:rFonts w:cs="Calibri"/>
          <w:b/>
          <w:color w:val="2C2825"/>
          <w:shd w:val="clear" w:color="auto" w:fill="FFFFFF"/>
          <w:lang w:val="en-US"/>
        </w:rPr>
        <w:t>Priority 1:</w:t>
      </w:r>
      <w:r w:rsidR="008E06E4" w:rsidRPr="008C761D">
        <w:rPr>
          <w:rFonts w:cs="Calibri"/>
          <w:b/>
          <w:color w:val="2C2825"/>
          <w:shd w:val="clear" w:color="auto" w:fill="FFFFFF"/>
          <w:lang w:val="en-US"/>
        </w:rPr>
        <w:t xml:space="preserve"> Revenue forecasting</w:t>
      </w:r>
    </w:p>
    <w:p w14:paraId="01DBD876" w14:textId="403456C8" w:rsidR="004079E5" w:rsidRPr="008C761D" w:rsidRDefault="004079E5" w:rsidP="00982DAE">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Sound revenue forecasting, coupled with analysis of the tax system potential and the impact of tax policy changes and tax expenditures, is key to making informed tax policy decision. </w:t>
      </w:r>
    </w:p>
    <w:p w14:paraId="6A0BE07C" w14:textId="77777777" w:rsidR="004079E5" w:rsidRPr="008C761D" w:rsidRDefault="004079E5" w:rsidP="00982DAE">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Therefore, development of tax models that are used for enhanced tax revenue forecasting; costing tax expenditures under the different tax instruments; and simulating fiscal impact of tax policy </w:t>
      </w:r>
      <w:proofErr w:type="gramStart"/>
      <w:r w:rsidRPr="008C761D">
        <w:rPr>
          <w:rFonts w:cs="Calibri"/>
          <w:color w:val="2C2825"/>
          <w:shd w:val="clear" w:color="auto" w:fill="FFFFFF"/>
          <w:lang w:val="en-US"/>
        </w:rPr>
        <w:t>changes  ,</w:t>
      </w:r>
      <w:proofErr w:type="gramEnd"/>
      <w:r w:rsidRPr="008C761D">
        <w:rPr>
          <w:rFonts w:cs="Calibri"/>
          <w:color w:val="2C2825"/>
          <w:shd w:val="clear" w:color="auto" w:fill="FFFFFF"/>
          <w:lang w:val="en-US"/>
        </w:rPr>
        <w:t xml:space="preserve"> as well as systematic and comprehensive tax expenditure reporting are key measures underpinning the revenue forecasting and reporting priority.</w:t>
      </w:r>
    </w:p>
    <w:p w14:paraId="4B8BF601" w14:textId="2EF6E75F" w:rsidR="004079E5" w:rsidRPr="008C761D" w:rsidRDefault="004079E5" w:rsidP="00982DAE">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Emphasis needs to be put on both increasing the analytical capacity for tax data collection and analysis, revenue forecasting and for tax expenditure costing and reporting by systematic usage of tax models for tax policy-making and tax administration monitoring.</w:t>
      </w:r>
    </w:p>
    <w:p w14:paraId="5116E9F9" w14:textId="77777777" w:rsidR="008E06E4" w:rsidRPr="00E924AD" w:rsidRDefault="008E06E4" w:rsidP="008E06E4">
      <w:pPr>
        <w:spacing w:after="60" w:line="240" w:lineRule="auto"/>
        <w:jc w:val="both"/>
        <w:rPr>
          <w:rFonts w:cs="Calibri"/>
          <w:color w:val="2C2825"/>
          <w:sz w:val="10"/>
          <w:szCs w:val="10"/>
          <w:shd w:val="clear" w:color="auto" w:fill="FFFFFF"/>
          <w:lang w:val="en-US"/>
        </w:rPr>
      </w:pPr>
    </w:p>
    <w:p w14:paraId="2329F6DD" w14:textId="527AE476" w:rsidR="008E06E4" w:rsidRPr="008C761D" w:rsidRDefault="004079E5" w:rsidP="008E06E4">
      <w:pPr>
        <w:spacing w:after="60" w:line="240" w:lineRule="auto"/>
        <w:jc w:val="both"/>
        <w:rPr>
          <w:rFonts w:cs="Calibri"/>
          <w:b/>
          <w:color w:val="2C2825"/>
          <w:shd w:val="clear" w:color="auto" w:fill="FFFFFF"/>
          <w:lang w:val="en-US"/>
        </w:rPr>
      </w:pPr>
      <w:r w:rsidRPr="008C761D">
        <w:rPr>
          <w:rFonts w:cs="Calibri"/>
          <w:b/>
          <w:color w:val="2C2825"/>
          <w:shd w:val="clear" w:color="auto" w:fill="FFFFFF"/>
          <w:lang w:val="en-US"/>
        </w:rPr>
        <w:t xml:space="preserve">Priority 2: Economic analyses and macroeconomic forecasting </w:t>
      </w:r>
    </w:p>
    <w:p w14:paraId="0DD0F13C" w14:textId="77777777" w:rsidR="004079E5" w:rsidRPr="008C761D" w:rsidRDefault="004079E5" w:rsidP="008E06E4">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In the field related to economic analyses and macroeconomic forecasts, the report will maintain the same structure with measures intended to strengthen capacities for economic and macroeconomic analyses, as well as measures to create new administrative capacities for fiscal risk analyzes and to build the newly formed institutional framework presented through the Fiscal Council.</w:t>
      </w:r>
    </w:p>
    <w:p w14:paraId="36880235" w14:textId="77777777" w:rsidR="00827158" w:rsidRPr="008C761D" w:rsidRDefault="00827158" w:rsidP="008E06E4">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Current challenges in global environment followed by negative externalities from inflationary pressures and rising energy costs, as well as the disruptions in the international trade linkages have had significant impact the country's economy, following the negative consequences from the COVID crisis and subsequent global commodity crises. This further increases the need for strengthening of the capacities for economic analyses that has so far been carried out in cooperation with SECO and World Bank, by providing technical assistance to the Ministry of Finance. Existing work plans have been implemented and building upon the existing high level of collaboration, new ones have been designed for the next period.  </w:t>
      </w:r>
    </w:p>
    <w:p w14:paraId="099FEE99" w14:textId="77777777" w:rsidR="00827158" w:rsidRPr="008C761D" w:rsidRDefault="00827158" w:rsidP="008E06E4">
      <w:pPr>
        <w:spacing w:after="60"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This includes further work on the model for financial programing and policies and the model for tracking inflation and GDP using short term data, for which MoF staff has been receiving training. Furthermore, in development stage is a macro structural model including workshops for training, which is planned to be a tool for medium term forecasting and economic analyses.  </w:t>
      </w:r>
    </w:p>
    <w:p w14:paraId="56F1DE98" w14:textId="0EB0B671" w:rsidR="004079E5" w:rsidRPr="008C761D" w:rsidRDefault="004079E5" w:rsidP="004079E5">
      <w:pPr>
        <w:tabs>
          <w:tab w:val="left" w:pos="2040"/>
        </w:tabs>
        <w:spacing w:line="240" w:lineRule="auto"/>
        <w:jc w:val="both"/>
        <w:rPr>
          <w:lang w:val="en-US"/>
        </w:rPr>
      </w:pPr>
      <w:r w:rsidRPr="008C761D">
        <w:rPr>
          <w:lang w:val="en-US"/>
        </w:rPr>
        <w:t xml:space="preserve">Activities for building capacities for Fiscal Risks analyses </w:t>
      </w:r>
      <w:r w:rsidR="006E0B57">
        <w:rPr>
          <w:lang w:val="en-US"/>
        </w:rPr>
        <w:t>have started at</w:t>
      </w:r>
      <w:r w:rsidRPr="008C761D">
        <w:rPr>
          <w:lang w:val="en-US"/>
        </w:rPr>
        <w:t xml:space="preserve"> the beginning of 2024 with support from the FAD/IMF, including establishment of working group at the MoF that will cooperate with other government entities. Initially the aim is to create architecture with which the gradual measurement of the most significant fiscal risks will begin.</w:t>
      </w:r>
    </w:p>
    <w:p w14:paraId="17F5609C" w14:textId="239C4839" w:rsidR="004079E5" w:rsidRPr="008C761D" w:rsidRDefault="006A55CA" w:rsidP="004079E5">
      <w:pPr>
        <w:tabs>
          <w:tab w:val="left" w:pos="2040"/>
        </w:tabs>
        <w:spacing w:line="240" w:lineRule="auto"/>
        <w:jc w:val="both"/>
        <w:rPr>
          <w:lang w:val="en-US"/>
        </w:rPr>
      </w:pPr>
      <w:r w:rsidRPr="008C761D">
        <w:rPr>
          <w:rFonts w:cs="Calibri"/>
          <w:bCs/>
          <w:lang w:val="en-US"/>
        </w:rPr>
        <w:t>The Fiscal Council, once fully operational, will</w:t>
      </w:r>
      <w:r w:rsidR="00944D78">
        <w:rPr>
          <w:rFonts w:cs="Calibri"/>
          <w:bCs/>
          <w:lang w:val="en-US"/>
        </w:rPr>
        <w:t xml:space="preserve"> </w:t>
      </w:r>
      <w:r w:rsidRPr="008C761D">
        <w:rPr>
          <w:rFonts w:cs="Calibri"/>
          <w:bCs/>
          <w:lang w:val="en-US"/>
        </w:rPr>
        <w:t xml:space="preserve">improve public finance sustainability by independently assessing fiscal policy, economic strategies including implementation, as well as evaluating basic </w:t>
      </w:r>
      <w:r w:rsidRPr="008C761D">
        <w:rPr>
          <w:rFonts w:cs="Calibri"/>
          <w:bCs/>
          <w:lang w:val="en-US"/>
        </w:rPr>
        <w:lastRenderedPageBreak/>
        <w:t>macroeconomic and budget projections used in the preparation of strategic documents related to public finances.</w:t>
      </w:r>
    </w:p>
    <w:p w14:paraId="6DDB775D" w14:textId="77777777" w:rsidR="004079E5" w:rsidRPr="008C761D" w:rsidRDefault="004079E5" w:rsidP="004079E5">
      <w:pPr>
        <w:spacing w:after="60" w:line="240" w:lineRule="auto"/>
        <w:jc w:val="both"/>
        <w:rPr>
          <w:rFonts w:cs="Calibri"/>
          <w:highlight w:val="yellow"/>
          <w:lang w:val="en-US"/>
        </w:rPr>
      </w:pPr>
      <w:r w:rsidRPr="008C761D">
        <w:rPr>
          <w:rFonts w:cs="Calibri"/>
          <w:b/>
          <w:color w:val="2C2825"/>
          <w:shd w:val="clear" w:color="auto" w:fill="FFFFFF"/>
          <w:lang w:val="en-US"/>
        </w:rPr>
        <w:t xml:space="preserve">Priority 3: </w:t>
      </w:r>
      <w:r w:rsidR="006A55CA" w:rsidRPr="008C761D">
        <w:rPr>
          <w:rFonts w:cs="Calibri"/>
          <w:b/>
          <w:lang w:val="en-US"/>
        </w:rPr>
        <w:t>Debt management</w:t>
      </w:r>
    </w:p>
    <w:p w14:paraId="177F2C0A" w14:textId="77777777" w:rsidR="004079E5" w:rsidRPr="008C761D" w:rsidRDefault="004079E5" w:rsidP="00944D78">
      <w:pPr>
        <w:shd w:val="clear" w:color="auto" w:fill="FFFFFF"/>
        <w:spacing w:after="0" w:line="240" w:lineRule="auto"/>
        <w:jc w:val="both"/>
        <w:rPr>
          <w:lang w:val="en-US"/>
        </w:rPr>
      </w:pPr>
      <w:r w:rsidRPr="008C761D">
        <w:rPr>
          <w:lang w:val="en-US"/>
        </w:rPr>
        <w:t xml:space="preserve">Effective public debt management is vital for a country's economic stability. It ensures prudent borrowing, reduces financial risks, and mitigates the impact of economic shocks. </w:t>
      </w:r>
    </w:p>
    <w:p w14:paraId="04C93BDA" w14:textId="3ED49ABC" w:rsidR="004079E5" w:rsidRPr="008C761D" w:rsidRDefault="004079E5" w:rsidP="00944D78">
      <w:pPr>
        <w:shd w:val="clear" w:color="auto" w:fill="FFFFFF"/>
        <w:spacing w:after="0" w:line="240" w:lineRule="auto"/>
        <w:jc w:val="both"/>
        <w:rPr>
          <w:lang w:val="en-US"/>
        </w:rPr>
      </w:pPr>
      <w:r w:rsidRPr="008C761D">
        <w:rPr>
          <w:lang w:val="en-US"/>
        </w:rPr>
        <w:t>Well-managed debt contributes to sustainable development, fosters investor confidence, and allows governments to meet their financial obligations while maintaining fiscal discipline.</w:t>
      </w:r>
      <w:r w:rsidRPr="008C761D">
        <w:rPr>
          <w:lang w:val="en-US"/>
        </w:rPr>
        <w:br/>
        <w:t>The Public Debt Management Strategy plays a crucial role in the entire process of public debt management, from planning to execution.</w:t>
      </w:r>
      <w:r w:rsidR="00944D78">
        <w:rPr>
          <w:lang w:val="en-US"/>
        </w:rPr>
        <w:t xml:space="preserve"> </w:t>
      </w:r>
      <w:r w:rsidRPr="008C761D">
        <w:rPr>
          <w:lang w:val="en-US"/>
        </w:rPr>
        <w:t>The World Bank suggests aligning the annual borrowing plan with this strategy to increase effectivenes of the public debt management.</w:t>
      </w:r>
      <w:r w:rsidRPr="008C761D">
        <w:rPr>
          <w:lang w:val="en-US"/>
        </w:rPr>
        <w:br/>
        <w:t>Aimed to reduce operational risks, it is important to introduce e-banking with NBRNM for external debt-repayment.</w:t>
      </w:r>
      <w:r w:rsidRPr="008C761D">
        <w:rPr>
          <w:lang w:val="en-US"/>
        </w:rPr>
        <w:br/>
        <w:t>Strengthening public debt management also involves hiring and training staff, ensuring timely task completion, and reconciling debt stock with creditors through more frequent procedures.</w:t>
      </w:r>
    </w:p>
    <w:p w14:paraId="3709C0DC" w14:textId="77777777" w:rsidR="003C20E4" w:rsidRPr="008C761D" w:rsidRDefault="004079E5" w:rsidP="00944D78">
      <w:pPr>
        <w:spacing w:after="0" w:line="240" w:lineRule="auto"/>
        <w:jc w:val="both"/>
        <w:rPr>
          <w:lang w:val="en-US"/>
        </w:rPr>
      </w:pPr>
      <w:r w:rsidRPr="008C761D">
        <w:rPr>
          <w:lang w:val="en-US"/>
        </w:rPr>
        <w:t>Changes in the Organic Budget Law impact public debt definitions, requiring adjustments to align with Maastricht Criteria. Efforts include modifying the Public Debt Law and integrating debt data into budget documents. Adhering to SDDS Plus standards by 2024 increase transparency and improves statistical data quality and international confidence.</w:t>
      </w:r>
    </w:p>
    <w:p w14:paraId="0C388746" w14:textId="77777777" w:rsidR="003C20E4" w:rsidRPr="008C761D" w:rsidRDefault="004079E5" w:rsidP="00944D78">
      <w:pPr>
        <w:spacing w:after="0" w:line="240" w:lineRule="auto"/>
        <w:jc w:val="both"/>
        <w:rPr>
          <w:lang w:val="en-US"/>
        </w:rPr>
      </w:pPr>
      <w:r w:rsidRPr="008C761D">
        <w:rPr>
          <w:lang w:val="en-US"/>
        </w:rPr>
        <w:t>Financial market development focuses on diversification through various instruments, including development bonds, structural bonds, and green bonds that support environmentally friendly projects, contributing to the country's transition to a green economy and capital market development.</w:t>
      </w:r>
    </w:p>
    <w:p w14:paraId="6FAA499D" w14:textId="77777777" w:rsidR="003C20E4" w:rsidRPr="008C761D" w:rsidRDefault="003C20E4" w:rsidP="00CE2DF4">
      <w:pPr>
        <w:spacing w:after="0" w:line="240" w:lineRule="auto"/>
        <w:jc w:val="both"/>
        <w:rPr>
          <w:lang w:val="en-US"/>
        </w:rPr>
      </w:pPr>
    </w:p>
    <w:p w14:paraId="72D70D49" w14:textId="77777777" w:rsidR="003C20E4" w:rsidRPr="008C761D" w:rsidRDefault="003C20E4" w:rsidP="00CE2DF4">
      <w:pPr>
        <w:spacing w:after="160" w:line="240" w:lineRule="auto"/>
        <w:jc w:val="both"/>
        <w:rPr>
          <w:rFonts w:cs="Calibri"/>
          <w:lang w:val="en-US"/>
        </w:rPr>
      </w:pPr>
    </w:p>
    <w:p w14:paraId="3F259019" w14:textId="77777777" w:rsidR="007A2F5E" w:rsidRPr="00E924AD" w:rsidRDefault="005C65EB" w:rsidP="00D67B41">
      <w:pPr>
        <w:pStyle w:val="Heading1"/>
        <w:spacing w:line="240" w:lineRule="auto"/>
        <w:jc w:val="both"/>
        <w:rPr>
          <w:rFonts w:ascii="Calibri" w:hAnsi="Calibri" w:cs="Calibri"/>
          <w:color w:val="2F5496"/>
          <w:sz w:val="28"/>
          <w:szCs w:val="28"/>
          <w:lang w:val="en-US"/>
        </w:rPr>
      </w:pPr>
      <w:r w:rsidRPr="008C761D">
        <w:rPr>
          <w:rFonts w:ascii="Calibri" w:hAnsi="Calibri" w:cs="Calibri"/>
          <w:color w:val="2F5496"/>
          <w:lang w:val="en-US"/>
        </w:rPr>
        <w:br w:type="page"/>
      </w:r>
      <w:bookmarkStart w:id="13" w:name="_Toc160611810"/>
      <w:r w:rsidR="00A64FD7" w:rsidRPr="00E924AD">
        <w:rPr>
          <w:rFonts w:ascii="Calibri" w:hAnsi="Calibri" w:cs="Calibri"/>
          <w:color w:val="2F5496"/>
          <w:sz w:val="28"/>
          <w:szCs w:val="28"/>
          <w:lang w:val="en-US"/>
        </w:rPr>
        <w:lastRenderedPageBreak/>
        <w:t>Priority 1: Revenue forecasting and reporting</w:t>
      </w:r>
      <w:bookmarkEnd w:id="13"/>
    </w:p>
    <w:p w14:paraId="1F15DC30" w14:textId="77777777" w:rsidR="00A64FD7" w:rsidRPr="008C761D" w:rsidRDefault="00A64FD7" w:rsidP="00E84CD0">
      <w:pPr>
        <w:spacing w:line="240" w:lineRule="auto"/>
        <w:jc w:val="both"/>
        <w:rPr>
          <w:rFonts w:cs="Calibri"/>
          <w:b/>
          <w:i/>
          <w:color w:val="2E74B5"/>
          <w:lang w:val="en-US" w:eastAsia="zh-CN"/>
        </w:rPr>
      </w:pPr>
      <w:r w:rsidRPr="008C761D">
        <w:rPr>
          <w:rFonts w:cs="Calibri"/>
          <w:b/>
          <w:i/>
          <w:color w:val="2E74B5"/>
          <w:lang w:val="en-US" w:eastAsia="zh-CN"/>
        </w:rPr>
        <w:t>Objective</w:t>
      </w:r>
    </w:p>
    <w:p w14:paraId="24ACCD65" w14:textId="77777777" w:rsidR="00D91B99" w:rsidRPr="008C761D" w:rsidRDefault="00126734" w:rsidP="00E84CD0">
      <w:pPr>
        <w:spacing w:line="240" w:lineRule="auto"/>
        <w:jc w:val="both"/>
        <w:rPr>
          <w:rFonts w:cs="Calibri"/>
          <w:lang w:val="en-US"/>
        </w:rPr>
      </w:pPr>
      <w:r w:rsidRPr="008C761D">
        <w:rPr>
          <w:rFonts w:cs="Calibri"/>
          <w:lang w:val="en-US"/>
        </w:rPr>
        <w:t xml:space="preserve">Revenue forecasting, evidence-based tax policy making and tax expenditures reporting are enhanced to ensure a predictable and stable revenue framework over the medium term so as to better plan expenditures for the development needs of the country.   </w:t>
      </w:r>
    </w:p>
    <w:tbl>
      <w:tblPr>
        <w:tblW w:w="5000" w:type="pct"/>
        <w:tblLook w:val="01E0" w:firstRow="1" w:lastRow="1" w:firstColumn="1" w:lastColumn="1" w:noHBand="0" w:noVBand="0"/>
      </w:tblPr>
      <w:tblGrid>
        <w:gridCol w:w="1353"/>
        <w:gridCol w:w="7889"/>
      </w:tblGrid>
      <w:tr w:rsidR="00D91B99" w:rsidRPr="008C761D" w14:paraId="1E9F66A5" w14:textId="77777777" w:rsidTr="00F87FA1">
        <w:trPr>
          <w:trHeight w:val="461"/>
        </w:trPr>
        <w:tc>
          <w:tcPr>
            <w:tcW w:w="732" w:type="pct"/>
            <w:shd w:val="clear" w:color="auto" w:fill="auto"/>
          </w:tcPr>
          <w:p w14:paraId="145058C3" w14:textId="77777777" w:rsidR="00D91B99" w:rsidRPr="008C761D" w:rsidRDefault="00D91B99" w:rsidP="00E84CD0">
            <w:pPr>
              <w:spacing w:after="0" w:line="240" w:lineRule="auto"/>
              <w:jc w:val="both"/>
              <w:rPr>
                <w:rFonts w:cs="Calibri"/>
                <w:lang w:val="en-US"/>
              </w:rPr>
            </w:pPr>
            <w:r w:rsidRPr="008C761D">
              <w:rPr>
                <w:rFonts w:cs="Calibri"/>
                <w:b/>
                <w:lang w:val="en-US"/>
              </w:rPr>
              <w:t>Measure 1:</w:t>
            </w:r>
          </w:p>
        </w:tc>
        <w:tc>
          <w:tcPr>
            <w:tcW w:w="4268" w:type="pct"/>
            <w:shd w:val="clear" w:color="auto" w:fill="auto"/>
          </w:tcPr>
          <w:p w14:paraId="6969E5BD" w14:textId="7E3D8A2D" w:rsidR="00D91B99" w:rsidRPr="008C761D" w:rsidRDefault="00D91B99" w:rsidP="00E84CD0">
            <w:pPr>
              <w:spacing w:after="0" w:line="240" w:lineRule="auto"/>
              <w:jc w:val="both"/>
              <w:rPr>
                <w:rFonts w:cs="Calibri"/>
                <w:lang w:val="en-US"/>
              </w:rPr>
            </w:pPr>
            <w:r w:rsidRPr="008C761D">
              <w:rPr>
                <w:rFonts w:cs="Calibri"/>
                <w:b/>
                <w:lang w:val="en-US"/>
              </w:rPr>
              <w:t>Improving</w:t>
            </w:r>
            <w:r w:rsidR="00937F96" w:rsidRPr="008C761D">
              <w:rPr>
                <w:rFonts w:cs="Calibri"/>
                <w:b/>
                <w:lang w:val="en-US"/>
              </w:rPr>
              <w:t xml:space="preserve"> </w:t>
            </w:r>
            <w:r w:rsidRPr="008C761D">
              <w:rPr>
                <w:rFonts w:cs="Calibri"/>
                <w:b/>
                <w:lang w:val="en-US"/>
              </w:rPr>
              <w:t>tax</w:t>
            </w:r>
            <w:r w:rsidR="00937F96" w:rsidRPr="008C761D">
              <w:rPr>
                <w:rFonts w:cs="Calibri"/>
                <w:b/>
                <w:lang w:val="en-US"/>
              </w:rPr>
              <w:t xml:space="preserve"> </w:t>
            </w:r>
            <w:r w:rsidRPr="008C761D">
              <w:rPr>
                <w:rFonts w:cs="Calibri"/>
                <w:b/>
                <w:lang w:val="en-US"/>
              </w:rPr>
              <w:t>and</w:t>
            </w:r>
            <w:r w:rsidR="00937F96" w:rsidRPr="008C761D">
              <w:rPr>
                <w:rFonts w:cs="Calibri"/>
                <w:b/>
                <w:lang w:val="en-US"/>
              </w:rPr>
              <w:t xml:space="preserve"> </w:t>
            </w:r>
            <w:r w:rsidRPr="008C761D">
              <w:rPr>
                <w:rFonts w:cs="Calibri"/>
                <w:b/>
                <w:lang w:val="en-US"/>
              </w:rPr>
              <w:t>customs</w:t>
            </w:r>
            <w:r w:rsidR="00937F96" w:rsidRPr="008C761D">
              <w:rPr>
                <w:rFonts w:cs="Calibri"/>
                <w:b/>
                <w:lang w:val="en-US"/>
              </w:rPr>
              <w:t xml:space="preserve"> </w:t>
            </w:r>
            <w:r w:rsidRPr="008C761D">
              <w:rPr>
                <w:rFonts w:cs="Calibri"/>
                <w:b/>
                <w:lang w:val="en-US"/>
              </w:rPr>
              <w:t>reporting</w:t>
            </w:r>
            <w:r w:rsidR="00937F96" w:rsidRPr="008C761D">
              <w:rPr>
                <w:rFonts w:cs="Calibri"/>
                <w:b/>
                <w:lang w:val="en-US"/>
              </w:rPr>
              <w:t xml:space="preserve"> </w:t>
            </w:r>
            <w:r w:rsidRPr="008C761D">
              <w:rPr>
                <w:rFonts w:cs="Calibri"/>
                <w:b/>
                <w:lang w:val="en-US"/>
              </w:rPr>
              <w:t>in</w:t>
            </w:r>
            <w:r w:rsidR="00937F96" w:rsidRPr="008C761D">
              <w:rPr>
                <w:rFonts w:cs="Calibri"/>
                <w:b/>
                <w:lang w:val="en-US"/>
              </w:rPr>
              <w:t xml:space="preserve"> </w:t>
            </w:r>
            <w:r w:rsidRPr="008C761D">
              <w:rPr>
                <w:rFonts w:cs="Calibri"/>
                <w:b/>
                <w:lang w:val="en-US"/>
              </w:rPr>
              <w:t>accordance</w:t>
            </w:r>
            <w:r w:rsidR="00937F96" w:rsidRPr="008C761D">
              <w:rPr>
                <w:rFonts w:cs="Calibri"/>
                <w:b/>
                <w:lang w:val="en-US"/>
              </w:rPr>
              <w:t xml:space="preserve"> </w:t>
            </w:r>
            <w:r w:rsidRPr="008C761D">
              <w:rPr>
                <w:rFonts w:cs="Calibri"/>
                <w:b/>
                <w:lang w:val="en-US"/>
              </w:rPr>
              <w:t>with</w:t>
            </w:r>
            <w:r w:rsidR="00937F96" w:rsidRPr="008C761D">
              <w:rPr>
                <w:rFonts w:cs="Calibri"/>
                <w:b/>
                <w:lang w:val="en-US"/>
              </w:rPr>
              <w:t xml:space="preserve"> </w:t>
            </w:r>
            <w:r w:rsidRPr="008C761D">
              <w:rPr>
                <w:rFonts w:cs="Calibri"/>
                <w:b/>
                <w:lang w:val="en-US"/>
              </w:rPr>
              <w:t>the EU best</w:t>
            </w:r>
            <w:r w:rsidR="00937F96" w:rsidRPr="008C761D">
              <w:rPr>
                <w:rFonts w:cs="Calibri"/>
                <w:b/>
                <w:lang w:val="en-US"/>
              </w:rPr>
              <w:t xml:space="preserve"> </w:t>
            </w:r>
            <w:r w:rsidRPr="008C761D">
              <w:rPr>
                <w:rFonts w:cs="Calibri"/>
                <w:b/>
                <w:lang w:val="en-US"/>
              </w:rPr>
              <w:t>practices</w:t>
            </w:r>
          </w:p>
        </w:tc>
      </w:tr>
      <w:tr w:rsidR="00FC2E5C" w:rsidRPr="008C761D" w14:paraId="57B4C737" w14:textId="77777777" w:rsidTr="008E6C2F">
        <w:trPr>
          <w:trHeight w:val="414"/>
        </w:trPr>
        <w:tc>
          <w:tcPr>
            <w:tcW w:w="732" w:type="pct"/>
            <w:shd w:val="clear" w:color="auto" w:fill="auto"/>
          </w:tcPr>
          <w:p w14:paraId="64317964" w14:textId="77777777" w:rsidR="00FC2E5C" w:rsidRPr="008C761D" w:rsidRDefault="00FC2E5C" w:rsidP="00E84CD0">
            <w:pPr>
              <w:spacing w:after="0" w:line="240" w:lineRule="auto"/>
              <w:jc w:val="both"/>
              <w:rPr>
                <w:rFonts w:cs="Calibri"/>
                <w:lang w:val="en-US"/>
              </w:rPr>
            </w:pPr>
            <w:r w:rsidRPr="008C761D">
              <w:rPr>
                <w:rFonts w:cs="Calibri"/>
                <w:lang w:val="en-US"/>
              </w:rPr>
              <w:t>Activity 1:</w:t>
            </w:r>
          </w:p>
          <w:p w14:paraId="590AED09" w14:textId="77777777" w:rsidR="00FC2E5C" w:rsidRPr="008C761D" w:rsidRDefault="00FC2E5C" w:rsidP="00E84CD0">
            <w:pPr>
              <w:spacing w:after="0" w:line="240" w:lineRule="auto"/>
              <w:jc w:val="both"/>
              <w:rPr>
                <w:rFonts w:cs="Calibri"/>
                <w:b/>
                <w:lang w:val="en-US"/>
              </w:rPr>
            </w:pPr>
          </w:p>
        </w:tc>
        <w:tc>
          <w:tcPr>
            <w:tcW w:w="4268" w:type="pct"/>
            <w:shd w:val="clear" w:color="auto" w:fill="auto"/>
          </w:tcPr>
          <w:p w14:paraId="133447D7" w14:textId="430FB5C2" w:rsidR="00FC2E5C" w:rsidRPr="008C761D" w:rsidRDefault="00126734" w:rsidP="00E84CD0">
            <w:pPr>
              <w:spacing w:after="0" w:line="240" w:lineRule="auto"/>
              <w:jc w:val="both"/>
              <w:rPr>
                <w:rFonts w:cs="Calibri"/>
                <w:b/>
                <w:lang w:val="en-US"/>
              </w:rPr>
            </w:pPr>
            <w:r w:rsidRPr="008C761D">
              <w:rPr>
                <w:rFonts w:cs="Calibri"/>
                <w:lang w:val="en-US"/>
              </w:rPr>
              <w:t>Establish</w:t>
            </w:r>
            <w:r w:rsidR="00937F96" w:rsidRPr="008C761D">
              <w:rPr>
                <w:rFonts w:cs="Calibri"/>
                <w:lang w:val="en-US"/>
              </w:rPr>
              <w:t xml:space="preserve"> </w:t>
            </w:r>
            <w:r w:rsidRPr="008C761D">
              <w:rPr>
                <w:rFonts w:cs="Calibri"/>
                <w:lang w:val="en-US"/>
              </w:rPr>
              <w:t>an</w:t>
            </w:r>
            <w:r w:rsidR="00937F96" w:rsidRPr="008C761D">
              <w:rPr>
                <w:rFonts w:cs="Calibri"/>
                <w:lang w:val="en-US"/>
              </w:rPr>
              <w:t xml:space="preserve"> </w:t>
            </w:r>
            <w:r w:rsidRPr="008C761D">
              <w:rPr>
                <w:rFonts w:cs="Calibri"/>
                <w:lang w:val="en-US"/>
              </w:rPr>
              <w:t>effective</w:t>
            </w:r>
            <w:r w:rsidR="00937F96" w:rsidRPr="008C761D">
              <w:rPr>
                <w:rFonts w:cs="Calibri"/>
                <w:lang w:val="en-US"/>
              </w:rPr>
              <w:t xml:space="preserve"> </w:t>
            </w:r>
            <w:r w:rsidRPr="008C761D">
              <w:rPr>
                <w:rFonts w:cs="Calibri"/>
                <w:lang w:val="en-US"/>
              </w:rPr>
              <w:t>and</w:t>
            </w:r>
            <w:r w:rsidR="00937F96" w:rsidRPr="008C761D">
              <w:rPr>
                <w:rFonts w:cs="Calibri"/>
                <w:lang w:val="en-US"/>
              </w:rPr>
              <w:t xml:space="preserve"> </w:t>
            </w:r>
            <w:r w:rsidRPr="008C761D">
              <w:rPr>
                <w:rFonts w:cs="Calibri"/>
                <w:lang w:val="en-US"/>
              </w:rPr>
              <w:t>efficient</w:t>
            </w:r>
            <w:r w:rsidR="00937F96" w:rsidRPr="008C761D">
              <w:rPr>
                <w:rFonts w:cs="Calibri"/>
                <w:lang w:val="en-US"/>
              </w:rPr>
              <w:t xml:space="preserve"> </w:t>
            </w:r>
            <w:r w:rsidRPr="008C761D">
              <w:rPr>
                <w:rFonts w:cs="Calibri"/>
                <w:lang w:val="en-US"/>
              </w:rPr>
              <w:t>tax</w:t>
            </w:r>
            <w:r w:rsidR="00937F96" w:rsidRPr="008C761D">
              <w:rPr>
                <w:rFonts w:cs="Calibri"/>
                <w:lang w:val="en-US"/>
              </w:rPr>
              <w:t xml:space="preserve"> </w:t>
            </w:r>
            <w:r w:rsidRPr="008C761D">
              <w:rPr>
                <w:rFonts w:cs="Calibri"/>
                <w:lang w:val="en-US"/>
              </w:rPr>
              <w:t>data</w:t>
            </w:r>
            <w:r w:rsidR="00937F96" w:rsidRPr="008C761D">
              <w:rPr>
                <w:rFonts w:cs="Calibri"/>
                <w:lang w:val="en-US"/>
              </w:rPr>
              <w:t xml:space="preserve"> </w:t>
            </w:r>
            <w:r w:rsidRPr="008C761D">
              <w:rPr>
                <w:rFonts w:cs="Calibri"/>
                <w:lang w:val="en-US"/>
              </w:rPr>
              <w:t>sharing</w:t>
            </w:r>
            <w:r w:rsidR="00937F96" w:rsidRPr="008C761D">
              <w:rPr>
                <w:rFonts w:cs="Calibri"/>
                <w:lang w:val="en-US"/>
              </w:rPr>
              <w:t xml:space="preserve"> </w:t>
            </w:r>
            <w:r w:rsidRPr="008C761D">
              <w:rPr>
                <w:rFonts w:cs="Calibri"/>
                <w:lang w:val="en-US"/>
              </w:rPr>
              <w:t>mechanism</w:t>
            </w:r>
            <w:r w:rsidR="00FC2E5C" w:rsidRPr="008C761D">
              <w:rPr>
                <w:rFonts w:cs="Calibri"/>
                <w:lang w:val="en-US"/>
              </w:rPr>
              <w:t>;</w:t>
            </w:r>
          </w:p>
        </w:tc>
      </w:tr>
      <w:tr w:rsidR="00FC2E5C" w:rsidRPr="008C761D" w14:paraId="1055C187" w14:textId="77777777" w:rsidTr="00F87FA1">
        <w:trPr>
          <w:trHeight w:val="399"/>
        </w:trPr>
        <w:tc>
          <w:tcPr>
            <w:tcW w:w="732" w:type="pct"/>
            <w:shd w:val="clear" w:color="auto" w:fill="auto"/>
          </w:tcPr>
          <w:p w14:paraId="4D4B6717" w14:textId="77777777" w:rsidR="00FC2E5C" w:rsidRPr="008C761D" w:rsidRDefault="00FC2E5C" w:rsidP="00E84CD0">
            <w:pPr>
              <w:spacing w:after="0" w:line="240" w:lineRule="auto"/>
              <w:jc w:val="both"/>
              <w:rPr>
                <w:rFonts w:cs="Calibri"/>
                <w:b/>
                <w:lang w:val="en-US"/>
              </w:rPr>
            </w:pPr>
            <w:r w:rsidRPr="008C761D">
              <w:rPr>
                <w:rFonts w:cs="Calibri"/>
                <w:lang w:val="en-US"/>
              </w:rPr>
              <w:t>Activity 2:</w:t>
            </w:r>
          </w:p>
        </w:tc>
        <w:tc>
          <w:tcPr>
            <w:tcW w:w="4268" w:type="pct"/>
            <w:shd w:val="clear" w:color="auto" w:fill="auto"/>
          </w:tcPr>
          <w:p w14:paraId="60BEBC96" w14:textId="40411578" w:rsidR="00FC2E5C" w:rsidRPr="008C761D" w:rsidRDefault="00126734" w:rsidP="00E84CD0">
            <w:pPr>
              <w:spacing w:after="0" w:line="240" w:lineRule="auto"/>
              <w:jc w:val="both"/>
              <w:rPr>
                <w:rFonts w:cs="Calibri"/>
                <w:b/>
                <w:lang w:val="en-US"/>
              </w:rPr>
            </w:pPr>
            <w:r w:rsidRPr="008C761D">
              <w:rPr>
                <w:rFonts w:cs="Calibri"/>
                <w:lang w:val="en-US"/>
              </w:rPr>
              <w:t>Preparation</w:t>
            </w:r>
            <w:r w:rsidR="00937F96" w:rsidRPr="008C761D">
              <w:rPr>
                <w:rFonts w:cs="Calibri"/>
                <w:lang w:val="en-US"/>
              </w:rPr>
              <w:t xml:space="preserve"> </w:t>
            </w:r>
            <w:r w:rsidRPr="008C761D">
              <w:rPr>
                <w:rFonts w:cs="Calibri"/>
                <w:lang w:val="en-US"/>
              </w:rPr>
              <w:t>of</w:t>
            </w:r>
            <w:r w:rsidR="00937F96" w:rsidRPr="008C761D">
              <w:rPr>
                <w:rFonts w:cs="Calibri"/>
                <w:lang w:val="en-US"/>
              </w:rPr>
              <w:t xml:space="preserve"> </w:t>
            </w:r>
            <w:r w:rsidRPr="008C761D">
              <w:rPr>
                <w:rFonts w:cs="Calibri"/>
                <w:lang w:val="en-US"/>
              </w:rPr>
              <w:t>Tax</w:t>
            </w:r>
            <w:r w:rsidR="00937F96" w:rsidRPr="008C761D">
              <w:rPr>
                <w:rFonts w:cs="Calibri"/>
                <w:lang w:val="en-US"/>
              </w:rPr>
              <w:t xml:space="preserve"> </w:t>
            </w:r>
            <w:r w:rsidRPr="008C761D">
              <w:rPr>
                <w:rFonts w:cs="Calibri"/>
                <w:lang w:val="en-US"/>
              </w:rPr>
              <w:t>expenditures</w:t>
            </w:r>
            <w:r w:rsidR="00937F96" w:rsidRPr="008C761D">
              <w:rPr>
                <w:rFonts w:cs="Calibri"/>
                <w:lang w:val="en-US"/>
              </w:rPr>
              <w:t xml:space="preserve"> </w:t>
            </w:r>
            <w:r w:rsidRPr="008C761D">
              <w:rPr>
                <w:rFonts w:cs="Calibri"/>
                <w:lang w:val="en-US"/>
              </w:rPr>
              <w:t>report</w:t>
            </w:r>
            <w:r w:rsidR="00552C77" w:rsidRPr="008C761D">
              <w:rPr>
                <w:rFonts w:cs="Calibri"/>
                <w:lang w:val="en-US"/>
              </w:rPr>
              <w:t xml:space="preserve"> </w:t>
            </w:r>
            <w:r w:rsidRPr="008C761D">
              <w:rPr>
                <w:rFonts w:cs="Calibri"/>
                <w:lang w:val="en-US"/>
              </w:rPr>
              <w:t>and</w:t>
            </w:r>
            <w:r w:rsidR="00552C77" w:rsidRPr="008C761D">
              <w:rPr>
                <w:rFonts w:cs="Calibri"/>
                <w:lang w:val="en-US"/>
              </w:rPr>
              <w:t xml:space="preserve"> </w:t>
            </w:r>
            <w:r w:rsidRPr="008C761D">
              <w:rPr>
                <w:rFonts w:cs="Calibri"/>
                <w:lang w:val="en-US"/>
              </w:rPr>
              <w:t>other</w:t>
            </w:r>
            <w:r w:rsidR="00552C77" w:rsidRPr="008C761D">
              <w:rPr>
                <w:rFonts w:cs="Calibri"/>
                <w:lang w:val="en-US"/>
              </w:rPr>
              <w:t xml:space="preserve"> </w:t>
            </w:r>
            <w:r w:rsidRPr="008C761D">
              <w:rPr>
                <w:rFonts w:cs="Calibri"/>
                <w:lang w:val="en-US"/>
              </w:rPr>
              <w:t>tax</w:t>
            </w:r>
            <w:r w:rsidR="00552C77" w:rsidRPr="008C761D">
              <w:rPr>
                <w:rFonts w:cs="Calibri"/>
                <w:lang w:val="en-US"/>
              </w:rPr>
              <w:t xml:space="preserve"> </w:t>
            </w:r>
            <w:r w:rsidRPr="008C761D">
              <w:rPr>
                <w:rFonts w:cs="Calibri"/>
                <w:lang w:val="en-US"/>
              </w:rPr>
              <w:t>reports</w:t>
            </w:r>
            <w:r w:rsidR="00552C77" w:rsidRPr="008C761D">
              <w:rPr>
                <w:rFonts w:cs="Calibri"/>
                <w:lang w:val="en-US"/>
              </w:rPr>
              <w:t xml:space="preserve"> </w:t>
            </w:r>
            <w:r w:rsidRPr="008C761D">
              <w:rPr>
                <w:rFonts w:cs="Calibri"/>
                <w:lang w:val="en-US"/>
              </w:rPr>
              <w:t>in</w:t>
            </w:r>
            <w:r w:rsidR="00552C77" w:rsidRPr="008C761D">
              <w:rPr>
                <w:rFonts w:cs="Calibri"/>
                <w:lang w:val="en-US"/>
              </w:rPr>
              <w:t xml:space="preserve"> </w:t>
            </w:r>
            <w:r w:rsidRPr="008C761D">
              <w:rPr>
                <w:rFonts w:cs="Calibri"/>
                <w:lang w:val="en-US"/>
              </w:rPr>
              <w:t>line</w:t>
            </w:r>
            <w:r w:rsidR="00552C77" w:rsidRPr="008C761D">
              <w:rPr>
                <w:rFonts w:cs="Calibri"/>
                <w:lang w:val="en-US"/>
              </w:rPr>
              <w:t xml:space="preserve"> </w:t>
            </w:r>
            <w:r w:rsidRPr="008C761D">
              <w:rPr>
                <w:rFonts w:cs="Calibri"/>
                <w:lang w:val="en-US"/>
              </w:rPr>
              <w:t>with EU best</w:t>
            </w:r>
            <w:r w:rsidR="00552C77" w:rsidRPr="008C761D">
              <w:rPr>
                <w:rFonts w:cs="Calibri"/>
                <w:lang w:val="en-US"/>
              </w:rPr>
              <w:t xml:space="preserve"> </w:t>
            </w:r>
            <w:r w:rsidRPr="008C761D">
              <w:rPr>
                <w:rFonts w:cs="Calibri"/>
                <w:lang w:val="en-US"/>
              </w:rPr>
              <w:t>practices;</w:t>
            </w:r>
          </w:p>
        </w:tc>
      </w:tr>
      <w:tr w:rsidR="00D91B99" w:rsidRPr="008C761D" w14:paraId="64398F15" w14:textId="77777777" w:rsidTr="00F87FA1">
        <w:trPr>
          <w:trHeight w:val="258"/>
        </w:trPr>
        <w:tc>
          <w:tcPr>
            <w:tcW w:w="732" w:type="pct"/>
            <w:shd w:val="clear" w:color="auto" w:fill="auto"/>
          </w:tcPr>
          <w:p w14:paraId="44EE1542" w14:textId="77777777" w:rsidR="00D91B99" w:rsidRPr="008C761D" w:rsidRDefault="00D91B99" w:rsidP="00E84CD0">
            <w:pPr>
              <w:spacing w:before="240" w:after="0" w:line="240" w:lineRule="auto"/>
              <w:jc w:val="both"/>
              <w:rPr>
                <w:rFonts w:cs="Calibri"/>
                <w:b/>
                <w:lang w:val="en-US"/>
              </w:rPr>
            </w:pPr>
            <w:r w:rsidRPr="008C761D">
              <w:rPr>
                <w:rFonts w:cs="Calibri"/>
                <w:b/>
                <w:lang w:val="en-US"/>
              </w:rPr>
              <w:t xml:space="preserve">Measure 2: </w:t>
            </w:r>
          </w:p>
        </w:tc>
        <w:tc>
          <w:tcPr>
            <w:tcW w:w="4268" w:type="pct"/>
            <w:shd w:val="clear" w:color="auto" w:fill="auto"/>
          </w:tcPr>
          <w:p w14:paraId="7CB26E2C" w14:textId="3DA1D075" w:rsidR="00D91B99" w:rsidRPr="008C761D" w:rsidRDefault="00552C77" w:rsidP="00E84CD0">
            <w:pPr>
              <w:spacing w:before="240" w:after="0" w:line="240" w:lineRule="auto"/>
              <w:jc w:val="both"/>
              <w:rPr>
                <w:rFonts w:cs="Calibri"/>
                <w:b/>
                <w:lang w:val="en-US"/>
              </w:rPr>
            </w:pPr>
            <w:r w:rsidRPr="008C761D">
              <w:rPr>
                <w:rFonts w:cs="Calibri"/>
                <w:b/>
                <w:lang w:val="en-US"/>
              </w:rPr>
              <w:t>Enhancing tax and customs modelling capacity</w:t>
            </w:r>
          </w:p>
        </w:tc>
      </w:tr>
      <w:tr w:rsidR="00FC2E5C" w:rsidRPr="008C761D" w14:paraId="49CCAEDC" w14:textId="77777777" w:rsidTr="00F87FA1">
        <w:trPr>
          <w:trHeight w:val="258"/>
        </w:trPr>
        <w:tc>
          <w:tcPr>
            <w:tcW w:w="732" w:type="pct"/>
            <w:shd w:val="clear" w:color="auto" w:fill="auto"/>
          </w:tcPr>
          <w:p w14:paraId="0F3317A3" w14:textId="77777777" w:rsidR="00FC2E5C" w:rsidRPr="008C761D" w:rsidRDefault="00FC2E5C" w:rsidP="00E84CD0">
            <w:pPr>
              <w:spacing w:before="240" w:after="0" w:line="240" w:lineRule="auto"/>
              <w:jc w:val="both"/>
              <w:rPr>
                <w:rFonts w:cs="Calibri"/>
                <w:b/>
                <w:lang w:val="en-US"/>
              </w:rPr>
            </w:pPr>
            <w:r w:rsidRPr="008C761D">
              <w:rPr>
                <w:rFonts w:cs="Calibri"/>
                <w:lang w:val="en-US"/>
              </w:rPr>
              <w:t>Activity 1:</w:t>
            </w:r>
          </w:p>
        </w:tc>
        <w:tc>
          <w:tcPr>
            <w:tcW w:w="4268" w:type="pct"/>
            <w:shd w:val="clear" w:color="auto" w:fill="auto"/>
          </w:tcPr>
          <w:p w14:paraId="361E771F" w14:textId="2BAA33FC" w:rsidR="00FC2E5C" w:rsidRPr="008C761D" w:rsidRDefault="00552C77" w:rsidP="00E84CD0">
            <w:pPr>
              <w:spacing w:before="240" w:after="0" w:line="240" w:lineRule="auto"/>
              <w:jc w:val="both"/>
              <w:rPr>
                <w:rFonts w:cs="Calibri"/>
                <w:b/>
                <w:lang w:val="en-US"/>
              </w:rPr>
            </w:pPr>
            <w:r w:rsidRPr="008C761D">
              <w:rPr>
                <w:rFonts w:cs="Calibri"/>
                <w:lang w:val="en-US"/>
              </w:rPr>
              <w:t>Implementation of developed tax models and further training of staff;</w:t>
            </w:r>
          </w:p>
        </w:tc>
      </w:tr>
      <w:tr w:rsidR="00D91B99" w:rsidRPr="008C761D" w14:paraId="3450231C" w14:textId="77777777" w:rsidTr="008E06E4">
        <w:trPr>
          <w:trHeight w:val="688"/>
        </w:trPr>
        <w:tc>
          <w:tcPr>
            <w:tcW w:w="732" w:type="pct"/>
            <w:shd w:val="clear" w:color="auto" w:fill="auto"/>
          </w:tcPr>
          <w:p w14:paraId="4C5D1C84" w14:textId="77777777" w:rsidR="00D91B99" w:rsidRPr="008C761D" w:rsidRDefault="00D91B99" w:rsidP="00E84CD0">
            <w:pPr>
              <w:spacing w:after="0" w:line="240" w:lineRule="auto"/>
              <w:jc w:val="both"/>
              <w:rPr>
                <w:rFonts w:cs="Calibri"/>
                <w:lang w:val="en-US"/>
              </w:rPr>
            </w:pPr>
          </w:p>
          <w:p w14:paraId="2B1BD1B1" w14:textId="77777777" w:rsidR="00D91B99" w:rsidRPr="008C761D" w:rsidRDefault="00D91B99" w:rsidP="00E84CD0">
            <w:pPr>
              <w:spacing w:after="0" w:line="240" w:lineRule="auto"/>
              <w:jc w:val="both"/>
              <w:rPr>
                <w:rFonts w:cs="Calibri"/>
                <w:lang w:val="en-US"/>
              </w:rPr>
            </w:pPr>
            <w:r w:rsidRPr="008C761D">
              <w:rPr>
                <w:rFonts w:cs="Calibri"/>
                <w:lang w:val="en-US"/>
              </w:rPr>
              <w:t>Activity 2:</w:t>
            </w:r>
          </w:p>
        </w:tc>
        <w:tc>
          <w:tcPr>
            <w:tcW w:w="4268" w:type="pct"/>
            <w:shd w:val="clear" w:color="auto" w:fill="auto"/>
          </w:tcPr>
          <w:p w14:paraId="65482FB1" w14:textId="77777777" w:rsidR="00D91B99" w:rsidRPr="008C761D" w:rsidRDefault="00D91B99" w:rsidP="00E84CD0">
            <w:pPr>
              <w:spacing w:after="0" w:line="240" w:lineRule="auto"/>
              <w:jc w:val="both"/>
              <w:rPr>
                <w:rFonts w:cs="Calibri"/>
                <w:lang w:val="en-US"/>
              </w:rPr>
            </w:pPr>
          </w:p>
          <w:p w14:paraId="1D5A8294" w14:textId="77777777" w:rsidR="00D91B99" w:rsidRPr="008C761D" w:rsidRDefault="00126734" w:rsidP="00E84CD0">
            <w:pPr>
              <w:spacing w:after="0" w:line="240" w:lineRule="auto"/>
              <w:jc w:val="both"/>
              <w:rPr>
                <w:rFonts w:cs="Calibri"/>
                <w:lang w:val="en-US"/>
              </w:rPr>
            </w:pPr>
            <w:r w:rsidRPr="008C761D">
              <w:rPr>
                <w:rFonts w:cs="Calibri"/>
                <w:lang w:val="en-US"/>
              </w:rPr>
              <w:t>Extending the tax models with new modules and installation of Power BI tool.</w:t>
            </w:r>
          </w:p>
        </w:tc>
      </w:tr>
    </w:tbl>
    <w:p w14:paraId="015FBD9F" w14:textId="77777777" w:rsidR="00D91B99" w:rsidRPr="008C761D" w:rsidRDefault="00D91B99" w:rsidP="00E84CD0">
      <w:pPr>
        <w:spacing w:before="24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50FA2513" w14:textId="7D589E7D" w:rsidR="0045213E" w:rsidRPr="008C761D" w:rsidRDefault="0045213E" w:rsidP="006A0F62">
      <w:pPr>
        <w:numPr>
          <w:ilvl w:val="0"/>
          <w:numId w:val="90"/>
        </w:numPr>
        <w:spacing w:line="240" w:lineRule="auto"/>
        <w:ind w:left="360" w:hanging="360"/>
        <w:jc w:val="both"/>
        <w:rPr>
          <w:rFonts w:cs="Calibri"/>
          <w:lang w:val="en-US"/>
        </w:rPr>
      </w:pPr>
      <w:r w:rsidRPr="008C761D">
        <w:rPr>
          <w:rFonts w:cs="Calibri"/>
          <w:lang w:val="en-US"/>
        </w:rPr>
        <w:t>The</w:t>
      </w:r>
      <w:r w:rsidR="00937F96" w:rsidRPr="008C761D">
        <w:rPr>
          <w:rFonts w:cs="Calibri"/>
          <w:lang w:val="en-US"/>
        </w:rPr>
        <w:t xml:space="preserve"> </w:t>
      </w:r>
      <w:r w:rsidRPr="008C761D">
        <w:rPr>
          <w:rFonts w:cs="Calibri"/>
          <w:lang w:val="en-US"/>
        </w:rPr>
        <w:t>aggregate</w:t>
      </w:r>
      <w:r w:rsidR="00937F96" w:rsidRPr="008C761D">
        <w:rPr>
          <w:rFonts w:cs="Calibri"/>
          <w:lang w:val="en-US"/>
        </w:rPr>
        <w:t xml:space="preserve"> </w:t>
      </w:r>
      <w:r w:rsidRPr="008C761D">
        <w:rPr>
          <w:rFonts w:cs="Calibri"/>
          <w:lang w:val="en-US"/>
        </w:rPr>
        <w:t>revenue</w:t>
      </w:r>
      <w:r w:rsidR="00937F96" w:rsidRPr="008C761D">
        <w:rPr>
          <w:rFonts w:cs="Calibri"/>
          <w:lang w:val="en-US"/>
        </w:rPr>
        <w:t xml:space="preserve"> </w:t>
      </w:r>
      <w:r w:rsidRPr="008C761D">
        <w:rPr>
          <w:rFonts w:cs="Calibri"/>
          <w:lang w:val="en-US"/>
        </w:rPr>
        <w:t>deviation</w:t>
      </w:r>
      <w:r w:rsidR="00937F96" w:rsidRPr="008C761D">
        <w:rPr>
          <w:rFonts w:cs="Calibri"/>
          <w:lang w:val="en-US"/>
        </w:rPr>
        <w:t xml:space="preserve"> </w:t>
      </w:r>
      <w:r w:rsidRPr="008C761D">
        <w:rPr>
          <w:rFonts w:cs="Calibri"/>
          <w:lang w:val="en-US"/>
        </w:rPr>
        <w:t>and variance</w:t>
      </w:r>
      <w:r w:rsidR="00937F96" w:rsidRPr="008C761D">
        <w:rPr>
          <w:rFonts w:cs="Calibri"/>
          <w:lang w:val="en-US"/>
        </w:rPr>
        <w:t xml:space="preserve"> </w:t>
      </w:r>
      <w:r w:rsidRPr="008C761D">
        <w:rPr>
          <w:rFonts w:cs="Calibri"/>
          <w:lang w:val="en-US"/>
        </w:rPr>
        <w:t>in</w:t>
      </w:r>
      <w:r w:rsidR="00937F96" w:rsidRPr="008C761D">
        <w:rPr>
          <w:rFonts w:cs="Calibri"/>
          <w:lang w:val="en-US"/>
        </w:rPr>
        <w:t xml:space="preserve"> </w:t>
      </w:r>
      <w:r w:rsidRPr="008C761D">
        <w:rPr>
          <w:rFonts w:cs="Calibri"/>
          <w:lang w:val="en-US"/>
        </w:rPr>
        <w:t>revenue</w:t>
      </w:r>
      <w:r w:rsidR="00937F96" w:rsidRPr="008C761D">
        <w:rPr>
          <w:rFonts w:cs="Calibri"/>
          <w:lang w:val="en-US"/>
        </w:rPr>
        <w:t xml:space="preserve"> </w:t>
      </w:r>
      <w:r w:rsidRPr="008C761D">
        <w:rPr>
          <w:rFonts w:cs="Calibri"/>
          <w:lang w:val="en-US"/>
        </w:rPr>
        <w:t>composition</w:t>
      </w:r>
      <w:r w:rsidR="00937F96" w:rsidRPr="008C761D">
        <w:rPr>
          <w:rFonts w:cs="Calibri"/>
          <w:lang w:val="en-US"/>
        </w:rPr>
        <w:t xml:space="preserve"> </w:t>
      </w:r>
      <w:r w:rsidRPr="008C761D">
        <w:rPr>
          <w:rFonts w:cs="Calibri"/>
          <w:lang w:val="en-US"/>
        </w:rPr>
        <w:t>between</w:t>
      </w:r>
      <w:r w:rsidR="00937F96" w:rsidRPr="008C761D">
        <w:rPr>
          <w:rFonts w:cs="Calibri"/>
          <w:lang w:val="en-US"/>
        </w:rPr>
        <w:t xml:space="preserve"> </w:t>
      </w:r>
      <w:r w:rsidRPr="008C761D">
        <w:rPr>
          <w:rFonts w:cs="Calibri"/>
          <w:lang w:val="en-US"/>
        </w:rPr>
        <w:t>planned</w:t>
      </w:r>
      <w:r w:rsidR="00937F96" w:rsidRPr="008C761D">
        <w:rPr>
          <w:rFonts w:cs="Calibri"/>
          <w:lang w:val="en-US"/>
        </w:rPr>
        <w:t xml:space="preserve"> </w:t>
      </w:r>
      <w:r w:rsidRPr="008C761D">
        <w:rPr>
          <w:rFonts w:cs="Calibri"/>
          <w:lang w:val="en-US"/>
        </w:rPr>
        <w:t>and</w:t>
      </w:r>
      <w:r w:rsidR="00937F96" w:rsidRPr="008C761D">
        <w:rPr>
          <w:rFonts w:cs="Calibri"/>
          <w:lang w:val="en-US"/>
        </w:rPr>
        <w:t xml:space="preserve"> </w:t>
      </w:r>
      <w:r w:rsidRPr="008C761D">
        <w:rPr>
          <w:rFonts w:cs="Calibri"/>
          <w:lang w:val="en-US"/>
        </w:rPr>
        <w:t>actual</w:t>
      </w:r>
      <w:r w:rsidR="00937F96" w:rsidRPr="008C761D">
        <w:rPr>
          <w:rFonts w:cs="Calibri"/>
          <w:lang w:val="en-US"/>
        </w:rPr>
        <w:t xml:space="preserve"> </w:t>
      </w:r>
      <w:r w:rsidRPr="008C761D">
        <w:rPr>
          <w:rFonts w:cs="Calibri"/>
          <w:lang w:val="en-US"/>
        </w:rPr>
        <w:t>figures</w:t>
      </w:r>
      <w:r w:rsidR="00552C77" w:rsidRPr="008C761D">
        <w:rPr>
          <w:rFonts w:cs="Calibri"/>
          <w:lang w:val="en-US"/>
        </w:rPr>
        <w:t xml:space="preserve"> </w:t>
      </w:r>
      <w:r w:rsidRPr="008C761D">
        <w:rPr>
          <w:rFonts w:cs="Calibri"/>
          <w:lang w:val="en-US"/>
        </w:rPr>
        <w:t>is</w:t>
      </w:r>
      <w:r w:rsidR="00552C77" w:rsidRPr="008C761D">
        <w:rPr>
          <w:rFonts w:cs="Calibri"/>
          <w:lang w:val="en-US"/>
        </w:rPr>
        <w:t xml:space="preserve"> </w:t>
      </w:r>
      <w:r w:rsidRPr="008C761D">
        <w:rPr>
          <w:rFonts w:cs="Calibri"/>
          <w:lang w:val="en-US"/>
        </w:rPr>
        <w:t>reduced, indicating</w:t>
      </w:r>
      <w:r w:rsidR="00552C77" w:rsidRPr="008C761D">
        <w:rPr>
          <w:rFonts w:cs="Calibri"/>
          <w:lang w:val="en-US"/>
        </w:rPr>
        <w:t xml:space="preserve"> </w:t>
      </w:r>
      <w:r w:rsidRPr="008C761D">
        <w:rPr>
          <w:rFonts w:cs="Calibri"/>
          <w:lang w:val="en-US"/>
        </w:rPr>
        <w:t>improved</w:t>
      </w:r>
      <w:r w:rsidR="00552C77" w:rsidRPr="008C761D">
        <w:rPr>
          <w:rFonts w:cs="Calibri"/>
          <w:lang w:val="en-US"/>
        </w:rPr>
        <w:t xml:space="preserve"> </w:t>
      </w:r>
      <w:r w:rsidRPr="008C761D">
        <w:rPr>
          <w:rFonts w:cs="Calibri"/>
          <w:lang w:val="en-US"/>
        </w:rPr>
        <w:t xml:space="preserve">forecasting; </w:t>
      </w:r>
    </w:p>
    <w:p w14:paraId="276D191B" w14:textId="3D714153" w:rsidR="0045213E" w:rsidRPr="008C761D" w:rsidRDefault="0045213E" w:rsidP="006A0F62">
      <w:pPr>
        <w:numPr>
          <w:ilvl w:val="0"/>
          <w:numId w:val="90"/>
        </w:numPr>
        <w:spacing w:line="240" w:lineRule="auto"/>
        <w:ind w:left="360" w:hanging="360"/>
        <w:jc w:val="both"/>
        <w:rPr>
          <w:rFonts w:cs="Calibri"/>
          <w:lang w:val="en-US"/>
        </w:rPr>
      </w:pPr>
      <w:r w:rsidRPr="008C761D">
        <w:rPr>
          <w:rFonts w:cs="Calibri"/>
          <w:lang w:val="en-US"/>
        </w:rPr>
        <w:t>Enhanced</w:t>
      </w:r>
      <w:r w:rsidR="00552C77" w:rsidRPr="008C761D">
        <w:rPr>
          <w:rFonts w:cs="Calibri"/>
          <w:lang w:val="en-US"/>
        </w:rPr>
        <w:t xml:space="preserve"> </w:t>
      </w:r>
      <w:r w:rsidRPr="008C761D">
        <w:rPr>
          <w:rFonts w:cs="Calibri"/>
          <w:lang w:val="en-US"/>
        </w:rPr>
        <w:t>public</w:t>
      </w:r>
      <w:r w:rsidR="00552C77" w:rsidRPr="008C761D">
        <w:rPr>
          <w:rFonts w:cs="Calibri"/>
          <w:lang w:val="en-US"/>
        </w:rPr>
        <w:t xml:space="preserve"> </w:t>
      </w:r>
      <w:r w:rsidRPr="008C761D">
        <w:rPr>
          <w:rFonts w:cs="Calibri"/>
          <w:lang w:val="en-US"/>
        </w:rPr>
        <w:t>awareness</w:t>
      </w:r>
      <w:r w:rsidR="00552C77" w:rsidRPr="008C761D">
        <w:rPr>
          <w:rFonts w:cs="Calibri"/>
          <w:lang w:val="en-US"/>
        </w:rPr>
        <w:t xml:space="preserve"> </w:t>
      </w:r>
      <w:r w:rsidRPr="008C761D">
        <w:rPr>
          <w:rFonts w:cs="Calibri"/>
          <w:lang w:val="en-US"/>
        </w:rPr>
        <w:t>of</w:t>
      </w:r>
      <w:r w:rsidR="00552C77" w:rsidRPr="008C761D">
        <w:rPr>
          <w:rFonts w:cs="Calibri"/>
          <w:lang w:val="en-US"/>
        </w:rPr>
        <w:t xml:space="preserve"> </w:t>
      </w:r>
      <w:r w:rsidRPr="008C761D">
        <w:rPr>
          <w:rFonts w:cs="Calibri"/>
          <w:lang w:val="en-US"/>
        </w:rPr>
        <w:t>the</w:t>
      </w:r>
      <w:r w:rsidR="00552C77" w:rsidRPr="008C761D">
        <w:rPr>
          <w:rFonts w:cs="Calibri"/>
          <w:lang w:val="en-US"/>
        </w:rPr>
        <w:t xml:space="preserve"> </w:t>
      </w:r>
      <w:r w:rsidRPr="008C761D">
        <w:rPr>
          <w:rFonts w:cs="Calibri"/>
          <w:lang w:val="en-US"/>
        </w:rPr>
        <w:t>size</w:t>
      </w:r>
      <w:r w:rsidR="00552C77" w:rsidRPr="008C761D">
        <w:rPr>
          <w:rFonts w:cs="Calibri"/>
          <w:lang w:val="en-US"/>
        </w:rPr>
        <w:t xml:space="preserve"> </w:t>
      </w:r>
      <w:r w:rsidRPr="008C761D">
        <w:rPr>
          <w:rFonts w:cs="Calibri"/>
          <w:lang w:val="en-US"/>
        </w:rPr>
        <w:t>and</w:t>
      </w:r>
      <w:r w:rsidR="00552C77" w:rsidRPr="008C761D">
        <w:rPr>
          <w:rFonts w:cs="Calibri"/>
          <w:lang w:val="en-US"/>
        </w:rPr>
        <w:t xml:space="preserve"> </w:t>
      </w:r>
      <w:r w:rsidRPr="008C761D">
        <w:rPr>
          <w:rFonts w:cs="Calibri"/>
          <w:lang w:val="en-US"/>
        </w:rPr>
        <w:t>scope</w:t>
      </w:r>
      <w:r w:rsidR="00552C77" w:rsidRPr="008C761D">
        <w:rPr>
          <w:rFonts w:cs="Calibri"/>
          <w:lang w:val="en-US"/>
        </w:rPr>
        <w:t xml:space="preserve"> </w:t>
      </w:r>
      <w:r w:rsidRPr="008C761D">
        <w:rPr>
          <w:rFonts w:cs="Calibri"/>
          <w:lang w:val="en-US"/>
        </w:rPr>
        <w:t>of</w:t>
      </w:r>
      <w:r w:rsidR="00552C77" w:rsidRPr="008C761D">
        <w:rPr>
          <w:rFonts w:cs="Calibri"/>
          <w:lang w:val="en-US"/>
        </w:rPr>
        <w:t xml:space="preserve"> </w:t>
      </w:r>
      <w:r w:rsidRPr="008C761D">
        <w:rPr>
          <w:rFonts w:cs="Calibri"/>
          <w:lang w:val="en-US"/>
        </w:rPr>
        <w:t>tax</w:t>
      </w:r>
      <w:r w:rsidR="00552C77" w:rsidRPr="008C761D">
        <w:rPr>
          <w:rFonts w:cs="Calibri"/>
          <w:lang w:val="en-US"/>
        </w:rPr>
        <w:t xml:space="preserve"> </w:t>
      </w:r>
      <w:r w:rsidRPr="008C761D">
        <w:rPr>
          <w:rFonts w:cs="Calibri"/>
          <w:lang w:val="en-US"/>
        </w:rPr>
        <w:t>expenditures and other tax indicators;</w:t>
      </w:r>
    </w:p>
    <w:p w14:paraId="1F68DF87" w14:textId="65F02E5F" w:rsidR="0045213E" w:rsidRPr="008C761D" w:rsidRDefault="00944D78" w:rsidP="006A0F62">
      <w:pPr>
        <w:numPr>
          <w:ilvl w:val="0"/>
          <w:numId w:val="90"/>
        </w:numPr>
        <w:spacing w:line="240" w:lineRule="auto"/>
        <w:ind w:left="360" w:hanging="360"/>
        <w:jc w:val="both"/>
        <w:rPr>
          <w:rFonts w:cs="Calibri"/>
          <w:lang w:val="en-US"/>
        </w:rPr>
      </w:pPr>
      <w:r w:rsidRPr="008C761D">
        <w:rPr>
          <w:rFonts w:cs="Calibri"/>
          <w:lang w:val="en-US"/>
        </w:rPr>
        <w:t>Enhanced</w:t>
      </w:r>
      <w:r w:rsidR="00552C77" w:rsidRPr="008C761D">
        <w:rPr>
          <w:rFonts w:cs="Calibri"/>
          <w:lang w:val="en-US"/>
        </w:rPr>
        <w:t xml:space="preserve"> </w:t>
      </w:r>
      <w:r w:rsidR="0045213E" w:rsidRPr="008C761D">
        <w:rPr>
          <w:rFonts w:cs="Calibri"/>
          <w:lang w:val="en-US"/>
        </w:rPr>
        <w:t>modeling</w:t>
      </w:r>
      <w:r w:rsidR="00552C77" w:rsidRPr="008C761D">
        <w:rPr>
          <w:rFonts w:cs="Calibri"/>
          <w:lang w:val="en-US"/>
        </w:rPr>
        <w:t xml:space="preserve"> </w:t>
      </w:r>
      <w:r w:rsidR="0045213E" w:rsidRPr="008C761D">
        <w:rPr>
          <w:rFonts w:cs="Calibri"/>
          <w:lang w:val="en-US"/>
        </w:rPr>
        <w:t>capabilities</w:t>
      </w:r>
      <w:r w:rsidR="00552C77" w:rsidRPr="008C761D">
        <w:rPr>
          <w:rFonts w:cs="Calibri"/>
          <w:lang w:val="en-US"/>
        </w:rPr>
        <w:t xml:space="preserve"> </w:t>
      </w:r>
      <w:r w:rsidR="0045213E" w:rsidRPr="008C761D">
        <w:rPr>
          <w:rFonts w:cs="Calibri"/>
          <w:lang w:val="en-US"/>
        </w:rPr>
        <w:t>of</w:t>
      </w:r>
      <w:r w:rsidR="00552C77" w:rsidRPr="008C761D">
        <w:rPr>
          <w:rFonts w:cs="Calibri"/>
          <w:lang w:val="en-US"/>
        </w:rPr>
        <w:t xml:space="preserve"> </w:t>
      </w:r>
      <w:r w:rsidR="0045213E" w:rsidRPr="008C761D">
        <w:rPr>
          <w:rFonts w:cs="Calibri"/>
          <w:lang w:val="en-US"/>
        </w:rPr>
        <w:t>the</w:t>
      </w:r>
      <w:r w:rsidR="00552C77" w:rsidRPr="008C761D">
        <w:rPr>
          <w:rFonts w:cs="Calibri"/>
          <w:lang w:val="en-US"/>
        </w:rPr>
        <w:t xml:space="preserve"> </w:t>
      </w:r>
      <w:r w:rsidR="0045213E" w:rsidRPr="008C761D">
        <w:rPr>
          <w:rFonts w:cs="Calibri"/>
          <w:lang w:val="en-US"/>
        </w:rPr>
        <w:t>MoF</w:t>
      </w:r>
      <w:r w:rsidR="00552C77" w:rsidRPr="008C761D">
        <w:rPr>
          <w:rFonts w:cs="Calibri"/>
          <w:lang w:val="en-US"/>
        </w:rPr>
        <w:t xml:space="preserve"> </w:t>
      </w:r>
      <w:r w:rsidR="0045213E" w:rsidRPr="008C761D">
        <w:rPr>
          <w:rFonts w:cs="Calibri"/>
          <w:lang w:val="en-US"/>
        </w:rPr>
        <w:t>staff</w:t>
      </w:r>
      <w:r w:rsidR="00552C77" w:rsidRPr="008C761D">
        <w:rPr>
          <w:rFonts w:cs="Calibri"/>
          <w:lang w:val="en-US"/>
        </w:rPr>
        <w:t xml:space="preserve"> </w:t>
      </w:r>
      <w:r w:rsidR="0045213E" w:rsidRPr="008C761D">
        <w:rPr>
          <w:rFonts w:cs="Calibri"/>
          <w:lang w:val="en-US"/>
        </w:rPr>
        <w:t>and</w:t>
      </w:r>
      <w:r w:rsidR="00552C77" w:rsidRPr="008C761D">
        <w:rPr>
          <w:rFonts w:cs="Calibri"/>
          <w:lang w:val="en-US"/>
        </w:rPr>
        <w:t xml:space="preserve"> </w:t>
      </w:r>
      <w:r w:rsidR="0045213E" w:rsidRPr="008C761D">
        <w:rPr>
          <w:rFonts w:cs="Calibri"/>
          <w:lang w:val="en-US"/>
        </w:rPr>
        <w:t>advanced</w:t>
      </w:r>
      <w:r w:rsidR="00552C77" w:rsidRPr="008C761D">
        <w:rPr>
          <w:rFonts w:cs="Calibri"/>
          <w:lang w:val="en-US"/>
        </w:rPr>
        <w:t xml:space="preserve"> </w:t>
      </w:r>
      <w:r w:rsidR="0045213E" w:rsidRPr="008C761D">
        <w:rPr>
          <w:rFonts w:cs="Calibri"/>
          <w:lang w:val="en-US"/>
        </w:rPr>
        <w:t>revenue</w:t>
      </w:r>
      <w:r w:rsidR="00552C77" w:rsidRPr="008C761D">
        <w:rPr>
          <w:rFonts w:cs="Calibri"/>
          <w:lang w:val="en-US"/>
        </w:rPr>
        <w:t xml:space="preserve"> </w:t>
      </w:r>
      <w:r w:rsidR="0045213E" w:rsidRPr="008C761D">
        <w:rPr>
          <w:rFonts w:cs="Calibri"/>
          <w:lang w:val="en-US"/>
        </w:rPr>
        <w:t>forecasting, monitoring</w:t>
      </w:r>
      <w:r w:rsidR="00552C77" w:rsidRPr="008C761D">
        <w:rPr>
          <w:rFonts w:cs="Calibri"/>
          <w:lang w:val="en-US"/>
        </w:rPr>
        <w:t xml:space="preserve"> </w:t>
      </w:r>
      <w:r w:rsidR="0045213E" w:rsidRPr="008C761D">
        <w:rPr>
          <w:rFonts w:cs="Calibri"/>
          <w:lang w:val="en-US"/>
        </w:rPr>
        <w:t>and</w:t>
      </w:r>
      <w:r w:rsidR="00552C77" w:rsidRPr="008C761D">
        <w:rPr>
          <w:rFonts w:cs="Calibri"/>
          <w:lang w:val="en-US"/>
        </w:rPr>
        <w:t xml:space="preserve"> </w:t>
      </w:r>
      <w:r w:rsidR="0045213E" w:rsidRPr="008C761D">
        <w:rPr>
          <w:rFonts w:cs="Calibri"/>
          <w:lang w:val="en-US"/>
        </w:rPr>
        <w:t xml:space="preserve">analysis. </w:t>
      </w:r>
    </w:p>
    <w:p w14:paraId="7DA0AA8A" w14:textId="77777777" w:rsidR="003B733F" w:rsidRPr="008C761D" w:rsidRDefault="00D91B99" w:rsidP="003B733F">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 indicator</w:t>
      </w:r>
    </w:p>
    <w:p w14:paraId="17BB70DD" w14:textId="63EE5722" w:rsidR="0045213E" w:rsidRPr="008C761D" w:rsidRDefault="0045213E" w:rsidP="0045213E">
      <w:pPr>
        <w:spacing w:before="360" w:line="240" w:lineRule="auto"/>
        <w:jc w:val="both"/>
        <w:rPr>
          <w:rFonts w:cs="Calibri"/>
          <w:lang w:val="en-US"/>
        </w:rPr>
      </w:pPr>
      <w:r w:rsidRPr="008C761D">
        <w:rPr>
          <w:rFonts w:cs="Calibri"/>
          <w:lang w:val="en-US"/>
        </w:rPr>
        <w:t>1.1.</w:t>
      </w:r>
      <w:r w:rsidRPr="008C761D">
        <w:rPr>
          <w:rFonts w:cs="Calibri"/>
          <w:lang w:val="en-US"/>
        </w:rPr>
        <w:tab/>
        <w:t>Aggregate</w:t>
      </w:r>
      <w:r w:rsidR="006C7477" w:rsidRPr="008C761D">
        <w:rPr>
          <w:rFonts w:cs="Calibri"/>
          <w:lang w:val="en-US"/>
        </w:rPr>
        <w:t xml:space="preserve"> </w:t>
      </w:r>
      <w:r w:rsidRPr="008C761D">
        <w:rPr>
          <w:rFonts w:cs="Calibri"/>
          <w:lang w:val="en-US"/>
        </w:rPr>
        <w:t>revenue</w:t>
      </w:r>
      <w:r w:rsidR="006C7477" w:rsidRPr="008C761D">
        <w:rPr>
          <w:rFonts w:cs="Calibri"/>
          <w:lang w:val="en-US"/>
        </w:rPr>
        <w:t xml:space="preserve"> </w:t>
      </w:r>
      <w:r w:rsidRPr="008C761D">
        <w:rPr>
          <w:rFonts w:cs="Calibri"/>
          <w:lang w:val="en-US"/>
        </w:rPr>
        <w:t>deviation</w:t>
      </w:r>
      <w:r w:rsidR="006C7477" w:rsidRPr="008C761D">
        <w:rPr>
          <w:rFonts w:cs="Calibri"/>
          <w:lang w:val="en-US"/>
        </w:rPr>
        <w:t xml:space="preserve"> </w:t>
      </w:r>
      <w:r w:rsidRPr="008C761D">
        <w:rPr>
          <w:rFonts w:cs="Calibri"/>
          <w:lang w:val="en-US"/>
        </w:rPr>
        <w:t>and variance</w:t>
      </w:r>
      <w:r w:rsidR="006C7477" w:rsidRPr="008C761D">
        <w:rPr>
          <w:rFonts w:cs="Calibri"/>
          <w:lang w:val="en-US"/>
        </w:rPr>
        <w:t xml:space="preserve"> </w:t>
      </w:r>
      <w:r w:rsidRPr="008C761D">
        <w:rPr>
          <w:rFonts w:cs="Calibri"/>
          <w:lang w:val="en-US"/>
        </w:rPr>
        <w:t>in</w:t>
      </w:r>
      <w:r w:rsidR="006C7477" w:rsidRPr="008C761D">
        <w:rPr>
          <w:rFonts w:cs="Calibri"/>
          <w:lang w:val="en-US"/>
        </w:rPr>
        <w:t xml:space="preserve"> </w:t>
      </w:r>
      <w:r w:rsidRPr="008C761D">
        <w:rPr>
          <w:rFonts w:cs="Calibri"/>
          <w:lang w:val="en-US"/>
        </w:rPr>
        <w:t>revenue</w:t>
      </w:r>
      <w:r w:rsidR="006C7477" w:rsidRPr="008C761D">
        <w:rPr>
          <w:rFonts w:cs="Calibri"/>
          <w:lang w:val="en-US"/>
        </w:rPr>
        <w:t xml:space="preserve"> </w:t>
      </w:r>
      <w:r w:rsidRPr="008C761D">
        <w:rPr>
          <w:rFonts w:cs="Calibri"/>
          <w:lang w:val="en-US"/>
        </w:rPr>
        <w:t>composition</w:t>
      </w:r>
      <w:r w:rsidR="006C7477" w:rsidRPr="008C761D">
        <w:rPr>
          <w:rFonts w:cs="Calibri"/>
          <w:lang w:val="en-US"/>
        </w:rPr>
        <w:t xml:space="preserve"> </w:t>
      </w:r>
      <w:r w:rsidRPr="008C761D">
        <w:rPr>
          <w:rFonts w:cs="Calibri"/>
          <w:lang w:val="en-US"/>
        </w:rPr>
        <w:t>between</w:t>
      </w:r>
      <w:r w:rsidR="006C7477" w:rsidRPr="008C761D">
        <w:rPr>
          <w:rFonts w:cs="Calibri"/>
          <w:lang w:val="en-US"/>
        </w:rPr>
        <w:t xml:space="preserve"> </w:t>
      </w:r>
      <w:r w:rsidRPr="008C761D">
        <w:rPr>
          <w:rFonts w:cs="Calibri"/>
          <w:lang w:val="en-US"/>
        </w:rPr>
        <w:t>planned</w:t>
      </w:r>
      <w:r w:rsidR="006C7477" w:rsidRPr="008C761D">
        <w:rPr>
          <w:rFonts w:cs="Calibri"/>
          <w:lang w:val="en-US"/>
        </w:rPr>
        <w:t xml:space="preserve"> </w:t>
      </w:r>
      <w:r w:rsidRPr="008C761D">
        <w:rPr>
          <w:rFonts w:cs="Calibri"/>
          <w:lang w:val="en-US"/>
        </w:rPr>
        <w:t>and</w:t>
      </w:r>
      <w:r w:rsidR="006C7477" w:rsidRPr="008C761D">
        <w:rPr>
          <w:rFonts w:cs="Calibri"/>
          <w:lang w:val="en-US"/>
        </w:rPr>
        <w:t xml:space="preserve"> </w:t>
      </w:r>
      <w:r w:rsidRPr="008C761D">
        <w:rPr>
          <w:rFonts w:cs="Calibri"/>
          <w:lang w:val="en-US"/>
        </w:rPr>
        <w:t>actual</w:t>
      </w:r>
      <w:r w:rsidR="006C7477" w:rsidRPr="008C761D">
        <w:rPr>
          <w:rFonts w:cs="Calibri"/>
          <w:lang w:val="en-US"/>
        </w:rPr>
        <w:t xml:space="preserve"> </w:t>
      </w:r>
      <w:r w:rsidRPr="008C761D">
        <w:rPr>
          <w:rFonts w:cs="Calibri"/>
          <w:lang w:val="en-US"/>
        </w:rPr>
        <w:t>figures (asusedin PEFA)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814"/>
      </w:tblGrid>
      <w:tr w:rsidR="00F004A4" w:rsidRPr="008C761D" w14:paraId="4F1EA27B" w14:textId="77777777" w:rsidTr="006A0F62">
        <w:trPr>
          <w:trHeight w:val="395"/>
        </w:trPr>
        <w:tc>
          <w:tcPr>
            <w:tcW w:w="3960" w:type="dxa"/>
            <w:shd w:val="clear" w:color="auto" w:fill="E8E8E8"/>
          </w:tcPr>
          <w:p w14:paraId="0CE58429"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814" w:type="dxa"/>
            <w:shd w:val="clear" w:color="auto" w:fill="E8E8E8"/>
          </w:tcPr>
          <w:p w14:paraId="5C0BE35F"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1B72A78A" w14:textId="77777777" w:rsidTr="006A0F62">
        <w:trPr>
          <w:trHeight w:val="278"/>
        </w:trPr>
        <w:tc>
          <w:tcPr>
            <w:tcW w:w="3960" w:type="dxa"/>
            <w:shd w:val="clear" w:color="auto" w:fill="E8E8E8"/>
          </w:tcPr>
          <w:p w14:paraId="654C22E5" w14:textId="1031FF23" w:rsidR="00F004A4" w:rsidRPr="005116C2" w:rsidRDefault="008F05AB" w:rsidP="002B77A4">
            <w:pPr>
              <w:spacing w:line="240" w:lineRule="auto"/>
              <w:jc w:val="both"/>
              <w:rPr>
                <w:rFonts w:eastAsia="Times New Roman" w:cs="Calibri"/>
                <w:color w:val="202124"/>
                <w:sz w:val="20"/>
                <w:szCs w:val="20"/>
                <w:lang w:val="en-US"/>
              </w:rPr>
            </w:pPr>
            <w:r w:rsidRPr="005116C2">
              <w:rPr>
                <w:rFonts w:eastAsia="Times New Roman" w:cs="Calibri"/>
                <w:color w:val="202124"/>
                <w:sz w:val="20"/>
                <w:szCs w:val="20"/>
                <w:lang w:val="en-US"/>
              </w:rPr>
              <w:t>To</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be</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calculated</w:t>
            </w:r>
          </w:p>
        </w:tc>
        <w:tc>
          <w:tcPr>
            <w:tcW w:w="4814" w:type="dxa"/>
            <w:shd w:val="clear" w:color="auto" w:fill="E8E8E8"/>
          </w:tcPr>
          <w:p w14:paraId="34E39FB5" w14:textId="52C63243" w:rsidR="00F004A4" w:rsidRPr="005116C2" w:rsidRDefault="008F05AB" w:rsidP="002B77A4">
            <w:pPr>
              <w:spacing w:line="240" w:lineRule="auto"/>
              <w:jc w:val="both"/>
              <w:rPr>
                <w:rFonts w:eastAsia="Times New Roman" w:cs="Calibri"/>
                <w:color w:val="202124"/>
                <w:sz w:val="20"/>
                <w:szCs w:val="20"/>
                <w:lang w:val="en-US"/>
              </w:rPr>
            </w:pPr>
            <w:r w:rsidRPr="005116C2">
              <w:rPr>
                <w:rFonts w:eastAsia="Times New Roman" w:cs="Calibri"/>
                <w:color w:val="202124"/>
                <w:sz w:val="20"/>
                <w:szCs w:val="20"/>
                <w:lang w:val="en-US"/>
              </w:rPr>
              <w:t>To</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be</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defined</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based</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on</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past</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trends</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and</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pace</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of</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the</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reform</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(Separately</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for</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each</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tax</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with</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the</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following</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 xml:space="preserve">metrics: </w:t>
            </w:r>
            <w:proofErr w:type="gramStart"/>
            <w:r w:rsidRPr="005116C2">
              <w:rPr>
                <w:rFonts w:eastAsia="Times New Roman" w:cs="Calibri"/>
                <w:color w:val="202124"/>
                <w:sz w:val="20"/>
                <w:szCs w:val="20"/>
                <w:lang w:val="en-US"/>
              </w:rPr>
              <w:t>MAPE[</w:t>
            </w:r>
            <w:proofErr w:type="gramEnd"/>
            <w:r w:rsidRPr="005116C2">
              <w:rPr>
                <w:rFonts w:eastAsia="Times New Roman" w:cs="Calibri"/>
                <w:color w:val="202124"/>
                <w:sz w:val="20"/>
                <w:szCs w:val="20"/>
                <w:lang w:val="en-US"/>
              </w:rPr>
              <w:t>1], MAE [2]and RMSE[3] on a monthly</w:t>
            </w:r>
            <w:r w:rsidR="00944D78"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basis)</w:t>
            </w:r>
          </w:p>
        </w:tc>
      </w:tr>
    </w:tbl>
    <w:p w14:paraId="1892293C" w14:textId="50CE8691" w:rsidR="00126734" w:rsidRPr="008C761D" w:rsidRDefault="00126734" w:rsidP="00126734">
      <w:pPr>
        <w:spacing w:before="360" w:line="240" w:lineRule="auto"/>
        <w:jc w:val="both"/>
        <w:rPr>
          <w:rFonts w:cs="Calibri"/>
          <w:lang w:val="en-US"/>
        </w:rPr>
      </w:pPr>
      <w:r w:rsidRPr="008C761D">
        <w:rPr>
          <w:rFonts w:cs="Calibri"/>
          <w:lang w:val="en-US"/>
        </w:rPr>
        <w:t>2.</w:t>
      </w:r>
      <w:r w:rsidR="00E924AD">
        <w:rPr>
          <w:rFonts w:cs="Calibri"/>
          <w:lang w:val="en-US"/>
        </w:rPr>
        <w:t xml:space="preserve"> </w:t>
      </w:r>
      <w:r w:rsidRPr="008C761D">
        <w:rPr>
          <w:rFonts w:cs="Calibri"/>
          <w:lang w:val="en-US"/>
        </w:rPr>
        <w:t>Tax</w:t>
      </w:r>
      <w:r w:rsidR="006C7477" w:rsidRPr="008C761D">
        <w:rPr>
          <w:rFonts w:cs="Calibri"/>
          <w:lang w:val="en-US"/>
        </w:rPr>
        <w:t xml:space="preserve"> </w:t>
      </w:r>
      <w:r w:rsidRPr="008C761D">
        <w:rPr>
          <w:rFonts w:cs="Calibri"/>
          <w:lang w:val="en-US"/>
        </w:rPr>
        <w:t>data</w:t>
      </w:r>
      <w:r w:rsidR="006C7477" w:rsidRPr="008C761D">
        <w:rPr>
          <w:rFonts w:cs="Calibri"/>
          <w:lang w:val="en-US"/>
        </w:rPr>
        <w:t xml:space="preserve"> </w:t>
      </w:r>
      <w:r w:rsidRPr="008C761D">
        <w:rPr>
          <w:rFonts w:cs="Calibri"/>
          <w:lang w:val="en-US"/>
        </w:rPr>
        <w:t>sharing</w:t>
      </w:r>
      <w:r w:rsidR="006C7477" w:rsidRPr="008C761D">
        <w:rPr>
          <w:rFonts w:cs="Calibri"/>
          <w:lang w:val="en-US"/>
        </w:rPr>
        <w:t xml:space="preserve"> </w:t>
      </w:r>
      <w:r w:rsidRPr="008C761D">
        <w:rPr>
          <w:rFonts w:cs="Calibri"/>
          <w:lang w:val="en-US"/>
        </w:rPr>
        <w:t>mechanism</w:t>
      </w:r>
      <w:r w:rsidR="006C7477" w:rsidRPr="008C761D">
        <w:rPr>
          <w:rFonts w:cs="Calibri"/>
          <w:lang w:val="en-US"/>
        </w:rPr>
        <w:t xml:space="preserve"> </w:t>
      </w:r>
      <w:r w:rsidRPr="008C761D">
        <w:rPr>
          <w:rFonts w:cs="Calibri"/>
          <w:lang w:val="en-US"/>
        </w:rPr>
        <w:t>is</w:t>
      </w:r>
      <w:r w:rsidR="006C7477" w:rsidRPr="008C761D">
        <w:rPr>
          <w:rFonts w:cs="Calibri"/>
          <w:lang w:val="en-US"/>
        </w:rPr>
        <w:t xml:space="preserve"> </w:t>
      </w:r>
      <w:r w:rsidRPr="008C761D">
        <w:rPr>
          <w:rFonts w:cs="Calibri"/>
          <w:lang w:val="en-US"/>
        </w:rPr>
        <w:t>established</w:t>
      </w:r>
      <w:r w:rsidR="006C7477" w:rsidRPr="008C761D">
        <w:rPr>
          <w:rFonts w:cs="Calibri"/>
          <w:lang w:val="en-US"/>
        </w:rPr>
        <w:t xml:space="preserve"> </w:t>
      </w:r>
      <w:r w:rsidRPr="008C761D">
        <w:rPr>
          <w:rFonts w:cs="Calibri"/>
          <w:lang w:val="en-US"/>
        </w:rPr>
        <w:t>on a systemic</w:t>
      </w:r>
      <w:r w:rsidR="006C7477" w:rsidRPr="008C761D">
        <w:rPr>
          <w:rFonts w:cs="Calibri"/>
          <w:lang w:val="en-US"/>
        </w:rPr>
        <w:t xml:space="preserve"> </w:t>
      </w:r>
      <w:r w:rsidRPr="008C761D">
        <w:rPr>
          <w:rFonts w:cs="Calibri"/>
          <w:lang w:val="en-US"/>
        </w:rPr>
        <w:t>basis</w:t>
      </w:r>
      <w:r w:rsidR="006C7477" w:rsidRPr="008C761D">
        <w:rPr>
          <w:rFonts w:cs="Calibri"/>
          <w:lang w:val="en-US"/>
        </w:rPr>
        <w:t xml:space="preserve"> </w:t>
      </w:r>
      <w:r w:rsidRPr="008C761D">
        <w:rPr>
          <w:rFonts w:cs="Calibri"/>
          <w:lang w:val="en-US"/>
        </w:rPr>
        <w:t>through</w:t>
      </w:r>
      <w:r w:rsidR="006C7477" w:rsidRPr="008C761D">
        <w:rPr>
          <w:rFonts w:cs="Calibri"/>
          <w:lang w:val="en-US"/>
        </w:rPr>
        <w:t xml:space="preserve"> </w:t>
      </w:r>
      <w:r w:rsidRPr="008C761D">
        <w:rPr>
          <w:rFonts w:cs="Calibri"/>
          <w:lang w:val="en-US"/>
        </w:rPr>
        <w:t>data</w:t>
      </w:r>
      <w:r w:rsidR="006C7477" w:rsidRPr="008C761D">
        <w:rPr>
          <w:rFonts w:cs="Calibri"/>
          <w:lang w:val="en-US"/>
        </w:rPr>
        <w:t xml:space="preserve"> </w:t>
      </w:r>
      <w:r w:rsidRPr="008C761D">
        <w:rPr>
          <w:rFonts w:cs="Calibri"/>
          <w:lang w:val="en-US"/>
        </w:rPr>
        <w:t>sharing</w:t>
      </w:r>
      <w:r w:rsidR="006C7477" w:rsidRPr="008C761D">
        <w:rPr>
          <w:rFonts w:cs="Calibri"/>
          <w:lang w:val="en-US"/>
        </w:rPr>
        <w:t xml:space="preserve"> </w:t>
      </w:r>
      <w:r w:rsidRPr="008C761D">
        <w:rPr>
          <w:rFonts w:cs="Calibri"/>
          <w:lang w:val="en-US"/>
        </w:rPr>
        <w:t>protocols;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08"/>
      </w:tblGrid>
      <w:tr w:rsidR="00F004A4" w:rsidRPr="008C761D" w14:paraId="0B55081B" w14:textId="77777777" w:rsidTr="006A0F62">
        <w:trPr>
          <w:trHeight w:val="395"/>
        </w:trPr>
        <w:tc>
          <w:tcPr>
            <w:tcW w:w="4140" w:type="dxa"/>
            <w:shd w:val="clear" w:color="auto" w:fill="E8E8E8"/>
          </w:tcPr>
          <w:p w14:paraId="3A449CF1"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7545A197"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1EE49244" w14:textId="77777777" w:rsidTr="006A0F62">
        <w:trPr>
          <w:trHeight w:val="278"/>
        </w:trPr>
        <w:tc>
          <w:tcPr>
            <w:tcW w:w="4140" w:type="dxa"/>
            <w:shd w:val="clear" w:color="auto" w:fill="E8E8E8"/>
          </w:tcPr>
          <w:p w14:paraId="5824BD2A" w14:textId="03F8BAB6" w:rsidR="00F004A4" w:rsidRPr="005116C2" w:rsidRDefault="008F05AB" w:rsidP="002B77A4">
            <w:pPr>
              <w:spacing w:line="240" w:lineRule="auto"/>
              <w:jc w:val="both"/>
              <w:rPr>
                <w:rFonts w:eastAsia="Times New Roman" w:cs="Calibri"/>
                <w:color w:val="202124"/>
                <w:sz w:val="20"/>
                <w:szCs w:val="20"/>
                <w:lang w:val="en-US"/>
              </w:rPr>
            </w:pPr>
            <w:r w:rsidRPr="005116C2">
              <w:rPr>
                <w:rFonts w:eastAsia="Times New Roman" w:cs="Calibri"/>
                <w:color w:val="202124"/>
                <w:sz w:val="20"/>
                <w:szCs w:val="20"/>
                <w:lang w:val="en-US"/>
              </w:rPr>
              <w:t>No</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protocols</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for</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tax</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data</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sharing</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in</w:t>
            </w:r>
            <w:r w:rsidR="006C7477" w:rsidRPr="005116C2">
              <w:rPr>
                <w:rFonts w:eastAsia="Times New Roman" w:cs="Calibri"/>
                <w:color w:val="202124"/>
                <w:sz w:val="20"/>
                <w:szCs w:val="20"/>
                <w:lang w:val="en-US"/>
              </w:rPr>
              <w:t xml:space="preserve"> </w:t>
            </w:r>
            <w:r w:rsidRPr="005116C2">
              <w:rPr>
                <w:rFonts w:eastAsia="Times New Roman" w:cs="Calibri"/>
                <w:color w:val="202124"/>
                <w:sz w:val="20"/>
                <w:szCs w:val="20"/>
                <w:lang w:val="en-US"/>
              </w:rPr>
              <w:t>place</w:t>
            </w:r>
          </w:p>
        </w:tc>
        <w:tc>
          <w:tcPr>
            <w:tcW w:w="4608" w:type="dxa"/>
            <w:shd w:val="clear" w:color="auto" w:fill="E8E8E8"/>
          </w:tcPr>
          <w:p w14:paraId="1479C76E" w14:textId="35BF76CC" w:rsidR="00F004A4" w:rsidRPr="005116C2" w:rsidRDefault="0045213E" w:rsidP="002B77A4">
            <w:pPr>
              <w:spacing w:line="240" w:lineRule="auto"/>
              <w:jc w:val="both"/>
              <w:rPr>
                <w:rFonts w:eastAsia="Times New Roman" w:cs="Calibri"/>
                <w:color w:val="202124"/>
                <w:sz w:val="20"/>
                <w:szCs w:val="20"/>
                <w:lang w:val="en-US"/>
              </w:rPr>
            </w:pPr>
            <w:r w:rsidRPr="005116C2">
              <w:rPr>
                <w:rFonts w:eastAsia="Times New Roman" w:cs="Calibri"/>
                <w:color w:val="202124"/>
                <w:sz w:val="20"/>
                <w:szCs w:val="20"/>
                <w:lang w:val="en-US"/>
              </w:rPr>
              <w:t xml:space="preserve">Signed protocols with all relevant institutions and </w:t>
            </w:r>
            <w:r w:rsidR="00944D78" w:rsidRPr="005116C2">
              <w:rPr>
                <w:rFonts w:eastAsia="Times New Roman" w:cs="Calibri"/>
                <w:color w:val="202124"/>
                <w:sz w:val="20"/>
                <w:szCs w:val="20"/>
                <w:lang w:val="en-US"/>
              </w:rPr>
              <w:t>established</w:t>
            </w:r>
            <w:r w:rsidRPr="005116C2">
              <w:rPr>
                <w:rFonts w:eastAsia="Times New Roman" w:cs="Calibri"/>
                <w:color w:val="202124"/>
                <w:sz w:val="20"/>
                <w:szCs w:val="20"/>
                <w:lang w:val="en-US"/>
              </w:rPr>
              <w:t xml:space="preserve"> effective exchange of tax data on an annual basis</w:t>
            </w:r>
          </w:p>
        </w:tc>
      </w:tr>
    </w:tbl>
    <w:p w14:paraId="41CC033C" w14:textId="65323A2E" w:rsidR="00126734" w:rsidRPr="008C761D" w:rsidRDefault="00126734" w:rsidP="00126734">
      <w:pPr>
        <w:spacing w:before="360" w:line="240" w:lineRule="auto"/>
        <w:jc w:val="both"/>
        <w:rPr>
          <w:rFonts w:cs="Calibri"/>
          <w:lang w:val="en-US"/>
        </w:rPr>
      </w:pPr>
      <w:r w:rsidRPr="008C761D">
        <w:rPr>
          <w:rFonts w:cs="Calibri"/>
          <w:lang w:val="en-US"/>
        </w:rPr>
        <w:t>3.</w:t>
      </w:r>
      <w:r w:rsidR="00E924AD">
        <w:rPr>
          <w:rFonts w:cs="Calibri"/>
          <w:lang w:val="en-US"/>
        </w:rPr>
        <w:t xml:space="preserve"> </w:t>
      </w:r>
      <w:r w:rsidR="006C7477" w:rsidRPr="008C761D">
        <w:rPr>
          <w:rFonts w:cs="Calibri"/>
          <w:lang w:val="en-US"/>
        </w:rPr>
        <w:t>Tax expenditures reports are prepared and published as part of the Final Account of the State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08"/>
      </w:tblGrid>
      <w:tr w:rsidR="00F004A4" w:rsidRPr="008C761D" w14:paraId="07EADB7B" w14:textId="77777777" w:rsidTr="006A0F62">
        <w:trPr>
          <w:trHeight w:val="332"/>
        </w:trPr>
        <w:tc>
          <w:tcPr>
            <w:tcW w:w="4140" w:type="dxa"/>
            <w:shd w:val="clear" w:color="auto" w:fill="E8E8E8"/>
          </w:tcPr>
          <w:p w14:paraId="4AA4E80B"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lastRenderedPageBreak/>
              <w:t>Baseline 2022</w:t>
            </w:r>
          </w:p>
        </w:tc>
        <w:tc>
          <w:tcPr>
            <w:tcW w:w="4608" w:type="dxa"/>
            <w:shd w:val="clear" w:color="auto" w:fill="E8E8E8"/>
          </w:tcPr>
          <w:p w14:paraId="3366C045"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7E389C8A" w14:textId="77777777" w:rsidTr="006A0F62">
        <w:trPr>
          <w:trHeight w:val="278"/>
        </w:trPr>
        <w:tc>
          <w:tcPr>
            <w:tcW w:w="4140" w:type="dxa"/>
            <w:shd w:val="clear" w:color="auto" w:fill="E8E8E8"/>
          </w:tcPr>
          <w:p w14:paraId="57F2AAF0" w14:textId="77A2B148" w:rsidR="00F004A4" w:rsidRPr="00E924AD" w:rsidRDefault="008F05AB" w:rsidP="002B77A4">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1 tax</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expenditure</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report</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prepared</w:t>
            </w:r>
          </w:p>
        </w:tc>
        <w:tc>
          <w:tcPr>
            <w:tcW w:w="4608" w:type="dxa"/>
            <w:shd w:val="clear" w:color="auto" w:fill="E8E8E8"/>
          </w:tcPr>
          <w:p w14:paraId="47227B70" w14:textId="77777777" w:rsidR="006C7477" w:rsidRPr="00E924AD" w:rsidRDefault="006C7477" w:rsidP="006C7477">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Comprehensive tax expenditures report prepared and published on an annual basis as part of the Final Account of the State Budget;</w:t>
            </w:r>
          </w:p>
          <w:p w14:paraId="075FB893" w14:textId="10E663E3" w:rsidR="00F004A4" w:rsidRPr="008C761D" w:rsidRDefault="006C7477" w:rsidP="006C7477">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 xml:space="preserve">Other tax reports </w:t>
            </w:r>
            <w:proofErr w:type="gramStart"/>
            <w:r w:rsidRPr="00E924AD">
              <w:rPr>
                <w:rFonts w:eastAsia="Times New Roman" w:cs="Calibri"/>
                <w:color w:val="202124"/>
                <w:sz w:val="20"/>
                <w:szCs w:val="20"/>
                <w:lang w:val="en-US"/>
              </w:rPr>
              <w:t>prepared  (</w:t>
            </w:r>
            <w:proofErr w:type="gramEnd"/>
            <w:r w:rsidRPr="00E924AD">
              <w:rPr>
                <w:rFonts w:eastAsia="Times New Roman" w:cs="Calibri"/>
                <w:color w:val="202124"/>
                <w:sz w:val="20"/>
                <w:szCs w:val="20"/>
                <w:lang w:val="en-US"/>
              </w:rPr>
              <w:t>VAT-GAP Report, Coefficients for tax buoyancy and tax elasticity, Income inequality report, C-Efficiency, Cost-of-collection ratio Report, and Effective marginal tax rates (EMTRs) and effective average tax rates (EATRs) Report).</w:t>
            </w:r>
          </w:p>
        </w:tc>
      </w:tr>
    </w:tbl>
    <w:p w14:paraId="352634AD" w14:textId="49D77501" w:rsidR="006C7477" w:rsidRPr="00E924AD" w:rsidRDefault="006C7477" w:rsidP="00E924AD">
      <w:pPr>
        <w:pStyle w:val="ListParagraph"/>
        <w:numPr>
          <w:ilvl w:val="0"/>
          <w:numId w:val="90"/>
        </w:numPr>
        <w:spacing w:before="360" w:line="240" w:lineRule="auto"/>
        <w:ind w:left="270" w:hanging="270"/>
        <w:rPr>
          <w:rFonts w:cs="Calibri"/>
          <w:lang w:val="en-US"/>
        </w:rPr>
      </w:pPr>
      <w:r w:rsidRPr="00E924AD">
        <w:rPr>
          <w:rFonts w:cs="Calibri"/>
          <w:lang w:val="en-US"/>
        </w:rPr>
        <w:t xml:space="preserve">Staff is fully trained for applying the tax models for revenue forecasting and simulating policy changes, as well as for adequate monitoring and analysis of any deviations in tax revenue mobilization and for estimating tax expenditures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08"/>
      </w:tblGrid>
      <w:tr w:rsidR="00F004A4" w:rsidRPr="008C761D" w14:paraId="198FAFE2" w14:textId="77777777" w:rsidTr="006A0F62">
        <w:trPr>
          <w:trHeight w:val="395"/>
        </w:trPr>
        <w:tc>
          <w:tcPr>
            <w:tcW w:w="4140" w:type="dxa"/>
            <w:shd w:val="clear" w:color="auto" w:fill="E8E8E8"/>
          </w:tcPr>
          <w:p w14:paraId="410A5881"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44F22C06"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3EB40EDA" w14:textId="77777777" w:rsidTr="006A0F62">
        <w:trPr>
          <w:trHeight w:val="278"/>
        </w:trPr>
        <w:tc>
          <w:tcPr>
            <w:tcW w:w="4140" w:type="dxa"/>
            <w:shd w:val="clear" w:color="auto" w:fill="E8E8E8"/>
          </w:tcPr>
          <w:p w14:paraId="385B3271" w14:textId="7651649B" w:rsidR="00F004A4" w:rsidRPr="00E924AD" w:rsidRDefault="008F05AB" w:rsidP="002B77A4">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6 staff</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training</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performed</w:t>
            </w:r>
          </w:p>
        </w:tc>
        <w:tc>
          <w:tcPr>
            <w:tcW w:w="4608" w:type="dxa"/>
            <w:shd w:val="clear" w:color="auto" w:fill="E8E8E8"/>
          </w:tcPr>
          <w:p w14:paraId="1DAADB84" w14:textId="5A10B04B" w:rsidR="00F004A4" w:rsidRPr="00E924AD" w:rsidRDefault="008F05AB" w:rsidP="002B77A4">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Regular</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annual</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staff</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training</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in</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tax</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modeling</w:t>
            </w:r>
          </w:p>
        </w:tc>
      </w:tr>
    </w:tbl>
    <w:p w14:paraId="1CAA8801" w14:textId="06EBDE5F" w:rsidR="00126734" w:rsidRPr="00E924AD" w:rsidRDefault="006C7477" w:rsidP="00E924AD">
      <w:pPr>
        <w:pStyle w:val="ListParagraph"/>
        <w:numPr>
          <w:ilvl w:val="0"/>
          <w:numId w:val="90"/>
        </w:numPr>
        <w:spacing w:before="360" w:line="240" w:lineRule="auto"/>
        <w:ind w:left="180" w:hanging="270"/>
        <w:rPr>
          <w:rFonts w:cs="Calibri"/>
          <w:lang w:val="en-US"/>
        </w:rPr>
      </w:pPr>
      <w:r w:rsidRPr="00E924AD">
        <w:rPr>
          <w:rFonts w:cs="Calibri"/>
          <w:lang w:val="en-US"/>
        </w:rPr>
        <w:t>Tax models are complemented with modules for tax expenditures costing and a Power BI tool is installed and utilized for revenue monitoring and analysis.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08"/>
      </w:tblGrid>
      <w:tr w:rsidR="00F004A4" w:rsidRPr="008C761D" w14:paraId="1D54B747" w14:textId="77777777" w:rsidTr="006A0F62">
        <w:trPr>
          <w:trHeight w:val="395"/>
        </w:trPr>
        <w:tc>
          <w:tcPr>
            <w:tcW w:w="4140" w:type="dxa"/>
            <w:shd w:val="clear" w:color="auto" w:fill="E8E8E8"/>
          </w:tcPr>
          <w:p w14:paraId="55305ACA"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B17DBB6"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2F89D4E5" w14:textId="77777777" w:rsidTr="006A0F62">
        <w:trPr>
          <w:trHeight w:val="278"/>
        </w:trPr>
        <w:tc>
          <w:tcPr>
            <w:tcW w:w="4140" w:type="dxa"/>
            <w:shd w:val="clear" w:color="auto" w:fill="E8E8E8"/>
          </w:tcPr>
          <w:p w14:paraId="5607D052" w14:textId="059C755B" w:rsidR="00F004A4" w:rsidRPr="00E924AD" w:rsidRDefault="0045213E" w:rsidP="002B77A4">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1</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tax</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model</w:t>
            </w:r>
            <w:r w:rsidR="006C7477" w:rsidRPr="00E924AD">
              <w:rPr>
                <w:rFonts w:eastAsia="Times New Roman" w:cs="Calibri"/>
                <w:color w:val="202124"/>
                <w:sz w:val="20"/>
                <w:szCs w:val="20"/>
                <w:lang w:val="en-US"/>
              </w:rPr>
              <w:t xml:space="preserve"> </w:t>
            </w:r>
            <w:r w:rsidRPr="00E924AD">
              <w:rPr>
                <w:rFonts w:cs="Calibri"/>
                <w:sz w:val="20"/>
                <w:szCs w:val="20"/>
                <w:lang w:val="en-US"/>
              </w:rPr>
              <w:t>for</w:t>
            </w:r>
            <w:r w:rsidR="006C7477" w:rsidRPr="00E924AD">
              <w:rPr>
                <w:rFonts w:cs="Calibri"/>
                <w:sz w:val="20"/>
                <w:szCs w:val="20"/>
                <w:lang w:val="en-US"/>
              </w:rPr>
              <w:t xml:space="preserve"> </w:t>
            </w:r>
            <w:r w:rsidRPr="00E924AD">
              <w:rPr>
                <w:rFonts w:cs="Calibri"/>
                <w:sz w:val="20"/>
                <w:szCs w:val="20"/>
                <w:lang w:val="en-US"/>
              </w:rPr>
              <w:t>revenue</w:t>
            </w:r>
            <w:r w:rsidR="006C7477" w:rsidRPr="00E924AD">
              <w:rPr>
                <w:rFonts w:cs="Calibri"/>
                <w:sz w:val="20"/>
                <w:szCs w:val="20"/>
                <w:lang w:val="en-US"/>
              </w:rPr>
              <w:t xml:space="preserve"> </w:t>
            </w:r>
            <w:r w:rsidRPr="00E924AD">
              <w:rPr>
                <w:rFonts w:cs="Calibri"/>
                <w:sz w:val="20"/>
                <w:szCs w:val="20"/>
                <w:lang w:val="en-US"/>
              </w:rPr>
              <w:t>forecasting is</w:t>
            </w:r>
            <w:r w:rsidR="006C7477" w:rsidRPr="00E924AD">
              <w:rPr>
                <w:rFonts w:cs="Calibri"/>
                <w:sz w:val="20"/>
                <w:szCs w:val="20"/>
                <w:lang w:val="en-US"/>
              </w:rPr>
              <w:t xml:space="preserve"> </w:t>
            </w:r>
            <w:r w:rsidRPr="00E924AD">
              <w:rPr>
                <w:rFonts w:eastAsia="Times New Roman" w:cs="Calibri"/>
                <w:color w:val="202124"/>
                <w:sz w:val="20"/>
                <w:szCs w:val="20"/>
                <w:lang w:val="en-US"/>
              </w:rPr>
              <w:t>implemented</w:t>
            </w:r>
          </w:p>
        </w:tc>
        <w:tc>
          <w:tcPr>
            <w:tcW w:w="4608" w:type="dxa"/>
            <w:shd w:val="clear" w:color="auto" w:fill="E8E8E8"/>
          </w:tcPr>
          <w:p w14:paraId="04CFB61B" w14:textId="16646011" w:rsidR="00F004A4" w:rsidRPr="00E924AD" w:rsidRDefault="0045213E" w:rsidP="002B77A4">
            <w:pPr>
              <w:spacing w:line="240" w:lineRule="auto"/>
              <w:jc w:val="both"/>
              <w:rPr>
                <w:rFonts w:eastAsia="Times New Roman" w:cs="Calibri"/>
                <w:color w:val="202124"/>
                <w:sz w:val="20"/>
                <w:szCs w:val="20"/>
                <w:lang w:val="en-US"/>
              </w:rPr>
            </w:pPr>
            <w:r w:rsidRPr="00E924AD">
              <w:rPr>
                <w:rFonts w:eastAsia="Times New Roman" w:cs="Calibri"/>
                <w:color w:val="202124"/>
                <w:sz w:val="20"/>
                <w:szCs w:val="20"/>
                <w:lang w:val="en-US"/>
              </w:rPr>
              <w:t>All tax</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models are</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fully</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implemented, with new</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extensions</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with</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new</w:t>
            </w:r>
            <w:r w:rsidR="006C7477" w:rsidRPr="00E924AD">
              <w:rPr>
                <w:rFonts w:eastAsia="Times New Roman" w:cs="Calibri"/>
                <w:color w:val="202124"/>
                <w:sz w:val="20"/>
                <w:szCs w:val="20"/>
                <w:lang w:val="en-US"/>
              </w:rPr>
              <w:t xml:space="preserve"> </w:t>
            </w:r>
            <w:r w:rsidRPr="00E924AD">
              <w:rPr>
                <w:rFonts w:eastAsia="Times New Roman" w:cs="Calibri"/>
                <w:color w:val="202124"/>
                <w:sz w:val="20"/>
                <w:szCs w:val="20"/>
                <w:lang w:val="en-US"/>
              </w:rPr>
              <w:t>modules</w:t>
            </w:r>
          </w:p>
        </w:tc>
      </w:tr>
    </w:tbl>
    <w:p w14:paraId="55B919AD" w14:textId="258FC1C6" w:rsidR="00D91B99" w:rsidRPr="005116C2" w:rsidRDefault="00D91B99" w:rsidP="00126734">
      <w:pPr>
        <w:spacing w:before="360" w:line="240" w:lineRule="auto"/>
        <w:jc w:val="both"/>
        <w:rPr>
          <w:rFonts w:cs="Calibri"/>
          <w:b/>
          <w:color w:val="0070C0"/>
          <w:sz w:val="24"/>
          <w:szCs w:val="24"/>
          <w:lang w:val="en-US"/>
        </w:rPr>
      </w:pPr>
      <w:r w:rsidRPr="005116C2">
        <w:rPr>
          <w:rFonts w:cs="Calibri"/>
          <w:b/>
          <w:color w:val="0070C0"/>
          <w:sz w:val="24"/>
          <w:szCs w:val="24"/>
          <w:lang w:val="en-US"/>
        </w:rPr>
        <w:t>Measure 1:</w:t>
      </w:r>
      <w:r w:rsidR="00E924AD" w:rsidRPr="005116C2">
        <w:rPr>
          <w:rFonts w:cs="Calibri"/>
          <w:b/>
          <w:color w:val="0070C0"/>
          <w:sz w:val="24"/>
          <w:szCs w:val="24"/>
          <w:lang w:val="en-US"/>
        </w:rPr>
        <w:t xml:space="preserve"> </w:t>
      </w:r>
      <w:r w:rsidRPr="005116C2">
        <w:rPr>
          <w:rFonts w:cs="Calibri"/>
          <w:b/>
          <w:color w:val="0070C0"/>
          <w:sz w:val="24"/>
          <w:szCs w:val="24"/>
          <w:lang w:val="en-US"/>
        </w:rPr>
        <w:t>Improving</w:t>
      </w:r>
      <w:r w:rsidR="006C7477" w:rsidRPr="005116C2">
        <w:rPr>
          <w:rFonts w:cs="Calibri"/>
          <w:b/>
          <w:color w:val="0070C0"/>
          <w:sz w:val="24"/>
          <w:szCs w:val="24"/>
          <w:lang w:val="en-US"/>
        </w:rPr>
        <w:t xml:space="preserve"> </w:t>
      </w:r>
      <w:r w:rsidRPr="005116C2">
        <w:rPr>
          <w:rFonts w:cs="Calibri"/>
          <w:b/>
          <w:color w:val="0070C0"/>
          <w:sz w:val="24"/>
          <w:szCs w:val="24"/>
          <w:lang w:val="en-US"/>
        </w:rPr>
        <w:t>tax</w:t>
      </w:r>
      <w:r w:rsidR="006C7477" w:rsidRPr="005116C2">
        <w:rPr>
          <w:rFonts w:cs="Calibri"/>
          <w:b/>
          <w:color w:val="0070C0"/>
          <w:sz w:val="24"/>
          <w:szCs w:val="24"/>
          <w:lang w:val="en-US"/>
        </w:rPr>
        <w:t xml:space="preserve"> </w:t>
      </w:r>
      <w:r w:rsidRPr="005116C2">
        <w:rPr>
          <w:rFonts w:cs="Calibri"/>
          <w:b/>
          <w:color w:val="0070C0"/>
          <w:sz w:val="24"/>
          <w:szCs w:val="24"/>
          <w:lang w:val="en-US"/>
        </w:rPr>
        <w:t>and</w:t>
      </w:r>
      <w:r w:rsidR="006C7477" w:rsidRPr="005116C2">
        <w:rPr>
          <w:rFonts w:cs="Calibri"/>
          <w:b/>
          <w:color w:val="0070C0"/>
          <w:sz w:val="24"/>
          <w:szCs w:val="24"/>
          <w:lang w:val="en-US"/>
        </w:rPr>
        <w:t xml:space="preserve"> </w:t>
      </w:r>
      <w:r w:rsidRPr="005116C2">
        <w:rPr>
          <w:rFonts w:cs="Calibri"/>
          <w:b/>
          <w:color w:val="0070C0"/>
          <w:sz w:val="24"/>
          <w:szCs w:val="24"/>
          <w:lang w:val="en-US"/>
        </w:rPr>
        <w:t>customs</w:t>
      </w:r>
      <w:r w:rsidR="006C7477" w:rsidRPr="005116C2">
        <w:rPr>
          <w:rFonts w:cs="Calibri"/>
          <w:b/>
          <w:color w:val="0070C0"/>
          <w:sz w:val="24"/>
          <w:szCs w:val="24"/>
          <w:lang w:val="en-US"/>
        </w:rPr>
        <w:t xml:space="preserve"> </w:t>
      </w:r>
      <w:r w:rsidRPr="005116C2">
        <w:rPr>
          <w:rFonts w:cs="Calibri"/>
          <w:b/>
          <w:color w:val="0070C0"/>
          <w:sz w:val="24"/>
          <w:szCs w:val="24"/>
          <w:lang w:val="en-US"/>
        </w:rPr>
        <w:t>reporting</w:t>
      </w:r>
      <w:r w:rsidR="00C10268" w:rsidRPr="005116C2">
        <w:rPr>
          <w:rFonts w:cs="Calibri"/>
          <w:b/>
          <w:color w:val="0070C0"/>
          <w:sz w:val="24"/>
          <w:szCs w:val="24"/>
          <w:lang w:val="en-US"/>
        </w:rPr>
        <w:t xml:space="preserve"> </w:t>
      </w:r>
      <w:r w:rsidRPr="005116C2">
        <w:rPr>
          <w:rFonts w:cs="Calibri"/>
          <w:b/>
          <w:color w:val="0070C0"/>
          <w:sz w:val="24"/>
          <w:szCs w:val="24"/>
          <w:lang w:val="en-US"/>
        </w:rPr>
        <w:t>in</w:t>
      </w:r>
      <w:r w:rsidR="00C10268" w:rsidRPr="005116C2">
        <w:rPr>
          <w:rFonts w:cs="Calibri"/>
          <w:b/>
          <w:color w:val="0070C0"/>
          <w:sz w:val="24"/>
          <w:szCs w:val="24"/>
          <w:lang w:val="en-US"/>
        </w:rPr>
        <w:t xml:space="preserve"> </w:t>
      </w:r>
      <w:r w:rsidRPr="005116C2">
        <w:rPr>
          <w:rFonts w:cs="Calibri"/>
          <w:b/>
          <w:color w:val="0070C0"/>
          <w:sz w:val="24"/>
          <w:szCs w:val="24"/>
          <w:lang w:val="en-US"/>
        </w:rPr>
        <w:t>accordance</w:t>
      </w:r>
      <w:r w:rsidR="00C10268" w:rsidRPr="005116C2">
        <w:rPr>
          <w:rFonts w:cs="Calibri"/>
          <w:b/>
          <w:color w:val="0070C0"/>
          <w:sz w:val="24"/>
          <w:szCs w:val="24"/>
          <w:lang w:val="en-US"/>
        </w:rPr>
        <w:t xml:space="preserve"> </w:t>
      </w:r>
      <w:r w:rsidRPr="005116C2">
        <w:rPr>
          <w:rFonts w:cs="Calibri"/>
          <w:b/>
          <w:color w:val="0070C0"/>
          <w:sz w:val="24"/>
          <w:szCs w:val="24"/>
          <w:lang w:val="en-US"/>
        </w:rPr>
        <w:t>with</w:t>
      </w:r>
      <w:r w:rsidR="00C10268" w:rsidRPr="005116C2">
        <w:rPr>
          <w:rFonts w:cs="Calibri"/>
          <w:b/>
          <w:color w:val="0070C0"/>
          <w:sz w:val="24"/>
          <w:szCs w:val="24"/>
          <w:lang w:val="en-US"/>
        </w:rPr>
        <w:t xml:space="preserve"> </w:t>
      </w:r>
      <w:r w:rsidRPr="005116C2">
        <w:rPr>
          <w:rFonts w:cs="Calibri"/>
          <w:b/>
          <w:color w:val="0070C0"/>
          <w:sz w:val="24"/>
          <w:szCs w:val="24"/>
          <w:lang w:val="en-US"/>
        </w:rPr>
        <w:t>the EU best</w:t>
      </w:r>
      <w:r w:rsidR="00C10268" w:rsidRPr="005116C2">
        <w:rPr>
          <w:rFonts w:cs="Calibri"/>
          <w:b/>
          <w:color w:val="0070C0"/>
          <w:sz w:val="24"/>
          <w:szCs w:val="24"/>
          <w:lang w:val="en-US"/>
        </w:rPr>
        <w:t xml:space="preserve"> </w:t>
      </w:r>
      <w:r w:rsidRPr="005116C2">
        <w:rPr>
          <w:rFonts w:cs="Calibri"/>
          <w:b/>
          <w:color w:val="0070C0"/>
          <w:sz w:val="24"/>
          <w:szCs w:val="24"/>
          <w:lang w:val="en-US"/>
        </w:rPr>
        <w:t>practices</w:t>
      </w:r>
    </w:p>
    <w:p w14:paraId="391ADC70" w14:textId="77777777"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56877F51" w14:textId="05E10D21" w:rsidR="00126734" w:rsidRPr="008C761D" w:rsidRDefault="00126734" w:rsidP="00E84CD0">
      <w:pPr>
        <w:spacing w:line="240" w:lineRule="auto"/>
        <w:jc w:val="both"/>
        <w:rPr>
          <w:rFonts w:cs="Calibri"/>
          <w:lang w:val="en-US"/>
        </w:rPr>
      </w:pPr>
      <w:r w:rsidRPr="008C761D">
        <w:rPr>
          <w:rFonts w:cs="Calibri"/>
          <w:lang w:val="en-US"/>
        </w:rPr>
        <w:t>The</w:t>
      </w:r>
      <w:r w:rsidR="00C10268" w:rsidRPr="008C761D">
        <w:rPr>
          <w:rFonts w:cs="Calibri"/>
          <w:lang w:val="en-US"/>
        </w:rPr>
        <w:t xml:space="preserve"> </w:t>
      </w:r>
      <w:r w:rsidRPr="008C761D">
        <w:rPr>
          <w:rFonts w:cs="Calibri"/>
          <w:lang w:val="en-US"/>
        </w:rPr>
        <w:t>objective</w:t>
      </w:r>
      <w:r w:rsidR="00C10268" w:rsidRPr="008C761D">
        <w:rPr>
          <w:rFonts w:cs="Calibri"/>
          <w:lang w:val="en-US"/>
        </w:rPr>
        <w:t xml:space="preserve"> </w:t>
      </w:r>
      <w:r w:rsidRPr="008C761D">
        <w:rPr>
          <w:rFonts w:cs="Calibri"/>
          <w:lang w:val="en-US"/>
        </w:rPr>
        <w:t>is</w:t>
      </w:r>
      <w:r w:rsidR="00C10268" w:rsidRPr="008C761D">
        <w:rPr>
          <w:rFonts w:cs="Calibri"/>
          <w:lang w:val="en-US"/>
        </w:rPr>
        <w:t xml:space="preserve"> </w:t>
      </w:r>
      <w:r w:rsidRPr="008C761D">
        <w:rPr>
          <w:rFonts w:cs="Calibri"/>
          <w:lang w:val="en-US"/>
        </w:rPr>
        <w:t>to</w:t>
      </w:r>
      <w:r w:rsidR="00C10268" w:rsidRPr="008C761D">
        <w:rPr>
          <w:rFonts w:cs="Calibri"/>
          <w:lang w:val="en-US"/>
        </w:rPr>
        <w:t xml:space="preserve"> </w:t>
      </w:r>
      <w:r w:rsidRPr="008C761D">
        <w:rPr>
          <w:rFonts w:cs="Calibri"/>
          <w:lang w:val="en-US"/>
        </w:rPr>
        <w:t>improve</w:t>
      </w:r>
      <w:r w:rsidR="00C10268" w:rsidRPr="008C761D">
        <w:rPr>
          <w:rFonts w:cs="Calibri"/>
          <w:lang w:val="en-US"/>
        </w:rPr>
        <w:t xml:space="preserve"> </w:t>
      </w:r>
      <w:r w:rsidRPr="008C761D">
        <w:rPr>
          <w:rFonts w:cs="Calibri"/>
          <w:lang w:val="en-US"/>
        </w:rPr>
        <w:t>tax</w:t>
      </w:r>
      <w:r w:rsidR="00C10268" w:rsidRPr="008C761D">
        <w:rPr>
          <w:rFonts w:cs="Calibri"/>
          <w:lang w:val="en-US"/>
        </w:rPr>
        <w:t xml:space="preserve"> </w:t>
      </w:r>
      <w:r w:rsidRPr="008C761D">
        <w:rPr>
          <w:rFonts w:cs="Calibri"/>
          <w:lang w:val="en-US"/>
        </w:rPr>
        <w:t>and</w:t>
      </w:r>
      <w:r w:rsidR="00C10268" w:rsidRPr="008C761D">
        <w:rPr>
          <w:rFonts w:cs="Calibri"/>
          <w:lang w:val="en-US"/>
        </w:rPr>
        <w:t xml:space="preserve"> </w:t>
      </w:r>
      <w:r w:rsidRPr="008C761D">
        <w:rPr>
          <w:rFonts w:cs="Calibri"/>
          <w:lang w:val="en-US"/>
        </w:rPr>
        <w:t>customs</w:t>
      </w:r>
      <w:r w:rsidR="00C10268" w:rsidRPr="008C761D">
        <w:rPr>
          <w:rFonts w:cs="Calibri"/>
          <w:lang w:val="en-US"/>
        </w:rPr>
        <w:t xml:space="preserve"> </w:t>
      </w:r>
      <w:r w:rsidRPr="008C761D">
        <w:rPr>
          <w:rFonts w:cs="Calibri"/>
          <w:lang w:val="en-US"/>
        </w:rPr>
        <w:t>reporting</w:t>
      </w:r>
      <w:r w:rsidR="00C10268" w:rsidRPr="008C761D">
        <w:rPr>
          <w:rFonts w:cs="Calibri"/>
          <w:lang w:val="en-US"/>
        </w:rPr>
        <w:t xml:space="preserve"> </w:t>
      </w:r>
      <w:r w:rsidRPr="008C761D">
        <w:rPr>
          <w:rFonts w:cs="Calibri"/>
          <w:lang w:val="en-US"/>
        </w:rPr>
        <w:t>in</w:t>
      </w:r>
      <w:r w:rsidR="00C10268" w:rsidRPr="008C761D">
        <w:rPr>
          <w:rFonts w:cs="Calibri"/>
          <w:lang w:val="en-US"/>
        </w:rPr>
        <w:t xml:space="preserve"> </w:t>
      </w:r>
      <w:r w:rsidRPr="008C761D">
        <w:rPr>
          <w:rFonts w:cs="Calibri"/>
          <w:lang w:val="en-US"/>
        </w:rPr>
        <w:t>line</w:t>
      </w:r>
      <w:r w:rsidR="00C10268" w:rsidRPr="008C761D">
        <w:rPr>
          <w:rFonts w:cs="Calibri"/>
          <w:lang w:val="en-US"/>
        </w:rPr>
        <w:t xml:space="preserve"> </w:t>
      </w:r>
      <w:r w:rsidRPr="008C761D">
        <w:rPr>
          <w:rFonts w:cs="Calibri"/>
          <w:lang w:val="en-US"/>
        </w:rPr>
        <w:t>with</w:t>
      </w:r>
      <w:r w:rsidR="00C10268" w:rsidRPr="008C761D">
        <w:rPr>
          <w:rFonts w:cs="Calibri"/>
          <w:lang w:val="en-US"/>
        </w:rPr>
        <w:t xml:space="preserve"> </w:t>
      </w:r>
      <w:r w:rsidRPr="008C761D">
        <w:rPr>
          <w:rFonts w:cs="Calibri"/>
          <w:lang w:val="en-US"/>
        </w:rPr>
        <w:t>the EU practices, as</w:t>
      </w:r>
      <w:r w:rsidR="00C10268" w:rsidRPr="008C761D">
        <w:rPr>
          <w:rFonts w:cs="Calibri"/>
          <w:lang w:val="en-US"/>
        </w:rPr>
        <w:t xml:space="preserve"> </w:t>
      </w:r>
      <w:r w:rsidRPr="008C761D">
        <w:rPr>
          <w:rFonts w:cs="Calibri"/>
          <w:lang w:val="en-US"/>
        </w:rPr>
        <w:t>well</w:t>
      </w:r>
      <w:r w:rsidR="00C10268" w:rsidRPr="008C761D">
        <w:rPr>
          <w:rFonts w:cs="Calibri"/>
          <w:lang w:val="en-US"/>
        </w:rPr>
        <w:t xml:space="preserve"> </w:t>
      </w:r>
      <w:r w:rsidRPr="008C761D">
        <w:rPr>
          <w:rFonts w:cs="Calibri"/>
          <w:lang w:val="en-US"/>
        </w:rPr>
        <w:t>as</w:t>
      </w:r>
      <w:r w:rsidR="00C10268" w:rsidRPr="008C761D">
        <w:rPr>
          <w:rFonts w:cs="Calibri"/>
          <w:lang w:val="en-US"/>
        </w:rPr>
        <w:t xml:space="preserve"> </w:t>
      </w:r>
      <w:r w:rsidRPr="008C761D">
        <w:rPr>
          <w:rFonts w:cs="Calibri"/>
          <w:lang w:val="en-US"/>
        </w:rPr>
        <w:t>other</w:t>
      </w:r>
      <w:r w:rsidR="00C10268" w:rsidRPr="008C761D">
        <w:rPr>
          <w:rFonts w:cs="Calibri"/>
          <w:lang w:val="en-US"/>
        </w:rPr>
        <w:t xml:space="preserve"> </w:t>
      </w:r>
      <w:proofErr w:type="gramStart"/>
      <w:r w:rsidRPr="008C761D">
        <w:rPr>
          <w:rFonts w:cs="Calibri"/>
          <w:lang w:val="en-US"/>
        </w:rPr>
        <w:t>standards  (</w:t>
      </w:r>
      <w:proofErr w:type="gramEnd"/>
      <w:r w:rsidRPr="008C761D">
        <w:rPr>
          <w:rFonts w:cs="Calibri"/>
          <w:lang w:val="en-US"/>
        </w:rPr>
        <w:t>e.g. IMF Fiscal</w:t>
      </w:r>
      <w:r w:rsidR="00C10268" w:rsidRPr="008C761D">
        <w:rPr>
          <w:rFonts w:cs="Calibri"/>
          <w:lang w:val="en-US"/>
        </w:rPr>
        <w:t xml:space="preserve"> </w:t>
      </w:r>
      <w:r w:rsidRPr="008C761D">
        <w:rPr>
          <w:rFonts w:cs="Calibri"/>
          <w:lang w:val="en-US"/>
        </w:rPr>
        <w:t>Transparency</w:t>
      </w:r>
      <w:r w:rsidR="00C10268" w:rsidRPr="008C761D">
        <w:rPr>
          <w:rFonts w:cs="Calibri"/>
          <w:lang w:val="en-US"/>
        </w:rPr>
        <w:t xml:space="preserve"> </w:t>
      </w:r>
      <w:r w:rsidRPr="008C761D">
        <w:rPr>
          <w:rFonts w:cs="Calibri"/>
          <w:lang w:val="en-US"/>
        </w:rPr>
        <w:t>code), as</w:t>
      </w:r>
      <w:r w:rsidR="00C10268" w:rsidRPr="008C761D">
        <w:rPr>
          <w:rFonts w:cs="Calibri"/>
          <w:lang w:val="en-US"/>
        </w:rPr>
        <w:t xml:space="preserve"> </w:t>
      </w:r>
      <w:r w:rsidRPr="008C761D">
        <w:rPr>
          <w:rFonts w:cs="Calibri"/>
          <w:lang w:val="en-US"/>
        </w:rPr>
        <w:t>well</w:t>
      </w:r>
      <w:r w:rsidR="00C10268" w:rsidRPr="008C761D">
        <w:rPr>
          <w:rFonts w:cs="Calibri"/>
          <w:lang w:val="en-US"/>
        </w:rPr>
        <w:t xml:space="preserve"> </w:t>
      </w:r>
      <w:r w:rsidRPr="008C761D">
        <w:rPr>
          <w:rFonts w:cs="Calibri"/>
          <w:lang w:val="en-US"/>
        </w:rPr>
        <w:t>as</w:t>
      </w:r>
      <w:r w:rsidR="00C10268" w:rsidRPr="008C761D">
        <w:rPr>
          <w:rFonts w:cs="Calibri"/>
          <w:lang w:val="en-US"/>
        </w:rPr>
        <w:t xml:space="preserve"> </w:t>
      </w:r>
      <w:r w:rsidRPr="008C761D">
        <w:rPr>
          <w:rFonts w:cs="Calibri"/>
          <w:lang w:val="en-US"/>
        </w:rPr>
        <w:t>enhance</w:t>
      </w:r>
      <w:r w:rsidR="00C10268" w:rsidRPr="008C761D">
        <w:rPr>
          <w:rFonts w:cs="Calibri"/>
          <w:lang w:val="en-US"/>
        </w:rPr>
        <w:t xml:space="preserve"> </w:t>
      </w:r>
      <w:r w:rsidRPr="008C761D">
        <w:rPr>
          <w:rFonts w:cs="Calibri"/>
          <w:lang w:val="en-US"/>
        </w:rPr>
        <w:t>the</w:t>
      </w:r>
      <w:r w:rsidR="00C10268" w:rsidRPr="008C761D">
        <w:rPr>
          <w:rFonts w:cs="Calibri"/>
          <w:lang w:val="en-US"/>
        </w:rPr>
        <w:t xml:space="preserve"> </w:t>
      </w:r>
      <w:r w:rsidRPr="008C761D">
        <w:rPr>
          <w:rFonts w:cs="Calibri"/>
          <w:lang w:val="en-US"/>
        </w:rPr>
        <w:t>transparency</w:t>
      </w:r>
      <w:r w:rsidR="00C10268" w:rsidRPr="008C761D">
        <w:rPr>
          <w:rFonts w:cs="Calibri"/>
          <w:lang w:val="en-US"/>
        </w:rPr>
        <w:t xml:space="preserve"> </w:t>
      </w:r>
      <w:r w:rsidRPr="008C761D">
        <w:rPr>
          <w:rFonts w:cs="Calibri"/>
          <w:lang w:val="en-US"/>
        </w:rPr>
        <w:t>of</w:t>
      </w:r>
      <w:r w:rsidR="00C10268" w:rsidRPr="008C761D">
        <w:rPr>
          <w:rFonts w:cs="Calibri"/>
          <w:lang w:val="en-US"/>
        </w:rPr>
        <w:t xml:space="preserve"> </w:t>
      </w:r>
      <w:r w:rsidRPr="008C761D">
        <w:rPr>
          <w:rFonts w:cs="Calibri"/>
          <w:lang w:val="en-US"/>
        </w:rPr>
        <w:t>the</w:t>
      </w:r>
      <w:r w:rsidR="00C10268" w:rsidRPr="008C761D">
        <w:rPr>
          <w:rFonts w:cs="Calibri"/>
          <w:lang w:val="en-US"/>
        </w:rPr>
        <w:t xml:space="preserve"> </w:t>
      </w:r>
      <w:r w:rsidRPr="008C761D">
        <w:rPr>
          <w:rFonts w:cs="Calibri"/>
          <w:lang w:val="en-US"/>
        </w:rPr>
        <w:t>tax</w:t>
      </w:r>
      <w:r w:rsidR="00C10268" w:rsidRPr="008C761D">
        <w:rPr>
          <w:rFonts w:cs="Calibri"/>
          <w:lang w:val="en-US"/>
        </w:rPr>
        <w:t xml:space="preserve"> </w:t>
      </w:r>
      <w:r w:rsidRPr="008C761D">
        <w:rPr>
          <w:rFonts w:cs="Calibri"/>
          <w:lang w:val="en-US"/>
        </w:rPr>
        <w:t>system</w:t>
      </w:r>
      <w:r w:rsidR="00C10268" w:rsidRPr="008C761D">
        <w:rPr>
          <w:rFonts w:cs="Calibri"/>
          <w:lang w:val="en-US"/>
        </w:rPr>
        <w:t xml:space="preserve"> </w:t>
      </w:r>
      <w:r w:rsidRPr="008C761D">
        <w:rPr>
          <w:rFonts w:cs="Calibri"/>
          <w:lang w:val="en-US"/>
        </w:rPr>
        <w:t>and</w:t>
      </w:r>
      <w:r w:rsidR="00C10268" w:rsidRPr="008C761D">
        <w:rPr>
          <w:rFonts w:cs="Calibri"/>
          <w:lang w:val="en-US"/>
        </w:rPr>
        <w:t xml:space="preserve"> </w:t>
      </w:r>
      <w:r w:rsidRPr="008C761D">
        <w:rPr>
          <w:rFonts w:cs="Calibri"/>
          <w:lang w:val="en-US"/>
        </w:rPr>
        <w:t>tax</w:t>
      </w:r>
      <w:r w:rsidR="00C10268" w:rsidRPr="008C761D">
        <w:rPr>
          <w:rFonts w:cs="Calibri"/>
          <w:lang w:val="en-US"/>
        </w:rPr>
        <w:t xml:space="preserve"> </w:t>
      </w:r>
      <w:r w:rsidRPr="008C761D">
        <w:rPr>
          <w:rFonts w:cs="Calibri"/>
          <w:lang w:val="en-US"/>
        </w:rPr>
        <w:t>instruments .</w:t>
      </w:r>
    </w:p>
    <w:p w14:paraId="272C1CF8" w14:textId="77777777"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536"/>
        <w:gridCol w:w="8176"/>
      </w:tblGrid>
      <w:tr w:rsidR="00D91B99" w:rsidRPr="008C761D" w14:paraId="498C4413" w14:textId="77777777" w:rsidTr="006A0F62">
        <w:tc>
          <w:tcPr>
            <w:tcW w:w="520" w:type="dxa"/>
            <w:shd w:val="clear" w:color="auto" w:fill="DDDDDD"/>
          </w:tcPr>
          <w:p w14:paraId="62602810" w14:textId="77777777" w:rsidR="00D91B99" w:rsidRPr="008C761D" w:rsidRDefault="00D91B99" w:rsidP="00E84CD0">
            <w:pPr>
              <w:spacing w:line="240" w:lineRule="auto"/>
              <w:jc w:val="both"/>
              <w:rPr>
                <w:rFonts w:cs="Calibri"/>
                <w:sz w:val="20"/>
                <w:szCs w:val="20"/>
                <w:lang w:val="en-US"/>
              </w:rPr>
            </w:pPr>
            <w:r w:rsidRPr="008C761D">
              <w:rPr>
                <w:rFonts w:cs="Calibri"/>
                <w:b/>
                <w:sz w:val="20"/>
                <w:szCs w:val="20"/>
                <w:lang w:val="en-US"/>
              </w:rPr>
              <w:t>IMF</w:t>
            </w:r>
          </w:p>
        </w:tc>
        <w:tc>
          <w:tcPr>
            <w:tcW w:w="8192" w:type="dxa"/>
            <w:shd w:val="clear" w:color="auto" w:fill="DDDDDD"/>
          </w:tcPr>
          <w:p w14:paraId="1DEDE314" w14:textId="1E25AD7D" w:rsidR="00D91B99" w:rsidRPr="00E924AD" w:rsidRDefault="00D91B99" w:rsidP="00E84CD0">
            <w:pPr>
              <w:spacing w:line="240" w:lineRule="auto"/>
              <w:jc w:val="both"/>
              <w:rPr>
                <w:rFonts w:cs="Calibri"/>
                <w:b/>
                <w:sz w:val="20"/>
                <w:szCs w:val="20"/>
                <w:lang w:val="en-US"/>
              </w:rPr>
            </w:pPr>
            <w:r w:rsidRPr="00E924AD">
              <w:rPr>
                <w:rFonts w:cs="Calibri"/>
                <w:b/>
                <w:sz w:val="20"/>
                <w:szCs w:val="20"/>
                <w:lang w:val="en-US"/>
              </w:rPr>
              <w:t>Fiscal</w:t>
            </w:r>
            <w:r w:rsidR="00C640AE" w:rsidRPr="00E924AD">
              <w:rPr>
                <w:rFonts w:cs="Calibri"/>
                <w:b/>
                <w:sz w:val="20"/>
                <w:szCs w:val="20"/>
                <w:lang w:val="en-US"/>
              </w:rPr>
              <w:t xml:space="preserve"> </w:t>
            </w:r>
            <w:r w:rsidRPr="00E924AD">
              <w:rPr>
                <w:rFonts w:cs="Calibri"/>
                <w:b/>
                <w:sz w:val="20"/>
                <w:szCs w:val="20"/>
                <w:lang w:val="en-US"/>
              </w:rPr>
              <w:t>Transparency</w:t>
            </w:r>
            <w:r w:rsidR="00C640AE" w:rsidRPr="00E924AD">
              <w:rPr>
                <w:rFonts w:cs="Calibri"/>
                <w:b/>
                <w:sz w:val="20"/>
                <w:szCs w:val="20"/>
                <w:lang w:val="en-US"/>
              </w:rPr>
              <w:t xml:space="preserve"> </w:t>
            </w:r>
            <w:r w:rsidRPr="00E924AD">
              <w:rPr>
                <w:rFonts w:cs="Calibri"/>
                <w:b/>
                <w:sz w:val="20"/>
                <w:szCs w:val="20"/>
                <w:lang w:val="en-US"/>
              </w:rPr>
              <w:t>Evaluation (2018)</w:t>
            </w:r>
          </w:p>
          <w:p w14:paraId="79F2C800" w14:textId="77777777" w:rsidR="00C10268" w:rsidRPr="00E924AD" w:rsidRDefault="00C10268" w:rsidP="00C10268">
            <w:pPr>
              <w:spacing w:line="240" w:lineRule="auto"/>
              <w:jc w:val="both"/>
              <w:rPr>
                <w:rFonts w:cs="Calibri"/>
                <w:sz w:val="20"/>
                <w:szCs w:val="20"/>
                <w:lang w:val="en-US"/>
              </w:rPr>
            </w:pPr>
            <w:r w:rsidRPr="00E924AD">
              <w:rPr>
                <w:rFonts w:cs="Calibri"/>
                <w:sz w:val="20"/>
                <w:szCs w:val="20"/>
                <w:lang w:val="en-US"/>
              </w:rPr>
              <w:t>Government does not publish estimates of the revenue loss from tax expenditures. There is no legislative requirement to report revenues foregone from tax expenditures. However, when proposing legislative or regularly amendments, budget users are required to provide estimates of their fiscal implications to the Government. Estimates of individual tax expenditures may also be prepared, on an ex ante and ex post basis, setting out the fiscal implications of different measures, but these are generally not published. Activities envisaged under the PFM Reform Program related to strengthening the forecasting analysis and capacity, will also provide for the development of a more comprehensive reporting on tax expenditures.</w:t>
            </w:r>
          </w:p>
          <w:p w14:paraId="4330FDFA" w14:textId="71EF9F22" w:rsidR="00D91B99" w:rsidRPr="008C761D" w:rsidRDefault="00C10268" w:rsidP="00C10268">
            <w:pPr>
              <w:spacing w:line="240" w:lineRule="auto"/>
              <w:jc w:val="both"/>
              <w:rPr>
                <w:rFonts w:cs="Calibri"/>
                <w:sz w:val="20"/>
                <w:szCs w:val="20"/>
                <w:lang w:val="en-US"/>
              </w:rPr>
            </w:pPr>
            <w:r w:rsidRPr="00E924AD">
              <w:rPr>
                <w:rFonts w:cs="Calibri"/>
                <w:sz w:val="20"/>
                <w:szCs w:val="20"/>
                <w:lang w:val="en-US"/>
              </w:rPr>
              <w:t>Based on these findings, the evaluation provides several recommendations to enhance fiscal transparency in North Macedonia. Specifically, it recommends that the authorities publish regular information on estimates of revenues forgone from tax expenditures</w:t>
            </w:r>
          </w:p>
        </w:tc>
      </w:tr>
      <w:tr w:rsidR="00D91B99" w:rsidRPr="008C761D" w14:paraId="11F750F7" w14:textId="77777777" w:rsidTr="006A0F62">
        <w:tc>
          <w:tcPr>
            <w:tcW w:w="520" w:type="dxa"/>
            <w:shd w:val="clear" w:color="auto" w:fill="DDDDDD"/>
          </w:tcPr>
          <w:p w14:paraId="251C6818" w14:textId="77777777" w:rsidR="00D91B99" w:rsidRPr="008C761D" w:rsidRDefault="00D91B99" w:rsidP="00E84CD0">
            <w:pPr>
              <w:spacing w:line="240" w:lineRule="auto"/>
              <w:jc w:val="both"/>
              <w:rPr>
                <w:rFonts w:cs="Calibri"/>
                <w:b/>
                <w:sz w:val="20"/>
                <w:szCs w:val="20"/>
                <w:lang w:val="en-US"/>
              </w:rPr>
            </w:pPr>
            <w:r w:rsidRPr="008C761D">
              <w:rPr>
                <w:rFonts w:cs="Calibri"/>
                <w:b/>
                <w:sz w:val="20"/>
                <w:szCs w:val="20"/>
                <w:lang w:val="en-US"/>
              </w:rPr>
              <w:lastRenderedPageBreak/>
              <w:t>WB</w:t>
            </w:r>
          </w:p>
        </w:tc>
        <w:tc>
          <w:tcPr>
            <w:tcW w:w="8192" w:type="dxa"/>
            <w:shd w:val="clear" w:color="auto" w:fill="DDDDDD"/>
          </w:tcPr>
          <w:p w14:paraId="4DD2165E" w14:textId="4E69E7C5" w:rsidR="00D91B99" w:rsidRPr="00E924AD" w:rsidRDefault="00D91B99" w:rsidP="00E84CD0">
            <w:pPr>
              <w:spacing w:line="240" w:lineRule="auto"/>
              <w:jc w:val="both"/>
              <w:rPr>
                <w:rFonts w:cs="Calibri"/>
                <w:b/>
                <w:sz w:val="20"/>
                <w:szCs w:val="20"/>
                <w:lang w:val="en-US"/>
              </w:rPr>
            </w:pPr>
            <w:r w:rsidRPr="00E924AD">
              <w:rPr>
                <w:rFonts w:cs="Calibri"/>
                <w:b/>
                <w:sz w:val="20"/>
                <w:szCs w:val="20"/>
                <w:lang w:val="en-US"/>
              </w:rPr>
              <w:t>Public</w:t>
            </w:r>
            <w:r w:rsidR="00FB6C92" w:rsidRPr="00E924AD">
              <w:rPr>
                <w:rFonts w:cs="Calibri"/>
                <w:b/>
                <w:sz w:val="20"/>
                <w:szCs w:val="20"/>
                <w:lang w:val="en-US"/>
              </w:rPr>
              <w:t xml:space="preserve"> </w:t>
            </w:r>
            <w:r w:rsidRPr="00E924AD">
              <w:rPr>
                <w:rFonts w:cs="Calibri"/>
                <w:b/>
                <w:sz w:val="20"/>
                <w:szCs w:val="20"/>
                <w:lang w:val="en-US"/>
              </w:rPr>
              <w:t>Finance</w:t>
            </w:r>
            <w:r w:rsidR="00FB6C92" w:rsidRPr="00E924AD">
              <w:rPr>
                <w:rFonts w:cs="Calibri"/>
                <w:b/>
                <w:sz w:val="20"/>
                <w:szCs w:val="20"/>
                <w:lang w:val="en-US"/>
              </w:rPr>
              <w:t xml:space="preserve"> </w:t>
            </w:r>
            <w:r w:rsidRPr="00E924AD">
              <w:rPr>
                <w:rFonts w:cs="Calibri"/>
                <w:b/>
                <w:sz w:val="20"/>
                <w:szCs w:val="20"/>
                <w:lang w:val="en-US"/>
              </w:rPr>
              <w:t>Review (2018)</w:t>
            </w:r>
          </w:p>
          <w:p w14:paraId="0FB0F017" w14:textId="6502CBCC" w:rsidR="00D91B99" w:rsidRPr="00E924AD" w:rsidRDefault="00C10268" w:rsidP="00E84CD0">
            <w:pPr>
              <w:spacing w:line="240" w:lineRule="auto"/>
              <w:jc w:val="both"/>
              <w:rPr>
                <w:rFonts w:cs="Calibri"/>
                <w:sz w:val="18"/>
                <w:szCs w:val="18"/>
                <w:lang w:val="en-US"/>
              </w:rPr>
            </w:pPr>
            <w:r w:rsidRPr="00E924AD">
              <w:rPr>
                <w:rFonts w:cs="Calibri"/>
                <w:sz w:val="20"/>
                <w:szCs w:val="20"/>
                <w:lang w:val="en-US"/>
              </w:rPr>
              <w:t xml:space="preserve">Although not currently considered by </w:t>
            </w:r>
            <w:proofErr w:type="gramStart"/>
            <w:r w:rsidRPr="00E924AD">
              <w:rPr>
                <w:rFonts w:cs="Calibri"/>
                <w:sz w:val="20"/>
                <w:szCs w:val="20"/>
                <w:lang w:val="en-US"/>
              </w:rPr>
              <w:t>the  Government</w:t>
            </w:r>
            <w:proofErr w:type="gramEnd"/>
            <w:r w:rsidRPr="00E924AD">
              <w:rPr>
                <w:rFonts w:cs="Calibri"/>
                <w:sz w:val="20"/>
                <w:szCs w:val="20"/>
                <w:lang w:val="en-US"/>
              </w:rPr>
              <w:t>, North Macedonia could increase VAT revenue collection  by expanding the base (moving towards a single-rate VAT) and improving compliance. The VAT revenue ratio or C-efficiency ratio for North Macedonia hovers at around 0.6, being low compared to Western Balkans peers. This indicates a loss in revenue through policy measures such as exemptions and reduced rates, as well as loss in revenue due to tax avoidance and evasion. Around 36 percent of the consumption basket is taxed at the standard 18% VAT rate. The remainder is taxed at a reduced 5% rate or input taxed (exempt without the right to deduct the VAT that has been paid on purchases). Applying a mix of standard and reduced rates creates opportunities for abuse, as sellers can classify goods and services as qualifying for the reduced rate when they should be subject to the standard rate. On the other hand, a broad-based VAT improves economic efficiency and administrative efficiency</w:t>
            </w:r>
          </w:p>
        </w:tc>
      </w:tr>
      <w:tr w:rsidR="00D91B99" w:rsidRPr="008C761D" w14:paraId="2C2DDA47" w14:textId="77777777" w:rsidTr="006A0F62">
        <w:tc>
          <w:tcPr>
            <w:tcW w:w="520" w:type="dxa"/>
            <w:shd w:val="clear" w:color="auto" w:fill="DDDDDD"/>
          </w:tcPr>
          <w:p w14:paraId="57E9C675" w14:textId="77777777" w:rsidR="00D91B99" w:rsidRPr="008C761D" w:rsidRDefault="00D91B99" w:rsidP="00E84CD0">
            <w:pPr>
              <w:spacing w:line="240" w:lineRule="auto"/>
              <w:jc w:val="both"/>
              <w:rPr>
                <w:rFonts w:cs="Calibri"/>
                <w:sz w:val="20"/>
                <w:szCs w:val="20"/>
                <w:lang w:val="en-US"/>
              </w:rPr>
            </w:pPr>
            <w:r w:rsidRPr="008C761D">
              <w:rPr>
                <w:rFonts w:cs="Calibri"/>
                <w:b/>
                <w:sz w:val="20"/>
                <w:szCs w:val="20"/>
                <w:lang w:val="en-US"/>
              </w:rPr>
              <w:t>IMF</w:t>
            </w:r>
          </w:p>
        </w:tc>
        <w:tc>
          <w:tcPr>
            <w:tcW w:w="8192" w:type="dxa"/>
            <w:shd w:val="clear" w:color="auto" w:fill="DDDDDD"/>
          </w:tcPr>
          <w:p w14:paraId="7848112B" w14:textId="77777777" w:rsidR="00C10268" w:rsidRPr="008C761D" w:rsidRDefault="00C10268" w:rsidP="00C10268">
            <w:pPr>
              <w:spacing w:line="240" w:lineRule="auto"/>
              <w:jc w:val="both"/>
              <w:rPr>
                <w:rFonts w:cs="Calibri"/>
                <w:b/>
                <w:sz w:val="20"/>
                <w:szCs w:val="20"/>
                <w:lang w:val="en-US"/>
              </w:rPr>
            </w:pPr>
            <w:r w:rsidRPr="008C761D">
              <w:rPr>
                <w:rFonts w:cs="Calibri"/>
                <w:b/>
                <w:sz w:val="20"/>
                <w:szCs w:val="20"/>
                <w:lang w:val="en-US"/>
              </w:rPr>
              <w:t>Article IV Consultation with the Republic of North Macedonia: IMF 2019/2020</w:t>
            </w:r>
          </w:p>
          <w:p w14:paraId="7FC78DF6" w14:textId="77777777" w:rsidR="00C10268" w:rsidRPr="00E924AD" w:rsidRDefault="00C10268" w:rsidP="00C10268">
            <w:pPr>
              <w:spacing w:line="240" w:lineRule="auto"/>
              <w:jc w:val="both"/>
              <w:rPr>
                <w:rFonts w:cs="Calibri"/>
                <w:sz w:val="20"/>
                <w:szCs w:val="20"/>
                <w:lang w:val="en-US"/>
              </w:rPr>
            </w:pPr>
            <w:r w:rsidRPr="00E924AD">
              <w:rPr>
                <w:rFonts w:cs="Calibri"/>
                <w:sz w:val="20"/>
                <w:szCs w:val="20"/>
                <w:lang w:val="en-US"/>
              </w:rPr>
              <w:t xml:space="preserve">Key Policy Recommendations </w:t>
            </w:r>
          </w:p>
          <w:p w14:paraId="3D13659C" w14:textId="259E1393" w:rsidR="00D91B99" w:rsidRPr="008C761D" w:rsidRDefault="00C10268" w:rsidP="00C10268">
            <w:pPr>
              <w:spacing w:line="240" w:lineRule="auto"/>
              <w:jc w:val="both"/>
              <w:rPr>
                <w:rFonts w:cs="Calibri"/>
                <w:sz w:val="20"/>
                <w:szCs w:val="20"/>
                <w:lang w:val="en-US"/>
              </w:rPr>
            </w:pPr>
            <w:r w:rsidRPr="00E924AD">
              <w:rPr>
                <w:rFonts w:cs="Calibri"/>
                <w:sz w:val="20"/>
                <w:szCs w:val="20"/>
                <w:lang w:val="en-US"/>
              </w:rPr>
              <w:t xml:space="preserve">Fiscal Policies. To increase the fiscal policy space and allow higher capital spending to meet infrastructure needs, staff recommends gradually reducing current spending and strengthening the revenue base. On the expenditure side, this should include full implementation of the pension reform and rationalizing of the agricultural subsidies. On the revenue side, additional resources can be </w:t>
            </w:r>
            <w:proofErr w:type="gramStart"/>
            <w:r w:rsidRPr="00E924AD">
              <w:rPr>
                <w:rFonts w:cs="Calibri"/>
                <w:sz w:val="20"/>
                <w:szCs w:val="20"/>
                <w:lang w:val="en-US"/>
              </w:rPr>
              <w:t>mobilized  through</w:t>
            </w:r>
            <w:proofErr w:type="gramEnd"/>
            <w:r w:rsidRPr="00E924AD">
              <w:rPr>
                <w:rFonts w:cs="Calibri"/>
                <w:sz w:val="20"/>
                <w:szCs w:val="20"/>
                <w:lang w:val="en-US"/>
              </w:rPr>
              <w:t xml:space="preserve"> higher tax efficiency, in particular for VAT.</w:t>
            </w:r>
          </w:p>
        </w:tc>
      </w:tr>
    </w:tbl>
    <w:p w14:paraId="761BB001" w14:textId="77777777" w:rsidR="00D91B99" w:rsidRPr="008C761D" w:rsidRDefault="00D91B99" w:rsidP="00E84CD0">
      <w:pPr>
        <w:spacing w:line="240" w:lineRule="auto"/>
        <w:jc w:val="both"/>
        <w:rPr>
          <w:rFonts w:eastAsia="MS PGothic" w:cs="Calibri"/>
          <w:b/>
          <w:bCs/>
          <w:i/>
          <w:iCs/>
          <w:color w:val="4F81BD"/>
          <w:lang w:val="en-US" w:eastAsia="zh-CN"/>
        </w:rPr>
      </w:pPr>
    </w:p>
    <w:p w14:paraId="1F3C0AE1" w14:textId="77777777"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70959E3B" w14:textId="07210E4C" w:rsidR="00C10268" w:rsidRPr="008C761D" w:rsidRDefault="00C10268" w:rsidP="00C10268">
      <w:pPr>
        <w:spacing w:line="240" w:lineRule="auto"/>
        <w:jc w:val="both"/>
        <w:rPr>
          <w:rFonts w:cs="Calibri"/>
          <w:lang w:val="en-US"/>
        </w:rPr>
      </w:pPr>
      <w:r w:rsidRPr="008C761D">
        <w:rPr>
          <w:rFonts w:cs="Calibri"/>
          <w:lang w:val="en-US"/>
        </w:rPr>
        <w:t xml:space="preserve">Estimating and reporting on tax expenditures on a regular annual basis is a practice in the European countries. According to the Directive on Requirements for Budgetary Frameworks (2011/85/EU), Member States have an obligation to provide reports on tax expenditures and their impact on revenue. Such an obligation has been instigated in North Macedonia with the </w:t>
      </w:r>
      <w:proofErr w:type="gramStart"/>
      <w:r w:rsidRPr="008C761D">
        <w:rPr>
          <w:rFonts w:cs="Calibri"/>
          <w:lang w:val="en-US"/>
        </w:rPr>
        <w:t>new  Organic</w:t>
      </w:r>
      <w:proofErr w:type="gramEnd"/>
      <w:r w:rsidRPr="008C761D">
        <w:rPr>
          <w:rFonts w:cs="Calibri"/>
          <w:lang w:val="en-US"/>
        </w:rPr>
        <w:t xml:space="preserve"> Budget Law (2022), whereby Ministry of Finance is be required to prepare a report on the impact of tax expenditures on revenues. This Report will be submitted to the Parliament of the Republic of North Macedonia on annual basis, as an integral</w:t>
      </w:r>
      <w:r w:rsidR="00944D78">
        <w:rPr>
          <w:rFonts w:cs="Calibri"/>
          <w:lang w:val="en-US"/>
        </w:rPr>
        <w:t xml:space="preserve"> </w:t>
      </w:r>
      <w:r w:rsidRPr="008C761D">
        <w:rPr>
          <w:rFonts w:cs="Calibri"/>
          <w:lang w:val="en-US"/>
        </w:rPr>
        <w:t xml:space="preserve">part of </w:t>
      </w:r>
      <w:proofErr w:type="gramStart"/>
      <w:r w:rsidRPr="008C761D">
        <w:rPr>
          <w:rFonts w:cs="Calibri"/>
          <w:lang w:val="en-US"/>
        </w:rPr>
        <w:t>the  Final</w:t>
      </w:r>
      <w:proofErr w:type="gramEnd"/>
      <w:r w:rsidRPr="008C761D">
        <w:rPr>
          <w:rFonts w:cs="Calibri"/>
          <w:lang w:val="en-US"/>
        </w:rPr>
        <w:t xml:space="preserve"> Account for the execution of the State Budget for the previous budget year. Initial tax expenditure report has been prepared in 2021 with a support of the Twinning Project "Improving Revenue Collection and Tax </w:t>
      </w:r>
      <w:proofErr w:type="gramStart"/>
      <w:r w:rsidRPr="008C761D">
        <w:rPr>
          <w:rFonts w:cs="Calibri"/>
          <w:lang w:val="en-US"/>
        </w:rPr>
        <w:t>And</w:t>
      </w:r>
      <w:proofErr w:type="gramEnd"/>
      <w:r w:rsidRPr="008C761D">
        <w:rPr>
          <w:rFonts w:cs="Calibri"/>
          <w:lang w:val="en-US"/>
        </w:rPr>
        <w:t xml:space="preserve"> Customs Policy". Nevertheless, as stipulated with the new OBL, tax expenditures reporting should be performed regularly, on an annual basis.  In addition, there is a need ex</w:t>
      </w:r>
      <w:r w:rsidR="00944D78">
        <w:rPr>
          <w:rFonts w:cs="Calibri"/>
          <w:lang w:val="en-US"/>
        </w:rPr>
        <w:t>tend the scope of tax reporting</w:t>
      </w:r>
      <w:r w:rsidRPr="008C761D">
        <w:rPr>
          <w:rFonts w:cs="Calibri"/>
          <w:lang w:val="en-US"/>
        </w:rPr>
        <w:t xml:space="preserve"> with other type of reports in accordance with the EU best practices. The preparation of the tax reports, as also the process of revenue forecasting and simulating policy changes is conditioned on a timely exchange of comprehensive data by the tax and customs administration and other relevant institutions with the Ministry of Finance Such data exchange needs to be build on a systemic basis, through appropriate data sharing protocols.</w:t>
      </w:r>
    </w:p>
    <w:p w14:paraId="30F4AAA6" w14:textId="77777777" w:rsidR="00126734" w:rsidRPr="008C761D" w:rsidRDefault="00126734" w:rsidP="00126734">
      <w:pPr>
        <w:spacing w:line="240" w:lineRule="auto"/>
        <w:jc w:val="both"/>
        <w:rPr>
          <w:rFonts w:eastAsia="MS PGothic" w:cs="Calibri"/>
          <w:b/>
          <w:bCs/>
          <w:iCs/>
          <w:color w:val="4F81BD"/>
          <w:lang w:val="en-US" w:eastAsia="zh-CN"/>
        </w:rPr>
      </w:pPr>
      <w:r w:rsidRPr="008C761D">
        <w:rPr>
          <w:rFonts w:eastAsia="MS PGothic" w:cs="Calibri"/>
          <w:b/>
          <w:bCs/>
          <w:iCs/>
          <w:color w:val="4F81BD"/>
          <w:lang w:val="en-US" w:eastAsia="zh-CN"/>
        </w:rPr>
        <w:t>Activity 1: Establish an effective and efficient tax data sharing arrangement</w:t>
      </w:r>
    </w:p>
    <w:p w14:paraId="692C7547" w14:textId="77777777" w:rsidR="00C10268" w:rsidRPr="008C761D" w:rsidRDefault="00C10268" w:rsidP="00C10268">
      <w:pPr>
        <w:spacing w:line="240" w:lineRule="auto"/>
        <w:jc w:val="both"/>
        <w:rPr>
          <w:rFonts w:cs="Calibri"/>
          <w:lang w:val="en-US"/>
        </w:rPr>
      </w:pPr>
      <w:r w:rsidRPr="008C761D">
        <w:rPr>
          <w:rFonts w:cs="Calibri"/>
          <w:lang w:val="en-US"/>
        </w:rPr>
        <w:t>Having data is crucial for performing sound economic and fiscal analysis of the tax policy proposals, revenue forecasting, monitoring and analysis of any deviations in revenue mobilization, and for producing quality tax reports. Therefore, putting in place a systemic arrangement to ensure timely exchange of comprehensive tax data by relevant institutions is the Ministry of Finance’s priority.  Signing and continuous update of tax data sharing protocols/MoUs between the MoF and relevant institutions will formalize a proper mechanism for data exchange.</w:t>
      </w:r>
    </w:p>
    <w:p w14:paraId="796024B7" w14:textId="65726AE9" w:rsidR="006C2EC1" w:rsidRPr="008C761D" w:rsidRDefault="006C2EC1" w:rsidP="006C2EC1">
      <w:pPr>
        <w:spacing w:line="240" w:lineRule="auto"/>
        <w:jc w:val="both"/>
        <w:rPr>
          <w:rFonts w:eastAsia="MS PGothic" w:cs="Calibri"/>
          <w:b/>
          <w:bCs/>
          <w:iCs/>
          <w:color w:val="4F81BD"/>
          <w:lang w:val="en-US" w:eastAsia="zh-CN"/>
        </w:rPr>
      </w:pPr>
      <w:r w:rsidRPr="008C761D">
        <w:rPr>
          <w:rFonts w:eastAsia="MS PGothic" w:cs="Calibri"/>
          <w:b/>
          <w:bCs/>
          <w:iCs/>
          <w:color w:val="4F81BD"/>
          <w:lang w:val="en-US" w:eastAsia="zh-CN"/>
        </w:rPr>
        <w:t>Activity 2: Preparation of comprehensive tax expenditures report</w:t>
      </w:r>
      <w:r w:rsidR="00944D78">
        <w:rPr>
          <w:rFonts w:eastAsia="MS PGothic" w:cs="Calibri"/>
          <w:b/>
          <w:bCs/>
          <w:iCs/>
          <w:color w:val="4F81BD"/>
          <w:lang w:val="en-US" w:eastAsia="zh-CN"/>
        </w:rPr>
        <w:t xml:space="preserve"> </w:t>
      </w:r>
      <w:r w:rsidRPr="008C761D">
        <w:rPr>
          <w:rFonts w:eastAsia="MS PGothic" w:cs="Calibri"/>
          <w:b/>
          <w:bCs/>
          <w:iCs/>
          <w:color w:val="4F81BD"/>
          <w:lang w:val="en-US" w:eastAsia="zh-CN"/>
        </w:rPr>
        <w:t>on an annual basis and other tax reports in line with EU best practices</w:t>
      </w:r>
    </w:p>
    <w:p w14:paraId="181D374B" w14:textId="1E41AA48" w:rsidR="006C2EC1" w:rsidRPr="008C761D" w:rsidRDefault="006C2EC1" w:rsidP="006C2EC1">
      <w:pPr>
        <w:spacing w:line="240" w:lineRule="auto"/>
        <w:jc w:val="both"/>
        <w:rPr>
          <w:rFonts w:cs="Calibri"/>
          <w:lang w:val="en-US"/>
        </w:rPr>
      </w:pPr>
      <w:r w:rsidRPr="008C761D">
        <w:rPr>
          <w:rFonts w:cs="Calibri"/>
          <w:lang w:val="en-US"/>
        </w:rPr>
        <w:lastRenderedPageBreak/>
        <w:t xml:space="preserve">Proper and comprehensive estimation of tax expenditures that are </w:t>
      </w:r>
      <w:r w:rsidR="00944D78" w:rsidRPr="008C761D">
        <w:rPr>
          <w:rFonts w:cs="Calibri"/>
          <w:lang w:val="en-US"/>
        </w:rPr>
        <w:t>embedded</w:t>
      </w:r>
      <w:r w:rsidRPr="008C761D">
        <w:rPr>
          <w:rFonts w:cs="Calibri"/>
          <w:lang w:val="en-US"/>
        </w:rPr>
        <w:t xml:space="preserve"> into the national tax legislation and preparing comprehensive tax expenditure reports on a regular, annual basis is key for providing the national legislators and the general public with detailed information about the size of foregone tax revenues through different forms of tax deductions, excemptions, tax credits etc. Other types of tax reports (C-efficiency, inequality, impact</w:t>
      </w:r>
      <w:r w:rsidR="00944D78">
        <w:rPr>
          <w:rFonts w:cs="Calibri"/>
          <w:lang w:val="en-US"/>
        </w:rPr>
        <w:t xml:space="preserve"> </w:t>
      </w:r>
      <w:r w:rsidRPr="008C761D">
        <w:rPr>
          <w:rFonts w:cs="Calibri"/>
          <w:lang w:val="en-US"/>
        </w:rPr>
        <w:t>assessment</w:t>
      </w:r>
      <w:r w:rsidR="00944D78">
        <w:rPr>
          <w:rFonts w:cs="Calibri"/>
          <w:lang w:val="en-US"/>
        </w:rPr>
        <w:t xml:space="preserve"> </w:t>
      </w:r>
      <w:r w:rsidRPr="008C761D">
        <w:rPr>
          <w:rFonts w:cs="Calibri"/>
          <w:lang w:val="en-US"/>
        </w:rPr>
        <w:t>of</w:t>
      </w:r>
      <w:r w:rsidR="00944D78">
        <w:rPr>
          <w:rFonts w:cs="Calibri"/>
          <w:lang w:val="en-US"/>
        </w:rPr>
        <w:t xml:space="preserve"> </w:t>
      </w:r>
      <w:r w:rsidRPr="008C761D">
        <w:rPr>
          <w:rFonts w:cs="Calibri"/>
          <w:lang w:val="en-US"/>
        </w:rPr>
        <w:t>the MFN tariff</w:t>
      </w:r>
      <w:r w:rsidR="00944D78">
        <w:rPr>
          <w:rFonts w:cs="Calibri"/>
          <w:lang w:val="en-US"/>
        </w:rPr>
        <w:t xml:space="preserve"> </w:t>
      </w:r>
      <w:r w:rsidRPr="008C761D">
        <w:rPr>
          <w:rFonts w:cs="Calibri"/>
          <w:lang w:val="en-US"/>
        </w:rPr>
        <w:t>rates</w:t>
      </w:r>
      <w:r w:rsidR="00944D78">
        <w:rPr>
          <w:rFonts w:cs="Calibri"/>
          <w:lang w:val="en-US"/>
        </w:rPr>
        <w:t xml:space="preserve"> </w:t>
      </w:r>
      <w:r w:rsidRPr="008C761D">
        <w:rPr>
          <w:rFonts w:cs="Calibri"/>
          <w:lang w:val="en-US"/>
        </w:rPr>
        <w:t>with</w:t>
      </w:r>
      <w:r w:rsidR="00944D78">
        <w:rPr>
          <w:rFonts w:cs="Calibri"/>
          <w:lang w:val="en-US"/>
        </w:rPr>
        <w:t xml:space="preserve"> </w:t>
      </w:r>
      <w:r w:rsidRPr="008C761D">
        <w:rPr>
          <w:rFonts w:cs="Calibri"/>
          <w:lang w:val="en-US"/>
        </w:rPr>
        <w:t xml:space="preserve">the EU </w:t>
      </w:r>
      <w:proofErr w:type="gramStart"/>
      <w:r w:rsidRPr="008C761D">
        <w:rPr>
          <w:rFonts w:cs="Calibri"/>
          <w:lang w:val="en-US"/>
        </w:rPr>
        <w:t>CommonExternalTariff )are</w:t>
      </w:r>
      <w:proofErr w:type="gramEnd"/>
      <w:r w:rsidRPr="008C761D">
        <w:rPr>
          <w:rFonts w:cs="Calibri"/>
          <w:lang w:val="en-US"/>
        </w:rPr>
        <w:t xml:space="preserve"> also required for providing insights into the effectiveness and efficiency of the different tax instruments.</w:t>
      </w:r>
    </w:p>
    <w:p w14:paraId="0E053BD8" w14:textId="65562F73" w:rsidR="00126734" w:rsidRPr="008C761D" w:rsidRDefault="00126734" w:rsidP="00126734">
      <w:pPr>
        <w:spacing w:before="240" w:line="240" w:lineRule="auto"/>
        <w:jc w:val="both"/>
        <w:rPr>
          <w:rFonts w:cs="Calibri"/>
          <w:lang w:val="en-US"/>
        </w:rPr>
      </w:pPr>
      <w:r w:rsidRPr="008C761D">
        <w:rPr>
          <w:rFonts w:cs="Calibri"/>
          <w:lang w:val="en-US"/>
        </w:rPr>
        <w:t>This</w:t>
      </w:r>
      <w:r w:rsidR="00635D19" w:rsidRPr="008C761D">
        <w:rPr>
          <w:rFonts w:cs="Calibri"/>
          <w:lang w:val="en-US"/>
        </w:rPr>
        <w:t xml:space="preserve"> </w:t>
      </w:r>
      <w:r w:rsidRPr="008C761D">
        <w:rPr>
          <w:rFonts w:cs="Calibri"/>
          <w:lang w:val="en-US"/>
        </w:rPr>
        <w:t>activity</w:t>
      </w:r>
      <w:r w:rsidR="00635D19" w:rsidRPr="008C761D">
        <w:rPr>
          <w:rFonts w:cs="Calibri"/>
          <w:lang w:val="en-US"/>
        </w:rPr>
        <w:t xml:space="preserve"> </w:t>
      </w:r>
      <w:r w:rsidRPr="008C761D">
        <w:rPr>
          <w:rFonts w:cs="Calibri"/>
          <w:lang w:val="en-US"/>
        </w:rPr>
        <w:t>includes</w:t>
      </w:r>
      <w:r w:rsidR="00635D19" w:rsidRPr="008C761D">
        <w:rPr>
          <w:rFonts w:cs="Calibri"/>
          <w:lang w:val="en-US"/>
        </w:rPr>
        <w:t xml:space="preserve"> </w:t>
      </w:r>
      <w:r w:rsidRPr="008C761D">
        <w:rPr>
          <w:rFonts w:cs="Calibri"/>
          <w:lang w:val="en-US"/>
        </w:rPr>
        <w:t>the</w:t>
      </w:r>
      <w:r w:rsidR="00635D19" w:rsidRPr="008C761D">
        <w:rPr>
          <w:rFonts w:cs="Calibri"/>
          <w:lang w:val="en-US"/>
        </w:rPr>
        <w:t xml:space="preserve"> </w:t>
      </w:r>
      <w:r w:rsidRPr="008C761D">
        <w:rPr>
          <w:rFonts w:cs="Calibri"/>
          <w:lang w:val="en-US"/>
        </w:rPr>
        <w:t>following</w:t>
      </w:r>
      <w:r w:rsidR="00635D19" w:rsidRPr="008C761D">
        <w:rPr>
          <w:rFonts w:cs="Calibri"/>
          <w:lang w:val="en-US"/>
        </w:rPr>
        <w:t xml:space="preserve"> </w:t>
      </w:r>
      <w:r w:rsidRPr="008C761D">
        <w:rPr>
          <w:rFonts w:cs="Calibri"/>
          <w:lang w:val="en-US"/>
        </w:rPr>
        <w:t>sub-activities</w:t>
      </w:r>
      <w:r w:rsidR="00635D19" w:rsidRPr="008C761D">
        <w:rPr>
          <w:rFonts w:cs="Calibri"/>
          <w:lang w:val="en-US"/>
        </w:rPr>
        <w:t xml:space="preserve"> </w:t>
      </w:r>
      <w:r w:rsidRPr="008C761D">
        <w:rPr>
          <w:rFonts w:cs="Calibri"/>
          <w:lang w:val="en-US"/>
        </w:rPr>
        <w:t>for</w:t>
      </w:r>
      <w:r w:rsidR="00635D19" w:rsidRPr="008C761D">
        <w:rPr>
          <w:rFonts w:cs="Calibri"/>
          <w:lang w:val="en-US"/>
        </w:rPr>
        <w:t xml:space="preserve"> </w:t>
      </w:r>
      <w:r w:rsidRPr="008C761D">
        <w:rPr>
          <w:rFonts w:cs="Calibri"/>
          <w:lang w:val="en-US"/>
        </w:rPr>
        <w:t>preparing</w:t>
      </w:r>
      <w:r w:rsidR="00635D19" w:rsidRPr="008C761D">
        <w:rPr>
          <w:rFonts w:cs="Calibri"/>
          <w:lang w:val="en-US"/>
        </w:rPr>
        <w:t xml:space="preserve"> </w:t>
      </w:r>
      <w:r w:rsidRPr="008C761D">
        <w:rPr>
          <w:rFonts w:cs="Calibri"/>
          <w:lang w:val="en-US"/>
        </w:rPr>
        <w:t>reports</w:t>
      </w:r>
      <w:r w:rsidR="00635D19" w:rsidRPr="008C761D">
        <w:rPr>
          <w:rFonts w:cs="Calibri"/>
          <w:lang w:val="en-US"/>
        </w:rPr>
        <w:t xml:space="preserve"> </w:t>
      </w:r>
      <w:r w:rsidRPr="008C761D">
        <w:rPr>
          <w:rFonts w:cs="Calibri"/>
          <w:lang w:val="en-US"/>
        </w:rPr>
        <w:t>on</w:t>
      </w:r>
      <w:r w:rsidR="00635D19" w:rsidRPr="008C761D">
        <w:rPr>
          <w:rFonts w:cs="Calibri"/>
          <w:lang w:val="en-US"/>
        </w:rPr>
        <w:t xml:space="preserve"> </w:t>
      </w:r>
      <w:r w:rsidRPr="008C761D">
        <w:rPr>
          <w:rFonts w:cs="Calibri"/>
          <w:lang w:val="en-US"/>
        </w:rPr>
        <w:t>annual</w:t>
      </w:r>
      <w:r w:rsidR="00635D19" w:rsidRPr="008C761D">
        <w:rPr>
          <w:rFonts w:cs="Calibri"/>
          <w:lang w:val="en-US"/>
        </w:rPr>
        <w:t xml:space="preserve"> </w:t>
      </w:r>
      <w:r w:rsidRPr="008C761D">
        <w:rPr>
          <w:rFonts w:cs="Calibri"/>
          <w:lang w:val="en-US"/>
        </w:rPr>
        <w:t>basis</w:t>
      </w:r>
      <w:r w:rsidR="00635D19" w:rsidRPr="008C761D">
        <w:rPr>
          <w:rFonts w:cs="Calibri"/>
          <w:lang w:val="en-US"/>
        </w:rPr>
        <w:t xml:space="preserve"> </w:t>
      </w:r>
      <w:proofErr w:type="gramStart"/>
      <w:r w:rsidRPr="008C761D">
        <w:rPr>
          <w:rFonts w:cs="Calibri"/>
          <w:lang w:val="en-US"/>
        </w:rPr>
        <w:t>for :</w:t>
      </w:r>
      <w:proofErr w:type="gramEnd"/>
    </w:p>
    <w:p w14:paraId="79D57733" w14:textId="30E9ABEA" w:rsidR="00126734" w:rsidRPr="008C761D" w:rsidRDefault="00126734" w:rsidP="00126734">
      <w:pPr>
        <w:spacing w:before="240" w:line="240" w:lineRule="auto"/>
        <w:jc w:val="both"/>
        <w:rPr>
          <w:rFonts w:cs="Calibri"/>
          <w:lang w:val="en-US"/>
        </w:rPr>
      </w:pPr>
      <w:r w:rsidRPr="008C761D">
        <w:rPr>
          <w:rFonts w:cs="Calibri"/>
          <w:lang w:val="en-US"/>
        </w:rPr>
        <w:t>Tax</w:t>
      </w:r>
      <w:r w:rsidR="00635D19" w:rsidRPr="008C761D">
        <w:rPr>
          <w:rFonts w:cs="Calibri"/>
          <w:lang w:val="en-US"/>
        </w:rPr>
        <w:t xml:space="preserve"> </w:t>
      </w:r>
      <w:r w:rsidRPr="008C761D">
        <w:rPr>
          <w:rFonts w:cs="Calibri"/>
          <w:lang w:val="en-US"/>
        </w:rPr>
        <w:t>expenditures</w:t>
      </w:r>
      <w:r w:rsidR="00635D19" w:rsidRPr="008C761D">
        <w:rPr>
          <w:rFonts w:cs="Calibri"/>
          <w:lang w:val="en-US"/>
        </w:rPr>
        <w:t xml:space="preserve"> </w:t>
      </w:r>
      <w:r w:rsidRPr="008C761D">
        <w:rPr>
          <w:rFonts w:cs="Calibri"/>
          <w:lang w:val="en-US"/>
        </w:rPr>
        <w:t>Report;</w:t>
      </w:r>
    </w:p>
    <w:p w14:paraId="0D4AE667" w14:textId="77777777" w:rsidR="00126734" w:rsidRPr="008C761D" w:rsidRDefault="00126734" w:rsidP="00126734">
      <w:pPr>
        <w:spacing w:before="240" w:line="240" w:lineRule="auto"/>
        <w:jc w:val="both"/>
        <w:rPr>
          <w:rFonts w:cs="Calibri"/>
          <w:lang w:val="en-US"/>
        </w:rPr>
      </w:pPr>
      <w:r w:rsidRPr="008C761D">
        <w:rPr>
          <w:rFonts w:cs="Calibri"/>
          <w:lang w:val="en-US"/>
        </w:rPr>
        <w:t>VAT-GAP Report;</w:t>
      </w:r>
    </w:p>
    <w:p w14:paraId="0D75AF19" w14:textId="77777777" w:rsidR="00126734" w:rsidRPr="008C761D" w:rsidRDefault="00126734" w:rsidP="00126734">
      <w:pPr>
        <w:spacing w:before="240" w:line="240" w:lineRule="auto"/>
        <w:jc w:val="both"/>
        <w:rPr>
          <w:rFonts w:cs="Calibri"/>
          <w:lang w:val="en-US"/>
        </w:rPr>
      </w:pPr>
      <w:r w:rsidRPr="008C761D">
        <w:rPr>
          <w:rFonts w:cs="Calibri"/>
          <w:lang w:val="en-US"/>
        </w:rPr>
        <w:t xml:space="preserve">C-efficiency; </w:t>
      </w:r>
    </w:p>
    <w:p w14:paraId="76CB15F7" w14:textId="19F779A2" w:rsidR="00126734" w:rsidRPr="008C761D" w:rsidRDefault="00126734" w:rsidP="00126734">
      <w:pPr>
        <w:spacing w:before="240" w:line="240" w:lineRule="auto"/>
        <w:jc w:val="both"/>
        <w:rPr>
          <w:rFonts w:cs="Calibri"/>
          <w:lang w:val="en-US"/>
        </w:rPr>
      </w:pPr>
      <w:r w:rsidRPr="008C761D">
        <w:rPr>
          <w:rFonts w:cs="Calibri"/>
          <w:lang w:val="en-US"/>
        </w:rPr>
        <w:t>Tax</w:t>
      </w:r>
      <w:r w:rsidR="00635D19" w:rsidRPr="008C761D">
        <w:rPr>
          <w:rFonts w:cs="Calibri"/>
          <w:lang w:val="en-US"/>
        </w:rPr>
        <w:t xml:space="preserve"> </w:t>
      </w:r>
      <w:r w:rsidRPr="008C761D">
        <w:rPr>
          <w:rFonts w:cs="Calibri"/>
          <w:lang w:val="en-US"/>
        </w:rPr>
        <w:t>buoyancy</w:t>
      </w:r>
      <w:r w:rsidR="00635D19" w:rsidRPr="008C761D">
        <w:rPr>
          <w:rFonts w:cs="Calibri"/>
          <w:lang w:val="en-US"/>
        </w:rPr>
        <w:t xml:space="preserve"> </w:t>
      </w:r>
      <w:r w:rsidRPr="008C761D">
        <w:rPr>
          <w:rFonts w:cs="Calibri"/>
          <w:lang w:val="en-US"/>
        </w:rPr>
        <w:t>and</w:t>
      </w:r>
      <w:r w:rsidR="00635D19" w:rsidRPr="008C761D">
        <w:rPr>
          <w:rFonts w:cs="Calibri"/>
          <w:lang w:val="en-US"/>
        </w:rPr>
        <w:t xml:space="preserve"> </w:t>
      </w:r>
      <w:r w:rsidRPr="008C761D">
        <w:rPr>
          <w:rFonts w:cs="Calibri"/>
          <w:lang w:val="en-US"/>
        </w:rPr>
        <w:t>tax</w:t>
      </w:r>
      <w:r w:rsidR="00635D19" w:rsidRPr="008C761D">
        <w:rPr>
          <w:rFonts w:cs="Calibri"/>
          <w:lang w:val="en-US"/>
        </w:rPr>
        <w:t xml:space="preserve"> </w:t>
      </w:r>
      <w:r w:rsidRPr="008C761D">
        <w:rPr>
          <w:rFonts w:cs="Calibri"/>
          <w:lang w:val="en-US"/>
        </w:rPr>
        <w:t xml:space="preserve">elasticity; </w:t>
      </w:r>
    </w:p>
    <w:p w14:paraId="6816944C" w14:textId="717AC0CF" w:rsidR="00126734" w:rsidRPr="008C761D" w:rsidRDefault="00126734" w:rsidP="00126734">
      <w:pPr>
        <w:spacing w:before="240" w:line="240" w:lineRule="auto"/>
        <w:jc w:val="both"/>
        <w:rPr>
          <w:rFonts w:cs="Calibri"/>
          <w:lang w:val="en-US"/>
        </w:rPr>
      </w:pPr>
      <w:r w:rsidRPr="008C761D">
        <w:rPr>
          <w:rFonts w:cs="Calibri"/>
          <w:lang w:val="en-US"/>
        </w:rPr>
        <w:t>Income</w:t>
      </w:r>
      <w:r w:rsidR="00635D19" w:rsidRPr="008C761D">
        <w:rPr>
          <w:rFonts w:cs="Calibri"/>
          <w:lang w:val="en-US"/>
        </w:rPr>
        <w:t xml:space="preserve"> </w:t>
      </w:r>
      <w:r w:rsidRPr="008C761D">
        <w:rPr>
          <w:rFonts w:cs="Calibri"/>
          <w:lang w:val="en-US"/>
        </w:rPr>
        <w:t>inequality</w:t>
      </w:r>
      <w:r w:rsidR="00635D19" w:rsidRPr="008C761D">
        <w:rPr>
          <w:rFonts w:cs="Calibri"/>
          <w:lang w:val="en-US"/>
        </w:rPr>
        <w:t xml:space="preserve"> </w:t>
      </w:r>
      <w:r w:rsidRPr="008C761D">
        <w:rPr>
          <w:rFonts w:cs="Calibri"/>
          <w:lang w:val="en-US"/>
        </w:rPr>
        <w:t>report</w:t>
      </w:r>
      <w:r w:rsidR="00635D19" w:rsidRPr="008C761D">
        <w:rPr>
          <w:rFonts w:cs="Calibri"/>
          <w:lang w:val="en-US"/>
        </w:rPr>
        <w:t xml:space="preserve"> </w:t>
      </w:r>
      <w:r w:rsidRPr="008C761D">
        <w:rPr>
          <w:rFonts w:cs="Calibri"/>
          <w:lang w:val="en-US"/>
        </w:rPr>
        <w:t>based</w:t>
      </w:r>
      <w:r w:rsidR="00635D19" w:rsidRPr="008C761D">
        <w:rPr>
          <w:rFonts w:cs="Calibri"/>
          <w:lang w:val="en-US"/>
        </w:rPr>
        <w:t xml:space="preserve"> </w:t>
      </w:r>
      <w:r w:rsidRPr="008C761D">
        <w:rPr>
          <w:rFonts w:cs="Calibri"/>
          <w:lang w:val="en-US"/>
        </w:rPr>
        <w:t>on</w:t>
      </w:r>
      <w:r w:rsidR="00635D19" w:rsidRPr="008C761D">
        <w:rPr>
          <w:rFonts w:cs="Calibri"/>
          <w:lang w:val="en-US"/>
        </w:rPr>
        <w:t xml:space="preserve"> </w:t>
      </w:r>
      <w:r w:rsidRPr="008C761D">
        <w:rPr>
          <w:rFonts w:cs="Calibri"/>
          <w:lang w:val="en-US"/>
        </w:rPr>
        <w:t>micro-data</w:t>
      </w:r>
      <w:r w:rsidR="00635D19" w:rsidRPr="008C761D">
        <w:rPr>
          <w:rFonts w:cs="Calibri"/>
          <w:lang w:val="en-US"/>
        </w:rPr>
        <w:t xml:space="preserve"> </w:t>
      </w:r>
      <w:r w:rsidRPr="008C761D">
        <w:rPr>
          <w:rFonts w:cs="Calibri"/>
          <w:lang w:val="en-US"/>
        </w:rPr>
        <w:t xml:space="preserve">from PRO; </w:t>
      </w:r>
    </w:p>
    <w:p w14:paraId="45441348" w14:textId="48B11AD6" w:rsidR="00126734" w:rsidRPr="008C761D" w:rsidRDefault="00126734" w:rsidP="00126734">
      <w:pPr>
        <w:spacing w:before="240" w:line="240" w:lineRule="auto"/>
        <w:jc w:val="both"/>
        <w:rPr>
          <w:rFonts w:cs="Calibri"/>
          <w:lang w:val="en-US"/>
        </w:rPr>
      </w:pPr>
      <w:r w:rsidRPr="008C761D">
        <w:rPr>
          <w:rFonts w:cs="Calibri"/>
          <w:lang w:val="en-US"/>
        </w:rPr>
        <w:t>Report</w:t>
      </w:r>
      <w:r w:rsidR="00635D19" w:rsidRPr="008C761D">
        <w:rPr>
          <w:rFonts w:cs="Calibri"/>
          <w:lang w:val="en-US"/>
        </w:rPr>
        <w:t xml:space="preserve"> </w:t>
      </w:r>
      <w:r w:rsidRPr="008C761D">
        <w:rPr>
          <w:rFonts w:cs="Calibri"/>
          <w:lang w:val="en-US"/>
        </w:rPr>
        <w:t>about</w:t>
      </w:r>
      <w:r w:rsidR="00635D19" w:rsidRPr="008C761D">
        <w:rPr>
          <w:rFonts w:cs="Calibri"/>
          <w:lang w:val="en-US"/>
        </w:rPr>
        <w:t xml:space="preserve"> </w:t>
      </w:r>
      <w:r w:rsidRPr="008C761D">
        <w:rPr>
          <w:rFonts w:cs="Calibri"/>
          <w:lang w:val="en-US"/>
        </w:rPr>
        <w:t>Cost-of-collection</w:t>
      </w:r>
      <w:r w:rsidR="00635D19" w:rsidRPr="008C761D">
        <w:rPr>
          <w:rFonts w:cs="Calibri"/>
          <w:lang w:val="en-US"/>
        </w:rPr>
        <w:t xml:space="preserve"> </w:t>
      </w:r>
      <w:r w:rsidRPr="008C761D">
        <w:rPr>
          <w:rFonts w:cs="Calibri"/>
          <w:lang w:val="en-US"/>
        </w:rPr>
        <w:t>ratio;</w:t>
      </w:r>
    </w:p>
    <w:p w14:paraId="5FA48BAB" w14:textId="26111AEB" w:rsidR="00126734" w:rsidRPr="008C761D" w:rsidRDefault="00126734" w:rsidP="00126734">
      <w:pPr>
        <w:spacing w:before="240" w:line="240" w:lineRule="auto"/>
        <w:jc w:val="both"/>
        <w:rPr>
          <w:rFonts w:cs="Calibri"/>
          <w:lang w:val="en-US"/>
        </w:rPr>
      </w:pPr>
      <w:r w:rsidRPr="008C761D">
        <w:rPr>
          <w:rFonts w:cs="Calibri"/>
          <w:lang w:val="en-US"/>
        </w:rPr>
        <w:t>Report</w:t>
      </w:r>
      <w:r w:rsidR="00635D19" w:rsidRPr="008C761D">
        <w:rPr>
          <w:rFonts w:cs="Calibri"/>
          <w:lang w:val="en-US"/>
        </w:rPr>
        <w:t xml:space="preserve"> </w:t>
      </w:r>
      <w:r w:rsidRPr="008C761D">
        <w:rPr>
          <w:rFonts w:cs="Calibri"/>
          <w:lang w:val="en-US"/>
        </w:rPr>
        <w:t>for</w:t>
      </w:r>
      <w:r w:rsidR="00635D19" w:rsidRPr="008C761D">
        <w:rPr>
          <w:rFonts w:cs="Calibri"/>
          <w:lang w:val="en-US"/>
        </w:rPr>
        <w:t xml:space="preserve"> </w:t>
      </w:r>
      <w:r w:rsidRPr="008C761D">
        <w:rPr>
          <w:rFonts w:cs="Calibri"/>
          <w:lang w:val="en-US"/>
        </w:rPr>
        <w:t>effective</w:t>
      </w:r>
      <w:r w:rsidR="00635D19" w:rsidRPr="008C761D">
        <w:rPr>
          <w:rFonts w:cs="Calibri"/>
          <w:lang w:val="en-US"/>
        </w:rPr>
        <w:t xml:space="preserve"> </w:t>
      </w:r>
      <w:r w:rsidRPr="008C761D">
        <w:rPr>
          <w:rFonts w:cs="Calibri"/>
          <w:lang w:val="en-US"/>
        </w:rPr>
        <w:t>marginal</w:t>
      </w:r>
      <w:r w:rsidR="00635D19" w:rsidRPr="008C761D">
        <w:rPr>
          <w:rFonts w:cs="Calibri"/>
          <w:lang w:val="en-US"/>
        </w:rPr>
        <w:t xml:space="preserve"> </w:t>
      </w:r>
      <w:r w:rsidRPr="008C761D">
        <w:rPr>
          <w:rFonts w:cs="Calibri"/>
          <w:lang w:val="en-US"/>
        </w:rPr>
        <w:t>tax</w:t>
      </w:r>
      <w:r w:rsidR="00635D19" w:rsidRPr="008C761D">
        <w:rPr>
          <w:rFonts w:cs="Calibri"/>
          <w:lang w:val="en-US"/>
        </w:rPr>
        <w:t xml:space="preserve"> </w:t>
      </w:r>
      <w:r w:rsidRPr="008C761D">
        <w:rPr>
          <w:rFonts w:cs="Calibri"/>
          <w:lang w:val="en-US"/>
        </w:rPr>
        <w:t>rates (EMTRs) and</w:t>
      </w:r>
      <w:r w:rsidR="00635D19" w:rsidRPr="008C761D">
        <w:rPr>
          <w:rFonts w:cs="Calibri"/>
          <w:lang w:val="en-US"/>
        </w:rPr>
        <w:t xml:space="preserve"> </w:t>
      </w:r>
      <w:r w:rsidRPr="008C761D">
        <w:rPr>
          <w:rFonts w:cs="Calibri"/>
          <w:lang w:val="en-US"/>
        </w:rPr>
        <w:t>effective</w:t>
      </w:r>
      <w:r w:rsidR="00635D19" w:rsidRPr="008C761D">
        <w:rPr>
          <w:rFonts w:cs="Calibri"/>
          <w:lang w:val="en-US"/>
        </w:rPr>
        <w:t xml:space="preserve"> </w:t>
      </w:r>
      <w:r w:rsidRPr="008C761D">
        <w:rPr>
          <w:rFonts w:cs="Calibri"/>
          <w:lang w:val="en-US"/>
        </w:rPr>
        <w:t>average</w:t>
      </w:r>
      <w:r w:rsidR="00635D19" w:rsidRPr="008C761D">
        <w:rPr>
          <w:rFonts w:cs="Calibri"/>
          <w:lang w:val="en-US"/>
        </w:rPr>
        <w:t xml:space="preserve"> </w:t>
      </w:r>
      <w:r w:rsidRPr="008C761D">
        <w:rPr>
          <w:rFonts w:cs="Calibri"/>
          <w:lang w:val="en-US"/>
        </w:rPr>
        <w:t>tax</w:t>
      </w:r>
      <w:r w:rsidR="00635D19" w:rsidRPr="008C761D">
        <w:rPr>
          <w:rFonts w:cs="Calibri"/>
          <w:lang w:val="en-US"/>
        </w:rPr>
        <w:t xml:space="preserve"> </w:t>
      </w:r>
      <w:r w:rsidRPr="008C761D">
        <w:rPr>
          <w:rFonts w:cs="Calibri"/>
          <w:lang w:val="en-US"/>
        </w:rPr>
        <w:t>rates (EATRs);</w:t>
      </w:r>
    </w:p>
    <w:p w14:paraId="62D6FC67" w14:textId="77777777" w:rsidR="00D91B99" w:rsidRPr="008C761D" w:rsidRDefault="00D91B99" w:rsidP="00E84CD0">
      <w:pPr>
        <w:spacing w:before="24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D91B99" w:rsidRPr="008C761D" w14:paraId="604FF66D" w14:textId="77777777" w:rsidTr="00A64926">
        <w:tc>
          <w:tcPr>
            <w:tcW w:w="3119" w:type="dxa"/>
            <w:tcBorders>
              <w:top w:val="nil"/>
              <w:bottom w:val="single" w:sz="4" w:space="0" w:color="FFFFFF"/>
            </w:tcBorders>
            <w:shd w:val="clear" w:color="auto" w:fill="002060"/>
          </w:tcPr>
          <w:p w14:paraId="6C9DF446" w14:textId="4B0402B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9F07BB" w:rsidRPr="008C761D">
              <w:rPr>
                <w:rFonts w:cs="Calibri"/>
                <w:b/>
                <w:color w:val="FFFFFF"/>
                <w:sz w:val="20"/>
                <w:szCs w:val="20"/>
                <w:lang w:val="en-US"/>
              </w:rPr>
              <w:t xml:space="preserve"> </w:t>
            </w:r>
            <w:r w:rsidRPr="008C761D">
              <w:rPr>
                <w:rFonts w:cs="Calibri"/>
                <w:b/>
                <w:color w:val="FFFFFF"/>
                <w:sz w:val="20"/>
                <w:szCs w:val="20"/>
                <w:lang w:val="en-US"/>
              </w:rPr>
              <w:t>in</w:t>
            </w:r>
            <w:r w:rsidR="009F07BB" w:rsidRPr="008C761D">
              <w:rPr>
                <w:rFonts w:cs="Calibri"/>
                <w:b/>
                <w:color w:val="FFFFFF"/>
                <w:sz w:val="20"/>
                <w:szCs w:val="20"/>
                <w:lang w:val="en-US"/>
              </w:rPr>
              <w:t xml:space="preserve"> </w:t>
            </w:r>
            <w:r w:rsidRPr="008C761D">
              <w:rPr>
                <w:rFonts w:cs="Calibri"/>
                <w:b/>
                <w:color w:val="FFFFFF"/>
                <w:sz w:val="20"/>
                <w:szCs w:val="20"/>
                <w:lang w:val="en-US"/>
              </w:rPr>
              <w:t>year:</w:t>
            </w:r>
          </w:p>
        </w:tc>
        <w:tc>
          <w:tcPr>
            <w:tcW w:w="5645" w:type="dxa"/>
            <w:tcBorders>
              <w:top w:val="nil"/>
              <w:bottom w:val="single" w:sz="4" w:space="0" w:color="FFFFFF"/>
            </w:tcBorders>
            <w:shd w:val="clear" w:color="auto" w:fill="D9E2F3"/>
          </w:tcPr>
          <w:p w14:paraId="02B1211D" w14:textId="599A03E7" w:rsidR="00D91B99" w:rsidRPr="008C761D" w:rsidRDefault="00936202" w:rsidP="00E84CD0">
            <w:pPr>
              <w:spacing w:line="240" w:lineRule="auto"/>
              <w:jc w:val="both"/>
              <w:rPr>
                <w:rFonts w:cs="Calibri"/>
                <w:sz w:val="20"/>
                <w:szCs w:val="20"/>
                <w:lang w:val="en-US"/>
              </w:rPr>
            </w:pPr>
            <w:r w:rsidRPr="008C761D">
              <w:rPr>
                <w:rFonts w:cs="Calibri"/>
                <w:sz w:val="20"/>
                <w:szCs w:val="20"/>
                <w:lang w:val="en-US"/>
              </w:rPr>
              <w:t>202</w:t>
            </w:r>
            <w:r w:rsidR="00635D19" w:rsidRPr="008C761D">
              <w:rPr>
                <w:rFonts w:cs="Calibri"/>
                <w:sz w:val="20"/>
                <w:szCs w:val="20"/>
                <w:lang w:val="en-US"/>
              </w:rPr>
              <w:t>5</w:t>
            </w:r>
          </w:p>
        </w:tc>
      </w:tr>
      <w:tr w:rsidR="00D91B99" w:rsidRPr="008C761D" w14:paraId="1AC2743A" w14:textId="77777777" w:rsidTr="00A64926">
        <w:tc>
          <w:tcPr>
            <w:tcW w:w="3119" w:type="dxa"/>
            <w:tcBorders>
              <w:top w:val="single" w:sz="4" w:space="0" w:color="FFFFFF"/>
              <w:bottom w:val="single" w:sz="4" w:space="0" w:color="FFFFFF"/>
            </w:tcBorders>
            <w:shd w:val="clear" w:color="auto" w:fill="002060"/>
          </w:tcPr>
          <w:p w14:paraId="76ADA9D5" w14:textId="7777777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7F595958" w14:textId="4B0B79A6"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Data</w:t>
            </w:r>
            <w:r w:rsidR="00C63C13" w:rsidRPr="008C761D">
              <w:rPr>
                <w:rFonts w:cs="Calibri"/>
                <w:sz w:val="20"/>
                <w:szCs w:val="20"/>
                <w:lang w:val="en-US"/>
              </w:rPr>
              <w:t xml:space="preserve"> </w:t>
            </w:r>
            <w:r w:rsidRPr="008C761D">
              <w:rPr>
                <w:rFonts w:cs="Calibri"/>
                <w:sz w:val="20"/>
                <w:szCs w:val="20"/>
                <w:lang w:val="en-US"/>
              </w:rPr>
              <w:t>sharing</w:t>
            </w:r>
            <w:r w:rsidR="00C63C13" w:rsidRPr="008C761D">
              <w:rPr>
                <w:rFonts w:cs="Calibri"/>
                <w:sz w:val="20"/>
                <w:szCs w:val="20"/>
                <w:lang w:val="en-US"/>
              </w:rPr>
              <w:t xml:space="preserve"> </w:t>
            </w:r>
            <w:r w:rsidRPr="008C761D">
              <w:rPr>
                <w:rFonts w:cs="Calibri"/>
                <w:sz w:val="20"/>
                <w:szCs w:val="20"/>
                <w:lang w:val="en-US"/>
              </w:rPr>
              <w:t>protocols</w:t>
            </w:r>
            <w:r w:rsidR="00C63C13" w:rsidRPr="008C761D">
              <w:rPr>
                <w:rFonts w:cs="Calibri"/>
                <w:sz w:val="20"/>
                <w:szCs w:val="20"/>
                <w:lang w:val="en-US"/>
              </w:rPr>
              <w:t xml:space="preserve"> </w:t>
            </w:r>
            <w:r w:rsidRPr="008C761D">
              <w:rPr>
                <w:rFonts w:cs="Calibri"/>
                <w:sz w:val="20"/>
                <w:szCs w:val="20"/>
                <w:lang w:val="en-US"/>
              </w:rPr>
              <w:t>are</w:t>
            </w:r>
            <w:r w:rsidR="00C63C13" w:rsidRPr="008C761D">
              <w:rPr>
                <w:rFonts w:cs="Calibri"/>
                <w:sz w:val="20"/>
                <w:szCs w:val="20"/>
                <w:lang w:val="en-US"/>
              </w:rPr>
              <w:t xml:space="preserve"> </w:t>
            </w:r>
            <w:r w:rsidRPr="008C761D">
              <w:rPr>
                <w:rFonts w:cs="Calibri"/>
                <w:sz w:val="20"/>
                <w:szCs w:val="20"/>
                <w:lang w:val="en-US"/>
              </w:rPr>
              <w:t>signed</w:t>
            </w:r>
            <w:r w:rsidR="00C63C13" w:rsidRPr="008C761D">
              <w:rPr>
                <w:rFonts w:cs="Calibri"/>
                <w:sz w:val="20"/>
                <w:szCs w:val="20"/>
                <w:lang w:val="en-US"/>
              </w:rPr>
              <w:t xml:space="preserve"> </w:t>
            </w:r>
            <w:r w:rsidRPr="008C761D">
              <w:rPr>
                <w:rFonts w:cs="Calibri"/>
                <w:sz w:val="20"/>
                <w:szCs w:val="20"/>
                <w:lang w:val="en-US"/>
              </w:rPr>
              <w:t>and</w:t>
            </w:r>
            <w:r w:rsidR="00C63C13" w:rsidRPr="008C761D">
              <w:rPr>
                <w:rFonts w:cs="Calibri"/>
                <w:sz w:val="20"/>
                <w:szCs w:val="20"/>
                <w:lang w:val="en-US"/>
              </w:rPr>
              <w:t xml:space="preserve"> </w:t>
            </w:r>
            <w:r w:rsidRPr="008C761D">
              <w:rPr>
                <w:rFonts w:cs="Calibri"/>
                <w:sz w:val="20"/>
                <w:szCs w:val="20"/>
                <w:lang w:val="en-US"/>
              </w:rPr>
              <w:t>effectively</w:t>
            </w:r>
            <w:r w:rsidR="00C63C13" w:rsidRPr="008C761D">
              <w:rPr>
                <w:rFonts w:cs="Calibri"/>
                <w:sz w:val="20"/>
                <w:szCs w:val="20"/>
                <w:lang w:val="en-US"/>
              </w:rPr>
              <w:t xml:space="preserve"> </w:t>
            </w:r>
            <w:r w:rsidRPr="008C761D">
              <w:rPr>
                <w:rFonts w:cs="Calibri"/>
                <w:sz w:val="20"/>
                <w:szCs w:val="20"/>
                <w:lang w:val="en-US"/>
              </w:rPr>
              <w:t>implemented;</w:t>
            </w:r>
          </w:p>
          <w:p w14:paraId="21C586AC" w14:textId="107B0F3C"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Prepared</w:t>
            </w:r>
            <w:r w:rsidR="00C63C13" w:rsidRPr="008C761D">
              <w:rPr>
                <w:rFonts w:cs="Calibri"/>
                <w:sz w:val="20"/>
                <w:szCs w:val="20"/>
                <w:lang w:val="en-US"/>
              </w:rPr>
              <w:t xml:space="preserve"> </w:t>
            </w:r>
            <w:r w:rsidRPr="008C761D">
              <w:rPr>
                <w:rFonts w:cs="Calibri"/>
                <w:sz w:val="20"/>
                <w:szCs w:val="20"/>
                <w:lang w:val="en-US"/>
              </w:rPr>
              <w:t>Tax</w:t>
            </w:r>
            <w:r w:rsidR="00C63C13" w:rsidRPr="008C761D">
              <w:rPr>
                <w:rFonts w:cs="Calibri"/>
                <w:sz w:val="20"/>
                <w:szCs w:val="20"/>
                <w:lang w:val="en-US"/>
              </w:rPr>
              <w:t xml:space="preserve"> </w:t>
            </w:r>
            <w:r w:rsidRPr="008C761D">
              <w:rPr>
                <w:rFonts w:cs="Calibri"/>
                <w:sz w:val="20"/>
                <w:szCs w:val="20"/>
                <w:lang w:val="en-US"/>
              </w:rPr>
              <w:t>Expenditures</w:t>
            </w:r>
            <w:r w:rsidR="00C63C13" w:rsidRPr="008C761D">
              <w:rPr>
                <w:rFonts w:cs="Calibri"/>
                <w:sz w:val="20"/>
                <w:szCs w:val="20"/>
                <w:lang w:val="en-US"/>
              </w:rPr>
              <w:t xml:space="preserve"> </w:t>
            </w:r>
            <w:r w:rsidRPr="008C761D">
              <w:rPr>
                <w:rFonts w:cs="Calibri"/>
                <w:sz w:val="20"/>
                <w:szCs w:val="20"/>
                <w:lang w:val="en-US"/>
              </w:rPr>
              <w:t>Report;</w:t>
            </w:r>
          </w:p>
          <w:p w14:paraId="31CC3825" w14:textId="31016B49"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Prepared</w:t>
            </w:r>
            <w:r w:rsidR="00C63C13" w:rsidRPr="008C761D">
              <w:rPr>
                <w:rFonts w:cs="Calibri"/>
                <w:sz w:val="20"/>
                <w:szCs w:val="20"/>
                <w:lang w:val="en-US"/>
              </w:rPr>
              <w:t xml:space="preserve"> </w:t>
            </w:r>
            <w:r w:rsidRPr="008C761D">
              <w:rPr>
                <w:rFonts w:cs="Calibri"/>
                <w:sz w:val="20"/>
                <w:szCs w:val="20"/>
                <w:lang w:val="en-US"/>
              </w:rPr>
              <w:t>other</w:t>
            </w:r>
            <w:r w:rsidR="00C63C13" w:rsidRPr="008C761D">
              <w:rPr>
                <w:rFonts w:cs="Calibri"/>
                <w:sz w:val="20"/>
                <w:szCs w:val="20"/>
                <w:lang w:val="en-US"/>
              </w:rPr>
              <w:t xml:space="preserve"> </w:t>
            </w:r>
            <w:r w:rsidRPr="008C761D">
              <w:rPr>
                <w:rFonts w:cs="Calibri"/>
                <w:sz w:val="20"/>
                <w:szCs w:val="20"/>
                <w:lang w:val="en-US"/>
              </w:rPr>
              <w:t>tax</w:t>
            </w:r>
            <w:r w:rsidR="00C63C13" w:rsidRPr="008C761D">
              <w:rPr>
                <w:rFonts w:cs="Calibri"/>
                <w:sz w:val="20"/>
                <w:szCs w:val="20"/>
                <w:lang w:val="en-US"/>
              </w:rPr>
              <w:t xml:space="preserve"> </w:t>
            </w:r>
            <w:r w:rsidRPr="008C761D">
              <w:rPr>
                <w:rFonts w:cs="Calibri"/>
                <w:sz w:val="20"/>
                <w:szCs w:val="20"/>
                <w:lang w:val="en-US"/>
              </w:rPr>
              <w:t xml:space="preserve">reports: </w:t>
            </w:r>
          </w:p>
          <w:p w14:paraId="0292BE1C" w14:textId="7777777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VAT-GAP Report;</w:t>
            </w:r>
          </w:p>
          <w:p w14:paraId="5293E368" w14:textId="7777777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C-efficiencyReport;</w:t>
            </w:r>
          </w:p>
          <w:p w14:paraId="0E87DF35" w14:textId="2DD234DA"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Tax</w:t>
            </w:r>
            <w:r w:rsidR="00C63C13" w:rsidRPr="008C761D">
              <w:rPr>
                <w:rFonts w:cs="Calibri"/>
                <w:sz w:val="20"/>
                <w:szCs w:val="20"/>
                <w:lang w:val="en-US"/>
              </w:rPr>
              <w:t xml:space="preserve"> </w:t>
            </w:r>
            <w:r w:rsidRPr="008C761D">
              <w:rPr>
                <w:rFonts w:cs="Calibri"/>
                <w:sz w:val="20"/>
                <w:szCs w:val="20"/>
                <w:lang w:val="en-US"/>
              </w:rPr>
              <w:t>buoyancy</w:t>
            </w:r>
            <w:r w:rsidR="00C63C13" w:rsidRPr="008C761D">
              <w:rPr>
                <w:rFonts w:cs="Calibri"/>
                <w:sz w:val="20"/>
                <w:szCs w:val="20"/>
                <w:lang w:val="en-US"/>
              </w:rPr>
              <w:t xml:space="preserve"> </w:t>
            </w:r>
            <w:r w:rsidRPr="008C761D">
              <w:rPr>
                <w:rFonts w:cs="Calibri"/>
                <w:sz w:val="20"/>
                <w:szCs w:val="20"/>
                <w:lang w:val="en-US"/>
              </w:rPr>
              <w:t>and</w:t>
            </w:r>
            <w:r w:rsidR="00C63C13" w:rsidRPr="008C761D">
              <w:rPr>
                <w:rFonts w:cs="Calibri"/>
                <w:sz w:val="20"/>
                <w:szCs w:val="20"/>
                <w:lang w:val="en-US"/>
              </w:rPr>
              <w:t xml:space="preserve"> </w:t>
            </w:r>
            <w:r w:rsidRPr="008C761D">
              <w:rPr>
                <w:rFonts w:cs="Calibri"/>
                <w:sz w:val="20"/>
                <w:szCs w:val="20"/>
                <w:lang w:val="en-US"/>
              </w:rPr>
              <w:t>tax</w:t>
            </w:r>
            <w:r w:rsidR="00C63C13" w:rsidRPr="008C761D">
              <w:rPr>
                <w:rFonts w:cs="Calibri"/>
                <w:sz w:val="20"/>
                <w:szCs w:val="20"/>
                <w:lang w:val="en-US"/>
              </w:rPr>
              <w:t xml:space="preserve"> </w:t>
            </w:r>
            <w:r w:rsidRPr="008C761D">
              <w:rPr>
                <w:rFonts w:cs="Calibri"/>
                <w:sz w:val="20"/>
                <w:szCs w:val="20"/>
                <w:lang w:val="en-US"/>
              </w:rPr>
              <w:t>elasticity</w:t>
            </w:r>
            <w:r w:rsidR="00C63C13" w:rsidRPr="008C761D">
              <w:rPr>
                <w:rFonts w:cs="Calibri"/>
                <w:sz w:val="20"/>
                <w:szCs w:val="20"/>
                <w:lang w:val="en-US"/>
              </w:rPr>
              <w:t xml:space="preserve"> </w:t>
            </w:r>
            <w:r w:rsidRPr="008C761D">
              <w:rPr>
                <w:rFonts w:cs="Calibri"/>
                <w:sz w:val="20"/>
                <w:szCs w:val="20"/>
                <w:lang w:val="en-US"/>
              </w:rPr>
              <w:t>Report;</w:t>
            </w:r>
          </w:p>
          <w:p w14:paraId="0D8AB73E" w14:textId="463BD1C2"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Income</w:t>
            </w:r>
            <w:r w:rsidR="00C63C13" w:rsidRPr="008C761D">
              <w:rPr>
                <w:rFonts w:cs="Calibri"/>
                <w:sz w:val="20"/>
                <w:szCs w:val="20"/>
                <w:lang w:val="en-US"/>
              </w:rPr>
              <w:t xml:space="preserve"> </w:t>
            </w:r>
            <w:r w:rsidRPr="008C761D">
              <w:rPr>
                <w:rFonts w:cs="Calibri"/>
                <w:sz w:val="20"/>
                <w:szCs w:val="20"/>
                <w:lang w:val="en-US"/>
              </w:rPr>
              <w:t>in</w:t>
            </w:r>
            <w:r w:rsidR="00C63C13" w:rsidRPr="008C761D">
              <w:rPr>
                <w:rFonts w:cs="Calibri"/>
                <w:sz w:val="20"/>
                <w:szCs w:val="20"/>
                <w:lang w:val="en-US"/>
              </w:rPr>
              <w:t xml:space="preserve"> </w:t>
            </w:r>
            <w:r w:rsidRPr="008C761D">
              <w:rPr>
                <w:rFonts w:cs="Calibri"/>
                <w:sz w:val="20"/>
                <w:szCs w:val="20"/>
                <w:lang w:val="en-US"/>
              </w:rPr>
              <w:t>equality</w:t>
            </w:r>
            <w:r w:rsidR="00C63C13" w:rsidRPr="008C761D">
              <w:rPr>
                <w:rFonts w:cs="Calibri"/>
                <w:sz w:val="20"/>
                <w:szCs w:val="20"/>
                <w:lang w:val="en-US"/>
              </w:rPr>
              <w:t xml:space="preserve"> </w:t>
            </w:r>
            <w:r w:rsidRPr="008C761D">
              <w:rPr>
                <w:rFonts w:cs="Calibri"/>
                <w:sz w:val="20"/>
                <w:szCs w:val="20"/>
                <w:lang w:val="en-US"/>
              </w:rPr>
              <w:t>report;</w:t>
            </w:r>
          </w:p>
          <w:p w14:paraId="1DA487D6" w14:textId="7054E1F3"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Cost-of-collection</w:t>
            </w:r>
            <w:r w:rsidR="00C63C13" w:rsidRPr="008C761D">
              <w:rPr>
                <w:rFonts w:cs="Calibri"/>
                <w:sz w:val="20"/>
                <w:szCs w:val="20"/>
                <w:lang w:val="en-US"/>
              </w:rPr>
              <w:t xml:space="preserve"> </w:t>
            </w:r>
            <w:r w:rsidRPr="008C761D">
              <w:rPr>
                <w:rFonts w:cs="Calibri"/>
                <w:sz w:val="20"/>
                <w:szCs w:val="20"/>
                <w:lang w:val="en-US"/>
              </w:rPr>
              <w:t>ratio</w:t>
            </w:r>
            <w:r w:rsidR="00C63C13" w:rsidRPr="008C761D">
              <w:rPr>
                <w:rFonts w:cs="Calibri"/>
                <w:sz w:val="20"/>
                <w:szCs w:val="20"/>
                <w:lang w:val="en-US"/>
              </w:rPr>
              <w:t xml:space="preserve"> </w:t>
            </w:r>
            <w:r w:rsidRPr="008C761D">
              <w:rPr>
                <w:rFonts w:cs="Calibri"/>
                <w:sz w:val="20"/>
                <w:szCs w:val="20"/>
                <w:lang w:val="en-US"/>
              </w:rPr>
              <w:t>Report;</w:t>
            </w:r>
          </w:p>
          <w:p w14:paraId="4BFBED11" w14:textId="4A29D231" w:rsidR="00AD6555" w:rsidRPr="008C761D" w:rsidRDefault="003B2558" w:rsidP="003B2558">
            <w:pPr>
              <w:spacing w:line="240" w:lineRule="auto"/>
              <w:jc w:val="both"/>
              <w:rPr>
                <w:rFonts w:cs="Calibri"/>
                <w:sz w:val="20"/>
                <w:szCs w:val="20"/>
                <w:lang w:val="en-US"/>
              </w:rPr>
            </w:pPr>
            <w:r w:rsidRPr="008C761D">
              <w:rPr>
                <w:rFonts w:cs="Calibri"/>
                <w:sz w:val="20"/>
                <w:szCs w:val="20"/>
                <w:lang w:val="en-US"/>
              </w:rPr>
              <w:t>- Report</w:t>
            </w:r>
            <w:r w:rsidR="00C63C13" w:rsidRPr="008C761D">
              <w:rPr>
                <w:rFonts w:cs="Calibri"/>
                <w:sz w:val="20"/>
                <w:szCs w:val="20"/>
                <w:lang w:val="en-US"/>
              </w:rPr>
              <w:t xml:space="preserve"> </w:t>
            </w:r>
            <w:r w:rsidRPr="008C761D">
              <w:rPr>
                <w:rFonts w:cs="Calibri"/>
                <w:sz w:val="20"/>
                <w:szCs w:val="20"/>
                <w:lang w:val="en-US"/>
              </w:rPr>
              <w:t>for</w:t>
            </w:r>
            <w:r w:rsidR="00C63C13" w:rsidRPr="008C761D">
              <w:rPr>
                <w:rFonts w:cs="Calibri"/>
                <w:sz w:val="20"/>
                <w:szCs w:val="20"/>
                <w:lang w:val="en-US"/>
              </w:rPr>
              <w:t xml:space="preserve"> </w:t>
            </w:r>
            <w:r w:rsidRPr="008C761D">
              <w:rPr>
                <w:rFonts w:cs="Calibri"/>
                <w:sz w:val="20"/>
                <w:szCs w:val="20"/>
                <w:lang w:val="en-US"/>
              </w:rPr>
              <w:t>EMTRs</w:t>
            </w:r>
            <w:r w:rsidR="00C63C13" w:rsidRPr="008C761D">
              <w:rPr>
                <w:rFonts w:cs="Calibri"/>
                <w:sz w:val="20"/>
                <w:szCs w:val="20"/>
                <w:lang w:val="en-US"/>
              </w:rPr>
              <w:t xml:space="preserve"> </w:t>
            </w:r>
            <w:r w:rsidRPr="008C761D">
              <w:rPr>
                <w:rFonts w:cs="Calibri"/>
                <w:sz w:val="20"/>
                <w:szCs w:val="20"/>
                <w:lang w:val="en-US"/>
              </w:rPr>
              <w:t>and</w:t>
            </w:r>
            <w:r w:rsidR="00C63C13" w:rsidRPr="008C761D">
              <w:rPr>
                <w:rFonts w:cs="Calibri"/>
                <w:sz w:val="20"/>
                <w:szCs w:val="20"/>
                <w:lang w:val="en-US"/>
              </w:rPr>
              <w:t xml:space="preserve"> </w:t>
            </w:r>
            <w:r w:rsidRPr="008C761D">
              <w:rPr>
                <w:rFonts w:cs="Calibri"/>
                <w:sz w:val="20"/>
                <w:szCs w:val="20"/>
                <w:lang w:val="en-US"/>
              </w:rPr>
              <w:t>EATRs;</w:t>
            </w:r>
          </w:p>
        </w:tc>
      </w:tr>
      <w:tr w:rsidR="00D91B99" w:rsidRPr="008C761D" w14:paraId="5493B97B" w14:textId="77777777" w:rsidTr="00A64926">
        <w:tc>
          <w:tcPr>
            <w:tcW w:w="3119" w:type="dxa"/>
            <w:tcBorders>
              <w:top w:val="single" w:sz="4" w:space="0" w:color="FFFFFF"/>
              <w:bottom w:val="single" w:sz="4" w:space="0" w:color="FFFFFF"/>
            </w:tcBorders>
            <w:shd w:val="clear" w:color="auto" w:fill="002060"/>
          </w:tcPr>
          <w:p w14:paraId="30F1A0C0" w14:textId="2C53C386"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6E0B57">
              <w:rPr>
                <w:rFonts w:cs="Calibri"/>
                <w:b/>
                <w:color w:val="FFFFFF"/>
                <w:sz w:val="20"/>
                <w:szCs w:val="20"/>
                <w:lang w:val="en-US"/>
              </w:rPr>
              <w:t xml:space="preserve"> </w:t>
            </w:r>
            <w:r w:rsidRPr="008C761D">
              <w:rPr>
                <w:rFonts w:cs="Calibri"/>
                <w:b/>
                <w:color w:val="FFFFFF"/>
                <w:sz w:val="20"/>
                <w:szCs w:val="20"/>
                <w:lang w:val="en-US"/>
              </w:rPr>
              <w:t>implications:</w:t>
            </w:r>
          </w:p>
        </w:tc>
        <w:tc>
          <w:tcPr>
            <w:tcW w:w="5645" w:type="dxa"/>
            <w:tcBorders>
              <w:top w:val="single" w:sz="4" w:space="0" w:color="FFFFFF"/>
              <w:bottom w:val="single" w:sz="4" w:space="0" w:color="FFFFFF"/>
            </w:tcBorders>
            <w:shd w:val="clear" w:color="auto" w:fill="D9E2F3"/>
          </w:tcPr>
          <w:p w14:paraId="40B0AAC2" w14:textId="77777777" w:rsidR="00D91B99" w:rsidRPr="008C761D" w:rsidRDefault="006D574F" w:rsidP="00E84CD0">
            <w:pPr>
              <w:spacing w:line="240" w:lineRule="auto"/>
              <w:jc w:val="both"/>
              <w:rPr>
                <w:rFonts w:cs="Calibri"/>
                <w:sz w:val="20"/>
                <w:szCs w:val="20"/>
                <w:lang w:val="en-US"/>
              </w:rPr>
            </w:pPr>
            <w:r w:rsidRPr="008C761D">
              <w:rPr>
                <w:rFonts w:cs="Calibri"/>
                <w:sz w:val="20"/>
                <w:szCs w:val="20"/>
                <w:lang w:val="en-US"/>
              </w:rPr>
              <w:t xml:space="preserve">EUR </w:t>
            </w:r>
            <w:r w:rsidR="00D91B99" w:rsidRPr="008C761D">
              <w:rPr>
                <w:rFonts w:cs="Calibri"/>
                <w:sz w:val="20"/>
                <w:szCs w:val="20"/>
                <w:lang w:val="en-US"/>
              </w:rPr>
              <w:t>165</w:t>
            </w:r>
            <w:r w:rsidR="00A01213" w:rsidRPr="008C761D">
              <w:rPr>
                <w:rFonts w:cs="Calibri"/>
                <w:sz w:val="20"/>
                <w:szCs w:val="20"/>
                <w:lang w:val="en-US"/>
              </w:rPr>
              <w:t>,</w:t>
            </w:r>
            <w:r w:rsidR="00D91B99" w:rsidRPr="008C761D">
              <w:rPr>
                <w:rFonts w:cs="Calibri"/>
                <w:sz w:val="20"/>
                <w:szCs w:val="20"/>
                <w:lang w:val="en-US"/>
              </w:rPr>
              <w:t xml:space="preserve">000 </w:t>
            </w:r>
          </w:p>
        </w:tc>
      </w:tr>
      <w:tr w:rsidR="00D91B99" w:rsidRPr="008C761D" w14:paraId="416C9965" w14:textId="77777777" w:rsidTr="00A64926">
        <w:tc>
          <w:tcPr>
            <w:tcW w:w="3119" w:type="dxa"/>
            <w:tcBorders>
              <w:top w:val="single" w:sz="4" w:space="0" w:color="FFFFFF"/>
              <w:bottom w:val="single" w:sz="4" w:space="0" w:color="FFFFFF"/>
            </w:tcBorders>
            <w:shd w:val="clear" w:color="auto" w:fill="002060"/>
          </w:tcPr>
          <w:p w14:paraId="423F77D4" w14:textId="58CA0900"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w:t>
            </w:r>
            <w:r w:rsidR="0050393B" w:rsidRPr="008C761D">
              <w:rPr>
                <w:rFonts w:cs="Calibri"/>
                <w:b/>
                <w:color w:val="FFFFFF"/>
                <w:sz w:val="20"/>
                <w:szCs w:val="20"/>
                <w:lang w:val="en-US"/>
              </w:rPr>
              <w:t xml:space="preserve"> </w:t>
            </w:r>
            <w:r w:rsidRPr="008C761D">
              <w:rPr>
                <w:rFonts w:cs="Calibri"/>
                <w:b/>
                <w:color w:val="FFFFFF"/>
                <w:sz w:val="20"/>
                <w:szCs w:val="20"/>
                <w:lang w:val="en-US"/>
              </w:rPr>
              <w:t xml:space="preserve">entity: </w:t>
            </w:r>
          </w:p>
        </w:tc>
        <w:tc>
          <w:tcPr>
            <w:tcW w:w="5645" w:type="dxa"/>
            <w:tcBorders>
              <w:top w:val="single" w:sz="4" w:space="0" w:color="FFFFFF"/>
              <w:bottom w:val="single" w:sz="4" w:space="0" w:color="FFFFFF"/>
            </w:tcBorders>
            <w:shd w:val="clear" w:color="auto" w:fill="D9E2F3"/>
          </w:tcPr>
          <w:p w14:paraId="17E4D92F" w14:textId="336E4299" w:rsidR="00D91B99" w:rsidRPr="008C761D" w:rsidRDefault="00FA0745" w:rsidP="00E84CD0">
            <w:pPr>
              <w:spacing w:line="240" w:lineRule="auto"/>
              <w:jc w:val="both"/>
              <w:rPr>
                <w:rFonts w:cs="Calibri"/>
                <w:sz w:val="20"/>
                <w:szCs w:val="20"/>
                <w:lang w:val="en-US"/>
              </w:rPr>
            </w:pPr>
            <w:r w:rsidRPr="00FA0745">
              <w:rPr>
                <w:rFonts w:cs="Calibri"/>
                <w:sz w:val="20"/>
                <w:szCs w:val="20"/>
                <w:lang w:val="en-US"/>
              </w:rPr>
              <w:t>MoF – Public revenues and Tax and Customs Policy Department</w:t>
            </w:r>
          </w:p>
        </w:tc>
      </w:tr>
      <w:tr w:rsidR="00D91B99" w:rsidRPr="008C761D" w14:paraId="7A485257" w14:textId="77777777" w:rsidTr="00A64926">
        <w:tc>
          <w:tcPr>
            <w:tcW w:w="3119" w:type="dxa"/>
            <w:tcBorders>
              <w:top w:val="single" w:sz="4" w:space="0" w:color="FFFFFF"/>
              <w:bottom w:val="nil"/>
            </w:tcBorders>
            <w:shd w:val="clear" w:color="auto" w:fill="002060"/>
          </w:tcPr>
          <w:p w14:paraId="7E458FCE" w14:textId="7777777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4DAAC30D" w14:textId="7777777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Lack of awareness and commitment from high-level officials;</w:t>
            </w:r>
          </w:p>
          <w:p w14:paraId="2B09B53F" w14:textId="2F22DB1E"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Lack of data availability;</w:t>
            </w:r>
          </w:p>
          <w:p w14:paraId="2E7AFE77" w14:textId="72BD579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xml:space="preserve">-  </w:t>
            </w:r>
            <w:r w:rsidR="00BD19D6" w:rsidRPr="008C761D">
              <w:rPr>
                <w:rFonts w:cs="Calibri"/>
                <w:sz w:val="20"/>
                <w:szCs w:val="20"/>
                <w:lang w:val="en-US"/>
              </w:rPr>
              <w:t xml:space="preserve">Internal resistance to </w:t>
            </w:r>
            <w:r w:rsidR="007847CE">
              <w:rPr>
                <w:rFonts w:cs="Calibri"/>
                <w:sz w:val="20"/>
                <w:szCs w:val="20"/>
                <w:lang w:val="en-US"/>
              </w:rPr>
              <w:t>refrom</w:t>
            </w:r>
            <w:r w:rsidR="00BD19D6" w:rsidRPr="008C761D">
              <w:rPr>
                <w:rFonts w:cs="Calibri"/>
                <w:sz w:val="20"/>
                <w:szCs w:val="20"/>
                <w:lang w:val="en-US"/>
              </w:rPr>
              <w:t xml:space="preserve"> processes</w:t>
            </w:r>
            <w:r w:rsidRPr="008C761D">
              <w:rPr>
                <w:rFonts w:cs="Calibri"/>
                <w:sz w:val="20"/>
                <w:szCs w:val="20"/>
                <w:lang w:val="en-US"/>
              </w:rPr>
              <w:t xml:space="preserve">; </w:t>
            </w:r>
          </w:p>
          <w:p w14:paraId="570D08FC" w14:textId="7E8EFC3B" w:rsidR="003D47FC" w:rsidRPr="008C761D" w:rsidRDefault="003B2558" w:rsidP="008208F0">
            <w:pPr>
              <w:spacing w:after="0" w:line="240" w:lineRule="auto"/>
              <w:jc w:val="both"/>
              <w:rPr>
                <w:rFonts w:cs="Calibri"/>
                <w:sz w:val="20"/>
                <w:szCs w:val="20"/>
                <w:lang w:val="en-US"/>
              </w:rPr>
            </w:pPr>
            <w:r w:rsidRPr="008C761D">
              <w:rPr>
                <w:rFonts w:cs="Calibri"/>
                <w:sz w:val="20"/>
                <w:szCs w:val="20"/>
                <w:lang w:val="en-US"/>
              </w:rPr>
              <w:t>-  Excessive staff turnover.</w:t>
            </w:r>
          </w:p>
          <w:p w14:paraId="4F2FDD44" w14:textId="0781358D" w:rsidR="00BD19D6" w:rsidRPr="008208F0" w:rsidRDefault="003D47FC" w:rsidP="008208F0">
            <w:pPr>
              <w:spacing w:after="0" w:line="240" w:lineRule="auto"/>
              <w:jc w:val="both"/>
              <w:rPr>
                <w:rFonts w:cs="Calibri"/>
                <w:sz w:val="20"/>
                <w:szCs w:val="20"/>
                <w:lang w:val="en-US"/>
              </w:rPr>
            </w:pPr>
            <w:r>
              <w:rPr>
                <w:rFonts w:cs="Calibri"/>
                <w:sz w:val="20"/>
                <w:szCs w:val="20"/>
                <w:lang w:val="en-US"/>
              </w:rPr>
              <w:t xml:space="preserve">-  </w:t>
            </w:r>
            <w:r w:rsidR="00BD19D6" w:rsidRPr="008208F0">
              <w:rPr>
                <w:rFonts w:cs="Calibri"/>
                <w:sz w:val="20"/>
                <w:szCs w:val="20"/>
                <w:lang w:val="en-US"/>
              </w:rPr>
              <w:t>Due to the complexity of the model, it is not fully operational.</w:t>
            </w:r>
          </w:p>
        </w:tc>
      </w:tr>
    </w:tbl>
    <w:p w14:paraId="438BCF3D" w14:textId="77777777" w:rsidR="00D91B99" w:rsidRPr="008C761D" w:rsidRDefault="00D91B99" w:rsidP="00E84CD0">
      <w:pPr>
        <w:spacing w:line="240" w:lineRule="auto"/>
        <w:jc w:val="both"/>
        <w:rPr>
          <w:rFonts w:cs="Calibri"/>
          <w:lang w:val="en-US"/>
        </w:rPr>
      </w:pPr>
    </w:p>
    <w:p w14:paraId="659A25E8" w14:textId="5221A2E3" w:rsidR="00D91B99" w:rsidRPr="008C761D" w:rsidRDefault="00D91B99" w:rsidP="00E84CD0">
      <w:pPr>
        <w:spacing w:line="240" w:lineRule="auto"/>
        <w:jc w:val="both"/>
        <w:rPr>
          <w:rFonts w:cs="Calibri"/>
          <w:b/>
          <w:color w:val="0070C0"/>
          <w:sz w:val="24"/>
          <w:szCs w:val="24"/>
          <w:lang w:val="en-US"/>
        </w:rPr>
      </w:pPr>
      <w:r w:rsidRPr="008C761D">
        <w:rPr>
          <w:rFonts w:cs="Calibri"/>
          <w:b/>
          <w:color w:val="0070C0"/>
          <w:sz w:val="24"/>
          <w:szCs w:val="24"/>
          <w:lang w:val="en-US"/>
        </w:rPr>
        <w:t>Measure 2:</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Enhancing</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tax</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and</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customs</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modelling</w:t>
      </w:r>
      <w:r w:rsidR="009A0A49" w:rsidRPr="008C761D">
        <w:rPr>
          <w:rFonts w:cs="Calibri"/>
          <w:b/>
          <w:color w:val="0070C0"/>
          <w:sz w:val="24"/>
          <w:szCs w:val="24"/>
          <w:lang w:val="en-US"/>
        </w:rPr>
        <w:t xml:space="preserve"> </w:t>
      </w:r>
      <w:r w:rsidR="00215227" w:rsidRPr="008C761D">
        <w:rPr>
          <w:rFonts w:cs="Calibri"/>
          <w:b/>
          <w:color w:val="0070C0"/>
          <w:sz w:val="24"/>
          <w:szCs w:val="24"/>
          <w:lang w:val="en-US"/>
        </w:rPr>
        <w:t>capacity</w:t>
      </w:r>
    </w:p>
    <w:p w14:paraId="65AD31CF" w14:textId="77777777"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2480D09D" w14:textId="77777777" w:rsidR="00C10268" w:rsidRPr="008C761D" w:rsidRDefault="00C10268" w:rsidP="00C10268">
      <w:pPr>
        <w:spacing w:line="240" w:lineRule="auto"/>
        <w:jc w:val="both"/>
        <w:rPr>
          <w:rFonts w:cs="Calibri"/>
          <w:lang w:val="en-US"/>
        </w:rPr>
      </w:pPr>
      <w:r w:rsidRPr="008C761D">
        <w:rPr>
          <w:rFonts w:cs="Calibri"/>
          <w:lang w:val="en-US"/>
        </w:rPr>
        <w:t>Enhance tax and customs modelling capacity of the Ministry of Finance by using tax models and data-science tools.</w:t>
      </w:r>
    </w:p>
    <w:p w14:paraId="4359D297" w14:textId="77777777"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965"/>
        <w:gridCol w:w="7824"/>
      </w:tblGrid>
      <w:tr w:rsidR="00D91B99" w:rsidRPr="008C761D" w14:paraId="53B4EEED" w14:textId="77777777" w:rsidTr="006A0F62">
        <w:tc>
          <w:tcPr>
            <w:tcW w:w="965" w:type="dxa"/>
            <w:shd w:val="clear" w:color="auto" w:fill="DDDDDD"/>
          </w:tcPr>
          <w:p w14:paraId="67F0CD16" w14:textId="77777777" w:rsidR="00D91B99" w:rsidRPr="008C761D" w:rsidRDefault="00D91B99" w:rsidP="00E84CD0">
            <w:pPr>
              <w:spacing w:line="240" w:lineRule="auto"/>
              <w:jc w:val="both"/>
              <w:rPr>
                <w:rFonts w:cs="Calibri"/>
                <w:sz w:val="20"/>
                <w:szCs w:val="20"/>
                <w:lang w:val="en-US"/>
              </w:rPr>
            </w:pPr>
            <w:r w:rsidRPr="008C761D">
              <w:rPr>
                <w:rFonts w:cs="Calibri"/>
                <w:b/>
                <w:sz w:val="20"/>
                <w:szCs w:val="20"/>
                <w:lang w:val="en-US"/>
              </w:rPr>
              <w:lastRenderedPageBreak/>
              <w:t>OECD:</w:t>
            </w:r>
          </w:p>
        </w:tc>
        <w:tc>
          <w:tcPr>
            <w:tcW w:w="7824" w:type="dxa"/>
            <w:shd w:val="clear" w:color="auto" w:fill="DDDDDD"/>
          </w:tcPr>
          <w:p w14:paraId="6BC419E7" w14:textId="77777777" w:rsidR="00C10268" w:rsidRPr="00E924AD" w:rsidRDefault="00C10268" w:rsidP="00C10268">
            <w:pPr>
              <w:spacing w:after="0" w:line="240" w:lineRule="auto"/>
              <w:jc w:val="both"/>
              <w:rPr>
                <w:rFonts w:cs="Calibri"/>
                <w:sz w:val="20"/>
                <w:szCs w:val="20"/>
                <w:lang w:val="en-US"/>
              </w:rPr>
            </w:pPr>
            <w:r w:rsidRPr="00E924AD">
              <w:rPr>
                <w:rFonts w:cs="Calibri"/>
                <w:b/>
                <w:sz w:val="20"/>
                <w:szCs w:val="20"/>
                <w:lang w:val="en-US"/>
              </w:rPr>
              <w:t>Competitiveness in South East Europe (2018)</w:t>
            </w:r>
          </w:p>
          <w:p w14:paraId="5D22A974" w14:textId="77777777" w:rsidR="00C10268" w:rsidRPr="00E924AD" w:rsidRDefault="00C10268" w:rsidP="00C10268">
            <w:pPr>
              <w:spacing w:after="120" w:line="240" w:lineRule="auto"/>
              <w:jc w:val="both"/>
              <w:rPr>
                <w:rFonts w:cs="Calibri"/>
                <w:sz w:val="20"/>
                <w:szCs w:val="20"/>
                <w:lang w:val="en-US"/>
              </w:rPr>
            </w:pPr>
            <w:r w:rsidRPr="00E924AD">
              <w:rPr>
                <w:rFonts w:cs="Calibri"/>
                <w:sz w:val="20"/>
                <w:szCs w:val="20"/>
                <w:lang w:val="en-US"/>
              </w:rPr>
              <w:t>None of the economies make widespread use of micro-simulation models. These models simulate</w:t>
            </w:r>
            <w:r w:rsidRPr="00E924AD">
              <w:rPr>
                <w:rFonts w:cs="Calibri"/>
                <w:sz w:val="18"/>
                <w:szCs w:val="18"/>
                <w:lang w:val="en-US"/>
              </w:rPr>
              <w:t xml:space="preserve"> </w:t>
            </w:r>
            <w:r w:rsidRPr="00E924AD">
              <w:rPr>
                <w:rFonts w:cs="Calibri"/>
                <w:sz w:val="20"/>
                <w:szCs w:val="20"/>
                <w:lang w:val="en-US"/>
              </w:rPr>
              <w:t>taxes, SSCs and any social benefits, in order to predict the effects of a potential tax reform and current tax policies. Albania, Kosovo and Montenegro do not implement any micro-simulation models. Bosnia and Herzegovina, the Republic of North Macedonia and Serbia have started to use micro-simulation models to assess their tax policies and reforms, although not yet on a regular basis. As a first step, micro-simulation models could be developed to assess the distributional impact of VAT in SEE economies, following the work that has been carried out in OECD countries (OECD/KIPF, 2014).</w:t>
            </w:r>
          </w:p>
          <w:p w14:paraId="15CBAEC5" w14:textId="77777777" w:rsidR="00C10268" w:rsidRPr="00E924AD" w:rsidRDefault="00C10268" w:rsidP="00C10268">
            <w:pPr>
              <w:spacing w:after="120" w:line="240" w:lineRule="auto"/>
              <w:jc w:val="both"/>
              <w:rPr>
                <w:rFonts w:cs="Calibri"/>
                <w:sz w:val="20"/>
                <w:szCs w:val="20"/>
                <w:lang w:val="en-US"/>
              </w:rPr>
            </w:pPr>
            <w:r w:rsidRPr="00E924AD">
              <w:rPr>
                <w:rFonts w:cs="Calibri"/>
                <w:sz w:val="20"/>
                <w:szCs w:val="20"/>
                <w:lang w:val="en-US"/>
              </w:rPr>
              <w:t>All six of the assessed SEE economies use aggregate modelling and forecasting tools, which are important for estimating future tax revenues. These models are also regularly assessed. The average score across the six SEE economies for this indicator is however 2.3 (Figure 4.5), indicating that while the ministries of finance maintain aggregate tax revenue forecasting models for each main tax, there is insufficient analysis of the information or a lack of micro-simulation models.</w:t>
            </w:r>
          </w:p>
          <w:p w14:paraId="41FC770F" w14:textId="77777777" w:rsidR="00C10268" w:rsidRPr="00E924AD" w:rsidRDefault="00C10268" w:rsidP="00C10268">
            <w:pPr>
              <w:spacing w:after="0" w:line="240" w:lineRule="auto"/>
              <w:jc w:val="both"/>
              <w:rPr>
                <w:rFonts w:cs="Calibri"/>
                <w:b/>
                <w:sz w:val="20"/>
                <w:szCs w:val="20"/>
                <w:lang w:val="en-US"/>
              </w:rPr>
            </w:pPr>
            <w:r w:rsidRPr="00E924AD">
              <w:rPr>
                <w:rFonts w:cs="Calibri"/>
                <w:b/>
                <w:sz w:val="20"/>
                <w:szCs w:val="20"/>
                <w:lang w:val="en-US"/>
              </w:rPr>
              <w:t>Tax policy in South East Europe: Key recommendations</w:t>
            </w:r>
          </w:p>
          <w:p w14:paraId="776E0B50" w14:textId="0D705CD5" w:rsidR="00D91B99" w:rsidRPr="00E924AD" w:rsidRDefault="00C10268" w:rsidP="00C10268">
            <w:pPr>
              <w:spacing w:line="240" w:lineRule="auto"/>
              <w:jc w:val="both"/>
              <w:rPr>
                <w:rFonts w:cs="Calibri"/>
                <w:sz w:val="18"/>
                <w:szCs w:val="18"/>
                <w:lang w:val="en-US"/>
              </w:rPr>
            </w:pPr>
            <w:r w:rsidRPr="00E924AD">
              <w:rPr>
                <w:rFonts w:cs="Calibri"/>
                <w:sz w:val="20"/>
                <w:szCs w:val="20"/>
                <w:lang w:val="en-US"/>
              </w:rPr>
              <w:t>Develop tax policy tools to assess tax systems and their economic impacts. Better tax revenue data, tools that assess the effective tax burdens on labour and capital, the implementation of micro-simulation models, and more systematic tax expenditure reporting are a priority for all six economies.</w:t>
            </w:r>
          </w:p>
        </w:tc>
      </w:tr>
      <w:tr w:rsidR="00D91B99" w:rsidRPr="008C761D" w14:paraId="58C3924C" w14:textId="77777777" w:rsidTr="006A0F62">
        <w:tc>
          <w:tcPr>
            <w:tcW w:w="965" w:type="dxa"/>
            <w:shd w:val="clear" w:color="auto" w:fill="DDDDDD"/>
          </w:tcPr>
          <w:p w14:paraId="5F3EE578" w14:textId="77777777" w:rsidR="00D91B99" w:rsidRPr="008C761D" w:rsidRDefault="00D91B99" w:rsidP="00E84CD0">
            <w:pPr>
              <w:spacing w:line="240" w:lineRule="auto"/>
              <w:jc w:val="both"/>
              <w:rPr>
                <w:rFonts w:cs="Calibri"/>
                <w:sz w:val="20"/>
                <w:szCs w:val="20"/>
                <w:lang w:val="en-US"/>
              </w:rPr>
            </w:pPr>
            <w:r w:rsidRPr="008C761D">
              <w:rPr>
                <w:rFonts w:cs="Calibri"/>
                <w:b/>
                <w:sz w:val="20"/>
                <w:szCs w:val="20"/>
                <w:lang w:val="en-US"/>
              </w:rPr>
              <w:t>WB:</w:t>
            </w:r>
          </w:p>
        </w:tc>
        <w:tc>
          <w:tcPr>
            <w:tcW w:w="7824" w:type="dxa"/>
            <w:shd w:val="clear" w:color="auto" w:fill="DDDDDD"/>
          </w:tcPr>
          <w:p w14:paraId="0A24EEB7" w14:textId="77777777" w:rsidR="00C10268" w:rsidRPr="008C761D" w:rsidRDefault="00C10268" w:rsidP="00C10268">
            <w:pPr>
              <w:spacing w:line="240" w:lineRule="auto"/>
              <w:jc w:val="both"/>
              <w:rPr>
                <w:rFonts w:cs="Calibri"/>
                <w:b/>
                <w:sz w:val="20"/>
                <w:szCs w:val="20"/>
                <w:lang w:val="en-US"/>
              </w:rPr>
            </w:pPr>
            <w:r w:rsidRPr="008C761D">
              <w:rPr>
                <w:rFonts w:cs="Calibri"/>
                <w:b/>
                <w:sz w:val="20"/>
                <w:szCs w:val="20"/>
                <w:lang w:val="en-US"/>
              </w:rPr>
              <w:t>Tax administration assessment for the North Macedonia Public Revenue Office-Tax Diamond (2020)</w:t>
            </w:r>
          </w:p>
          <w:p w14:paraId="45E68BEA" w14:textId="77777777" w:rsidR="00C10268" w:rsidRPr="00E924AD" w:rsidRDefault="00C10268" w:rsidP="00C10268">
            <w:pPr>
              <w:spacing w:line="240" w:lineRule="auto"/>
              <w:jc w:val="both"/>
              <w:rPr>
                <w:rFonts w:cs="Calibri"/>
                <w:sz w:val="20"/>
                <w:szCs w:val="20"/>
                <w:lang w:val="en-US"/>
              </w:rPr>
            </w:pPr>
            <w:r w:rsidRPr="00E924AD">
              <w:rPr>
                <w:rFonts w:cs="Calibri"/>
                <w:sz w:val="20"/>
                <w:szCs w:val="20"/>
                <w:lang w:val="en-US"/>
              </w:rPr>
              <w:t>The assessment of the tax administration for the Public Revenue Office in North Macedonia lists the several recommendations, which can be improved and for MoF as more important can be listed:</w:t>
            </w:r>
          </w:p>
          <w:p w14:paraId="38927B02" w14:textId="77777777" w:rsidR="00C10268" w:rsidRPr="00E924AD" w:rsidRDefault="00C10268" w:rsidP="00C10268">
            <w:pPr>
              <w:spacing w:line="240" w:lineRule="auto"/>
              <w:jc w:val="both"/>
              <w:rPr>
                <w:rFonts w:cs="Calibri"/>
                <w:sz w:val="20"/>
                <w:szCs w:val="20"/>
                <w:lang w:val="en-US"/>
              </w:rPr>
            </w:pPr>
            <w:r w:rsidRPr="00E924AD">
              <w:rPr>
                <w:rFonts w:cs="Calibri"/>
                <w:b/>
                <w:sz w:val="20"/>
                <w:szCs w:val="20"/>
                <w:lang w:val="en-US"/>
              </w:rPr>
              <w:t>Cost-of-collection ratio.</w:t>
            </w:r>
            <w:r w:rsidRPr="00E924AD">
              <w:rPr>
                <w:rFonts w:cs="Calibri"/>
                <w:sz w:val="20"/>
                <w:szCs w:val="20"/>
                <w:lang w:val="en-US"/>
              </w:rPr>
              <w:t xml:space="preserve"> PRO's cost of collection ratio is around 1.24%, which is towards the higher band of the OECD countries' average. The cost of collection in OECD countries and selected non-OECD countries is normally in a band between 1 and 1.5%. In assessing the efficiency and effectiveness in collecting revenues, usually, tax administrations use the cost-of-collection ratio, by which the administration costs are compared with net tax revenue collected. It is a systematic, structured, and evidence-based methodology to assess tax administration performance, which provides a systematic and detailed view of necessary programs to implement and monitor reforms.</w:t>
            </w:r>
          </w:p>
          <w:p w14:paraId="2EE9C1FB" w14:textId="6685BDE3" w:rsidR="00D91B99" w:rsidRPr="008C761D" w:rsidRDefault="00C10268" w:rsidP="00C10268">
            <w:pPr>
              <w:spacing w:line="240" w:lineRule="auto"/>
              <w:jc w:val="both"/>
              <w:rPr>
                <w:rFonts w:cs="Calibri"/>
                <w:sz w:val="20"/>
                <w:szCs w:val="20"/>
                <w:lang w:val="en-US"/>
              </w:rPr>
            </w:pPr>
            <w:r w:rsidRPr="008C761D">
              <w:rPr>
                <w:rFonts w:cs="Calibri"/>
                <w:b/>
                <w:sz w:val="20"/>
                <w:szCs w:val="20"/>
                <w:lang w:val="en-US"/>
              </w:rPr>
              <w:t>Tax forecasting/Revenue targets.</w:t>
            </w:r>
            <w:r w:rsidRPr="008C761D">
              <w:rPr>
                <w:rFonts w:cs="Calibri"/>
                <w:sz w:val="20"/>
                <w:szCs w:val="20"/>
                <w:lang w:val="en-US"/>
              </w:rPr>
              <w:t xml:space="preserve"> Solid revenue forecasting, in conjunction with an analysis of the potential of the tax system and the impact of changes in tax policy and tax expenditures, should be key to make informed decisions in tax reform strategies. PRO is supported in this type of analysis by the Ministry of Finance. However, current analytics are not based on internationally recognized methodologies. Emphasis needs to be put on increasing the analytical capacity on revenue forecasting and on conducting additional key analytical inputs for revenue policy-making and tax administration monitoring</w:t>
            </w:r>
          </w:p>
        </w:tc>
      </w:tr>
      <w:tr w:rsidR="00D91B99" w:rsidRPr="008C761D" w14:paraId="45AD46D9" w14:textId="77777777" w:rsidTr="006A0F62">
        <w:tc>
          <w:tcPr>
            <w:tcW w:w="965" w:type="dxa"/>
            <w:shd w:val="clear" w:color="auto" w:fill="DDDDDD"/>
          </w:tcPr>
          <w:p w14:paraId="61D05ED3" w14:textId="77777777" w:rsidR="00D91B99" w:rsidRPr="008C761D" w:rsidRDefault="00D91B99" w:rsidP="00E84CD0">
            <w:pPr>
              <w:spacing w:line="240" w:lineRule="auto"/>
              <w:jc w:val="both"/>
              <w:rPr>
                <w:rFonts w:cs="Calibri"/>
                <w:b/>
                <w:sz w:val="20"/>
                <w:szCs w:val="20"/>
                <w:lang w:val="en-US"/>
              </w:rPr>
            </w:pPr>
            <w:r w:rsidRPr="008C761D">
              <w:rPr>
                <w:rFonts w:cs="Calibri"/>
                <w:b/>
                <w:sz w:val="20"/>
                <w:szCs w:val="20"/>
                <w:lang w:val="en-US"/>
              </w:rPr>
              <w:t>PEFA</w:t>
            </w:r>
          </w:p>
        </w:tc>
        <w:tc>
          <w:tcPr>
            <w:tcW w:w="7824" w:type="dxa"/>
            <w:shd w:val="clear" w:color="auto" w:fill="DDDDDD"/>
          </w:tcPr>
          <w:p w14:paraId="13F04E40" w14:textId="77777777" w:rsidR="00C10268" w:rsidRPr="008C761D" w:rsidRDefault="00C10268" w:rsidP="00C10268">
            <w:pPr>
              <w:spacing w:line="240" w:lineRule="auto"/>
              <w:jc w:val="both"/>
              <w:rPr>
                <w:rFonts w:cs="Calibri"/>
                <w:b/>
                <w:sz w:val="20"/>
                <w:szCs w:val="20"/>
                <w:lang w:val="en-US"/>
              </w:rPr>
            </w:pPr>
            <w:proofErr w:type="gramStart"/>
            <w:r w:rsidRPr="008C761D">
              <w:rPr>
                <w:rFonts w:cs="Calibri"/>
                <w:b/>
                <w:sz w:val="20"/>
                <w:szCs w:val="20"/>
                <w:lang w:val="en-US"/>
              </w:rPr>
              <w:t>PEFA  North</w:t>
            </w:r>
            <w:proofErr w:type="gramEnd"/>
            <w:r w:rsidRPr="008C761D">
              <w:rPr>
                <w:rFonts w:cs="Calibri"/>
                <w:b/>
                <w:sz w:val="20"/>
                <w:szCs w:val="20"/>
                <w:lang w:val="en-US"/>
              </w:rPr>
              <w:t xml:space="preserve"> Macedonia Assessment Report (2021)</w:t>
            </w:r>
          </w:p>
          <w:p w14:paraId="04F6A85F" w14:textId="77777777" w:rsidR="00C10268" w:rsidRPr="008C761D" w:rsidRDefault="00C10268" w:rsidP="00C10268">
            <w:pPr>
              <w:spacing w:line="240" w:lineRule="auto"/>
              <w:jc w:val="both"/>
              <w:rPr>
                <w:rFonts w:cs="Calibri"/>
                <w:b/>
                <w:sz w:val="20"/>
                <w:szCs w:val="20"/>
                <w:lang w:val="en-US"/>
              </w:rPr>
            </w:pPr>
            <w:r w:rsidRPr="008C761D">
              <w:rPr>
                <w:rFonts w:cs="Calibri"/>
                <w:b/>
                <w:sz w:val="20"/>
                <w:szCs w:val="20"/>
                <w:lang w:val="en-US"/>
              </w:rPr>
              <w:t>Fiscal impact of policy proposals</w:t>
            </w:r>
          </w:p>
          <w:p w14:paraId="05A6040E" w14:textId="77777777" w:rsidR="00C10268" w:rsidRPr="008C761D" w:rsidRDefault="00C10268" w:rsidP="00C10268">
            <w:pPr>
              <w:spacing w:line="240" w:lineRule="auto"/>
              <w:jc w:val="both"/>
              <w:rPr>
                <w:rFonts w:cs="Calibri"/>
                <w:sz w:val="20"/>
                <w:szCs w:val="20"/>
                <w:lang w:val="en-US"/>
              </w:rPr>
            </w:pPr>
            <w:r w:rsidRPr="008C761D">
              <w:rPr>
                <w:rFonts w:cs="Calibri"/>
                <w:sz w:val="20"/>
                <w:szCs w:val="20"/>
                <w:lang w:val="en-US"/>
              </w:rPr>
              <w:t xml:space="preserve">As part of the Fiscal Strategy, Ministry of Finance prepares forecasts of the revenues and expenditures for the budget year and the two following years. In addition to the forecasts, а brief explanation is provided for the policy changes that are planned for the next period that can have a fiscal impact on the revenues or expenditures (e.g. reforms in the pension system, in the area of expenditures for salaries and allowances, tax reforms, etc.). </w:t>
            </w:r>
          </w:p>
          <w:p w14:paraId="4CF641C3" w14:textId="77777777" w:rsidR="00C10268" w:rsidRPr="008C761D" w:rsidRDefault="00C10268" w:rsidP="00C10268">
            <w:pPr>
              <w:spacing w:line="240" w:lineRule="auto"/>
              <w:jc w:val="both"/>
              <w:rPr>
                <w:rFonts w:cs="Calibri"/>
                <w:sz w:val="20"/>
                <w:szCs w:val="20"/>
                <w:lang w:val="en-US"/>
              </w:rPr>
            </w:pPr>
            <w:r w:rsidRPr="008C761D">
              <w:rPr>
                <w:rFonts w:cs="Calibri"/>
                <w:sz w:val="20"/>
                <w:szCs w:val="20"/>
                <w:lang w:val="en-US"/>
              </w:rPr>
              <w:t xml:space="preserve">Changes in the policy proposals are not explained in details and the fiscal impact is not quantified. It is noted that all changes or reforms that are foreseen in the upcoming period, are incorporated in the fiscal projections of revenues and expenditures according to the </w:t>
            </w:r>
            <w:r w:rsidRPr="008C761D">
              <w:rPr>
                <w:rFonts w:cs="Calibri"/>
                <w:sz w:val="20"/>
                <w:szCs w:val="20"/>
                <w:lang w:val="en-US"/>
              </w:rPr>
              <w:lastRenderedPageBreak/>
              <w:t xml:space="preserve">economic classification that cover the budget year and the next two fiscal years. </w:t>
            </w:r>
          </w:p>
          <w:p w14:paraId="1E45A3EB" w14:textId="77777777" w:rsidR="00C10268" w:rsidRPr="008C761D" w:rsidRDefault="00C10268" w:rsidP="00C10268">
            <w:pPr>
              <w:spacing w:line="240" w:lineRule="auto"/>
              <w:jc w:val="both"/>
              <w:rPr>
                <w:rFonts w:cs="Calibri"/>
                <w:sz w:val="20"/>
                <w:szCs w:val="20"/>
                <w:lang w:val="en-US"/>
              </w:rPr>
            </w:pPr>
            <w:r w:rsidRPr="008C761D">
              <w:rPr>
                <w:rFonts w:cs="Calibri"/>
                <w:sz w:val="20"/>
                <w:szCs w:val="20"/>
                <w:lang w:val="en-US"/>
              </w:rPr>
              <w:t xml:space="preserve">ERP includes detailed overview of structural reforms and the planned funding broken down by categories, which suggests the possible impact on the budget. </w:t>
            </w:r>
          </w:p>
          <w:p w14:paraId="3740A2AB" w14:textId="70AE2C2F" w:rsidR="00D91B99" w:rsidRPr="008C761D" w:rsidRDefault="00C10268" w:rsidP="00C10268">
            <w:pPr>
              <w:spacing w:line="240" w:lineRule="auto"/>
              <w:jc w:val="both"/>
              <w:rPr>
                <w:rFonts w:cs="Calibri"/>
                <w:sz w:val="20"/>
                <w:szCs w:val="20"/>
                <w:lang w:val="en-US"/>
              </w:rPr>
            </w:pPr>
            <w:r w:rsidRPr="008C761D">
              <w:rPr>
                <w:rFonts w:cs="Calibri"/>
                <w:sz w:val="20"/>
                <w:szCs w:val="20"/>
                <w:lang w:val="en-US"/>
              </w:rPr>
              <w:t>Since there are brief explanations of the proposed changes in revenues and expenditures, but they do not cover the next two fiscal years, and are not all quantified, the score is D.</w:t>
            </w:r>
          </w:p>
        </w:tc>
      </w:tr>
    </w:tbl>
    <w:p w14:paraId="4CE51020" w14:textId="77777777" w:rsidR="00FB6C92" w:rsidRPr="008C761D" w:rsidRDefault="00FB6C92" w:rsidP="00E84CD0">
      <w:pPr>
        <w:spacing w:line="240" w:lineRule="auto"/>
        <w:jc w:val="both"/>
        <w:rPr>
          <w:rFonts w:eastAsia="MS PGothic" w:cs="Calibri"/>
          <w:b/>
          <w:bCs/>
          <w:i/>
          <w:iCs/>
          <w:color w:val="4F81BD"/>
          <w:lang w:val="en-US" w:eastAsia="zh-CN"/>
        </w:rPr>
      </w:pPr>
    </w:p>
    <w:p w14:paraId="124FB429" w14:textId="228B1659" w:rsidR="00D91B99" w:rsidRPr="008C761D" w:rsidRDefault="00D91B9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 / Background</w:t>
      </w:r>
    </w:p>
    <w:p w14:paraId="310AB810" w14:textId="77777777" w:rsidR="00C10268" w:rsidRPr="008C761D" w:rsidRDefault="00C10268" w:rsidP="00C10268">
      <w:pPr>
        <w:spacing w:line="240" w:lineRule="auto"/>
        <w:jc w:val="both"/>
        <w:rPr>
          <w:rFonts w:cs="Calibri"/>
          <w:lang w:val="en-US"/>
        </w:rPr>
      </w:pPr>
      <w:r w:rsidRPr="008C761D">
        <w:rPr>
          <w:rFonts w:cs="Calibri"/>
          <w:lang w:val="en-US"/>
        </w:rPr>
        <w:t xml:space="preserve">With a technical assistance from the World Bank, tax models have already been developed in the areas of PIT, CIT, VAT and excise duties. Nevertheless, these models remain to be fully implemented at the Ministry of Finance. At the same time, the already commenced process of training of the staff needs to continue further. Full utilization of the tax models will significantly enhance the tax revenue forecasting capabilities of the Ministry of Finance and will serve as a valuable tool for evidence-based tax policy making and for estimating tax compliance gap and tax expenditures costing. Further training </w:t>
      </w:r>
      <w:proofErr w:type="gramStart"/>
      <w:r w:rsidRPr="008C761D">
        <w:rPr>
          <w:rFonts w:cs="Calibri"/>
          <w:lang w:val="en-US"/>
        </w:rPr>
        <w:t>are</w:t>
      </w:r>
      <w:proofErr w:type="gramEnd"/>
      <w:r w:rsidRPr="008C761D">
        <w:rPr>
          <w:rFonts w:cs="Calibri"/>
          <w:lang w:val="en-US"/>
        </w:rPr>
        <w:t xml:space="preserve"> also needed for performing cost-benefit analyses of tax expenditures, periodic assessments of the tax collection costs, evaluation of compliance costs, scrutiny of tax evasion/tax avoidance trends, and overall analysis of tax administration efficiency</w:t>
      </w:r>
    </w:p>
    <w:p w14:paraId="416A9AF6" w14:textId="77777777" w:rsidR="003B2558" w:rsidRPr="006A0F62" w:rsidRDefault="003B2558" w:rsidP="00E84CD0">
      <w:pPr>
        <w:spacing w:line="240" w:lineRule="auto"/>
        <w:jc w:val="both"/>
        <w:rPr>
          <w:rFonts w:eastAsia="MS PGothic" w:cs="Calibri"/>
          <w:b/>
          <w:bCs/>
          <w:iCs/>
          <w:color w:val="0070C0"/>
          <w:lang w:val="en-US" w:eastAsia="zh-CN"/>
        </w:rPr>
      </w:pPr>
      <w:r w:rsidRPr="006A0F62">
        <w:rPr>
          <w:rFonts w:eastAsia="MS PGothic" w:cs="Calibri"/>
          <w:b/>
          <w:bCs/>
          <w:iCs/>
          <w:color w:val="0070C0"/>
          <w:lang w:val="en-US" w:eastAsia="zh-CN"/>
        </w:rPr>
        <w:t xml:space="preserve">Activity 1:  Implementation of developed tax models and further training of staff </w:t>
      </w:r>
    </w:p>
    <w:p w14:paraId="66E48C7C" w14:textId="77777777" w:rsidR="00C10268" w:rsidRPr="008C761D" w:rsidRDefault="00C10268" w:rsidP="00C10268">
      <w:pPr>
        <w:spacing w:line="240" w:lineRule="auto"/>
        <w:jc w:val="both"/>
        <w:rPr>
          <w:rFonts w:cs="Calibri"/>
          <w:lang w:val="en-US"/>
        </w:rPr>
      </w:pPr>
      <w:r w:rsidRPr="008C761D">
        <w:rPr>
          <w:rFonts w:cs="Calibri"/>
          <w:lang w:val="en-US"/>
        </w:rPr>
        <w:t>The tax models developed in the arreas of PIT, CIT, VAT and Excises will bring benefits only with their full installation at the Ministry of Finance, and with timely completion of training of the staff for proper and full utilization of these models in the process of revenue forecasting, simulation of tax policy changes and tax expenditure estimation and reporting</w:t>
      </w:r>
    </w:p>
    <w:p w14:paraId="5196C03D" w14:textId="77777777" w:rsidR="003B2558" w:rsidRPr="006A0F62" w:rsidRDefault="003B2558" w:rsidP="00E84CD0">
      <w:pPr>
        <w:spacing w:line="240" w:lineRule="auto"/>
        <w:jc w:val="both"/>
        <w:rPr>
          <w:rFonts w:eastAsia="MS PGothic" w:cs="Calibri"/>
          <w:b/>
          <w:bCs/>
          <w:iCs/>
          <w:color w:val="0070C0"/>
          <w:lang w:val="en-US" w:eastAsia="zh-CN"/>
        </w:rPr>
      </w:pPr>
      <w:r w:rsidRPr="006A0F62">
        <w:rPr>
          <w:rFonts w:eastAsia="MS PGothic" w:cs="Calibri"/>
          <w:b/>
          <w:bCs/>
          <w:iCs/>
          <w:color w:val="0070C0"/>
          <w:lang w:val="en-US" w:eastAsia="zh-CN"/>
        </w:rPr>
        <w:t>Activity 2: Extending the tax models with new modules and installation of Power BI tool</w:t>
      </w:r>
    </w:p>
    <w:p w14:paraId="6B92615A" w14:textId="2A2103D7" w:rsidR="00FB6C92" w:rsidRPr="008C761D" w:rsidRDefault="00C10268" w:rsidP="00E84CD0">
      <w:pPr>
        <w:spacing w:before="240" w:line="240" w:lineRule="auto"/>
        <w:jc w:val="both"/>
        <w:rPr>
          <w:rFonts w:cs="Calibri"/>
          <w:lang w:val="en-US"/>
        </w:rPr>
      </w:pPr>
      <w:r w:rsidRPr="008C761D">
        <w:rPr>
          <w:rFonts w:cs="Calibri"/>
          <w:lang w:val="en-US"/>
        </w:rPr>
        <w:t xml:space="preserve">There is a need to extend the already developed tax models with a new module for estimating of the tax expenditures that are </w:t>
      </w:r>
      <w:r w:rsidR="00944D78" w:rsidRPr="008C761D">
        <w:rPr>
          <w:rFonts w:cs="Calibri"/>
          <w:lang w:val="en-US"/>
        </w:rPr>
        <w:t>embedded</w:t>
      </w:r>
      <w:r w:rsidRPr="008C761D">
        <w:rPr>
          <w:rFonts w:cs="Calibri"/>
          <w:lang w:val="en-US"/>
        </w:rPr>
        <w:t xml:space="preserve"> into the tax legislation. Such a module will help accelerate the process of cost-benefit analysis of the tax expenditures and will serve as a basis for preparing comprehensive and timely tax expenditures reporting. Installation of a Power BI tool for the different tax instruments will significantly assist the process of regular and timely monitoring of the revenue realization and of analysing any deviations with the planned tax revenues.</w:t>
      </w:r>
    </w:p>
    <w:p w14:paraId="51E90B84" w14:textId="182F59BD" w:rsidR="00D91B99" w:rsidRPr="008C761D" w:rsidRDefault="00D91B99" w:rsidP="00E84CD0">
      <w:pPr>
        <w:spacing w:before="240" w:line="240" w:lineRule="auto"/>
        <w:jc w:val="both"/>
        <w:rPr>
          <w:rFonts w:cs="Calibri"/>
          <w:b/>
          <w:i/>
          <w:color w:val="0070C0"/>
          <w:lang w:val="en-US" w:eastAsia="zh-CN"/>
        </w:rPr>
      </w:pPr>
      <w:r w:rsidRPr="008C761D">
        <w:rPr>
          <w:rFonts w:cs="Calibri"/>
          <w:b/>
          <w:i/>
          <w:color w:val="0070C0"/>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D91B99" w:rsidRPr="008C761D" w14:paraId="0319818A" w14:textId="77777777" w:rsidTr="00A64926">
        <w:tc>
          <w:tcPr>
            <w:tcW w:w="3119" w:type="dxa"/>
            <w:tcBorders>
              <w:top w:val="nil"/>
              <w:bottom w:val="single" w:sz="4" w:space="0" w:color="FFFFFF"/>
            </w:tcBorders>
            <w:shd w:val="clear" w:color="auto" w:fill="002060"/>
          </w:tcPr>
          <w:p w14:paraId="746B9C98" w14:textId="7777777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Completedinyear:</w:t>
            </w:r>
          </w:p>
        </w:tc>
        <w:tc>
          <w:tcPr>
            <w:tcW w:w="5645" w:type="dxa"/>
            <w:tcBorders>
              <w:top w:val="nil"/>
              <w:bottom w:val="single" w:sz="4" w:space="0" w:color="FFFFFF"/>
            </w:tcBorders>
            <w:shd w:val="clear" w:color="auto" w:fill="D9E2F3"/>
          </w:tcPr>
          <w:p w14:paraId="5F6364A9" w14:textId="552F37E0" w:rsidR="00D91B99" w:rsidRPr="008C761D" w:rsidRDefault="00936202" w:rsidP="00E84CD0">
            <w:pPr>
              <w:spacing w:line="240" w:lineRule="auto"/>
              <w:jc w:val="both"/>
              <w:rPr>
                <w:rFonts w:cs="Calibri"/>
                <w:sz w:val="20"/>
                <w:szCs w:val="20"/>
                <w:lang w:val="en-US"/>
              </w:rPr>
            </w:pPr>
            <w:r w:rsidRPr="008C761D">
              <w:rPr>
                <w:rFonts w:cs="Calibri"/>
                <w:sz w:val="20"/>
                <w:szCs w:val="20"/>
                <w:lang w:val="en-US"/>
              </w:rPr>
              <w:t>202</w:t>
            </w:r>
            <w:r w:rsidR="00635D19" w:rsidRPr="008C761D">
              <w:rPr>
                <w:rFonts w:cs="Calibri"/>
                <w:sz w:val="20"/>
                <w:szCs w:val="20"/>
                <w:lang w:val="en-US"/>
              </w:rPr>
              <w:t>5</w:t>
            </w:r>
          </w:p>
        </w:tc>
      </w:tr>
      <w:tr w:rsidR="00D91B99" w:rsidRPr="008C761D" w14:paraId="00FC6C2E" w14:textId="77777777" w:rsidTr="00A64926">
        <w:tc>
          <w:tcPr>
            <w:tcW w:w="3119" w:type="dxa"/>
            <w:tcBorders>
              <w:top w:val="single" w:sz="4" w:space="0" w:color="FFFFFF"/>
              <w:bottom w:val="single" w:sz="4" w:space="0" w:color="FFFFFF"/>
            </w:tcBorders>
            <w:shd w:val="clear" w:color="auto" w:fill="002060"/>
          </w:tcPr>
          <w:p w14:paraId="048B2BF5" w14:textId="7777777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41E6C2F4" w14:textId="77777777" w:rsidR="00C10268" w:rsidRPr="008C761D" w:rsidRDefault="00C10268" w:rsidP="00C10268">
            <w:pPr>
              <w:spacing w:after="0" w:line="240" w:lineRule="auto"/>
              <w:jc w:val="both"/>
              <w:rPr>
                <w:rFonts w:cs="Calibri"/>
                <w:sz w:val="20"/>
                <w:szCs w:val="20"/>
                <w:lang w:val="en-US"/>
              </w:rPr>
            </w:pPr>
            <w:r w:rsidRPr="008C761D">
              <w:rPr>
                <w:rFonts w:cs="Calibri"/>
                <w:sz w:val="20"/>
                <w:szCs w:val="20"/>
                <w:lang w:val="en-US"/>
              </w:rPr>
              <w:t>- Full installation of the models for PIT, CIT, VAT and Excises;</w:t>
            </w:r>
          </w:p>
          <w:p w14:paraId="4CD1DC63" w14:textId="77777777" w:rsidR="00C10268" w:rsidRPr="008C761D" w:rsidRDefault="00C10268" w:rsidP="00C10268">
            <w:pPr>
              <w:spacing w:after="0" w:line="240" w:lineRule="auto"/>
              <w:jc w:val="both"/>
              <w:rPr>
                <w:rFonts w:cs="Calibri"/>
                <w:sz w:val="20"/>
                <w:szCs w:val="20"/>
                <w:lang w:val="en-US"/>
              </w:rPr>
            </w:pPr>
            <w:r w:rsidRPr="008C761D">
              <w:rPr>
                <w:rFonts w:cs="Calibri"/>
                <w:sz w:val="20"/>
                <w:szCs w:val="20"/>
                <w:lang w:val="en-US"/>
              </w:rPr>
              <w:t>- Extension of the tax models with a tax expenditures module;</w:t>
            </w:r>
          </w:p>
          <w:p w14:paraId="2A00A253" w14:textId="77777777" w:rsidR="00C10268" w:rsidRPr="008C761D" w:rsidRDefault="00C10268" w:rsidP="00C10268">
            <w:pPr>
              <w:spacing w:after="0" w:line="240" w:lineRule="auto"/>
              <w:jc w:val="both"/>
              <w:rPr>
                <w:rFonts w:cs="Calibri"/>
                <w:sz w:val="20"/>
                <w:szCs w:val="20"/>
                <w:lang w:val="en-US"/>
              </w:rPr>
            </w:pPr>
            <w:r w:rsidRPr="008C761D">
              <w:rPr>
                <w:rFonts w:cs="Calibri"/>
                <w:sz w:val="20"/>
                <w:szCs w:val="20"/>
                <w:lang w:val="en-US"/>
              </w:rPr>
              <w:t xml:space="preserve">- Installation of a Power BI tool </w:t>
            </w:r>
            <w:r w:rsidRPr="008C761D">
              <w:rPr>
                <w:rFonts w:cs="Calibri"/>
                <w:color w:val="212121"/>
                <w:sz w:val="20"/>
                <w:szCs w:val="20"/>
                <w:lang w:val="en-US"/>
              </w:rPr>
              <w:t>for regular monitoring of tax revenues</w:t>
            </w:r>
            <w:proofErr w:type="gramStart"/>
            <w:r w:rsidRPr="008C761D">
              <w:rPr>
                <w:rFonts w:cs="Calibri"/>
                <w:color w:val="212121"/>
                <w:sz w:val="20"/>
                <w:szCs w:val="20"/>
                <w:lang w:val="en-US"/>
              </w:rPr>
              <w:t>; </w:t>
            </w:r>
            <w:r w:rsidRPr="008C761D">
              <w:rPr>
                <w:rFonts w:cs="Calibri"/>
                <w:sz w:val="20"/>
                <w:szCs w:val="20"/>
                <w:lang w:val="en-US"/>
              </w:rPr>
              <w:t>;</w:t>
            </w:r>
            <w:proofErr w:type="gramEnd"/>
          </w:p>
          <w:p w14:paraId="0D90A451" w14:textId="75601441" w:rsidR="00D91B99" w:rsidRPr="008C761D" w:rsidRDefault="00C10268" w:rsidP="00C10268">
            <w:pPr>
              <w:spacing w:after="0" w:line="240" w:lineRule="auto"/>
              <w:jc w:val="both"/>
              <w:rPr>
                <w:rFonts w:cs="Calibri"/>
                <w:sz w:val="20"/>
                <w:szCs w:val="20"/>
                <w:lang w:val="en-US"/>
              </w:rPr>
            </w:pPr>
            <w:r w:rsidRPr="008C761D">
              <w:rPr>
                <w:rFonts w:cs="Calibri"/>
                <w:sz w:val="20"/>
                <w:szCs w:val="20"/>
                <w:lang w:val="en-US"/>
              </w:rPr>
              <w:t>- Training of staff for proper utilization of the tax models and for preparing tax expenditures and other tax reports;</w:t>
            </w:r>
          </w:p>
        </w:tc>
      </w:tr>
      <w:tr w:rsidR="00D91B99" w:rsidRPr="008C761D" w14:paraId="37162919" w14:textId="77777777" w:rsidTr="00A64926">
        <w:tc>
          <w:tcPr>
            <w:tcW w:w="3119" w:type="dxa"/>
            <w:tcBorders>
              <w:top w:val="single" w:sz="4" w:space="0" w:color="FFFFFF"/>
              <w:bottom w:val="single" w:sz="4" w:space="0" w:color="FFFFFF"/>
            </w:tcBorders>
            <w:shd w:val="clear" w:color="auto" w:fill="002060"/>
          </w:tcPr>
          <w:p w14:paraId="6ECECF64" w14:textId="2480C78B"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6E0B57">
              <w:rPr>
                <w:rFonts w:cs="Calibri"/>
                <w:b/>
                <w:color w:val="FFFFFF"/>
                <w:sz w:val="20"/>
                <w:szCs w:val="20"/>
                <w:lang w:val="en-US"/>
              </w:rPr>
              <w:t xml:space="preserve"> </w:t>
            </w:r>
            <w:r w:rsidRPr="008C761D">
              <w:rPr>
                <w:rFonts w:cs="Calibri"/>
                <w:b/>
                <w:color w:val="FFFFFF"/>
                <w:sz w:val="20"/>
                <w:szCs w:val="20"/>
                <w:lang w:val="en-US"/>
              </w:rPr>
              <w:t>implications:</w:t>
            </w:r>
          </w:p>
        </w:tc>
        <w:tc>
          <w:tcPr>
            <w:tcW w:w="5645" w:type="dxa"/>
            <w:tcBorders>
              <w:top w:val="single" w:sz="4" w:space="0" w:color="FFFFFF"/>
              <w:bottom w:val="single" w:sz="4" w:space="0" w:color="FFFFFF"/>
            </w:tcBorders>
            <w:shd w:val="clear" w:color="auto" w:fill="D9E2F3"/>
          </w:tcPr>
          <w:p w14:paraId="0EF70F64" w14:textId="4EDD9F6A" w:rsidR="00D91B99" w:rsidRPr="008C761D" w:rsidRDefault="004B25EB" w:rsidP="004B25EB">
            <w:pPr>
              <w:spacing w:line="240" w:lineRule="auto"/>
              <w:jc w:val="both"/>
              <w:rPr>
                <w:rFonts w:cs="Calibri"/>
                <w:sz w:val="20"/>
                <w:szCs w:val="20"/>
                <w:lang w:val="en-US"/>
              </w:rPr>
            </w:pPr>
            <w:r w:rsidRPr="008C761D">
              <w:rPr>
                <w:rFonts w:cs="Calibri"/>
                <w:sz w:val="20"/>
                <w:szCs w:val="20"/>
                <w:lang w:val="en-US"/>
              </w:rPr>
              <w:t xml:space="preserve">EUR </w:t>
            </w:r>
            <w:r w:rsidR="00D91B99" w:rsidRPr="008C761D">
              <w:rPr>
                <w:rFonts w:cs="Calibri"/>
                <w:sz w:val="20"/>
                <w:szCs w:val="20"/>
                <w:lang w:val="en-US"/>
              </w:rPr>
              <w:t>165</w:t>
            </w:r>
            <w:r w:rsidR="00A01213" w:rsidRPr="008C761D">
              <w:rPr>
                <w:rFonts w:cs="Calibri"/>
                <w:sz w:val="20"/>
                <w:szCs w:val="20"/>
                <w:lang w:val="en-US"/>
              </w:rPr>
              <w:t>,</w:t>
            </w:r>
            <w:r w:rsidR="00D91B99" w:rsidRPr="008C761D">
              <w:rPr>
                <w:rFonts w:cs="Calibri"/>
                <w:sz w:val="20"/>
                <w:szCs w:val="20"/>
                <w:lang w:val="en-US"/>
              </w:rPr>
              <w:t xml:space="preserve">000 </w:t>
            </w:r>
          </w:p>
        </w:tc>
      </w:tr>
      <w:tr w:rsidR="00D91B99" w:rsidRPr="008C761D" w14:paraId="21A12AA8" w14:textId="77777777" w:rsidTr="00A64926">
        <w:tc>
          <w:tcPr>
            <w:tcW w:w="3119" w:type="dxa"/>
            <w:tcBorders>
              <w:top w:val="single" w:sz="4" w:space="0" w:color="FFFFFF"/>
              <w:bottom w:val="single" w:sz="4" w:space="0" w:color="FFFFFF"/>
            </w:tcBorders>
            <w:shd w:val="clear" w:color="auto" w:fill="002060"/>
          </w:tcPr>
          <w:p w14:paraId="68337FA4" w14:textId="7B73ED7E"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w:t>
            </w:r>
            <w:r w:rsidR="006E0B57">
              <w:rPr>
                <w:rFonts w:cs="Calibri"/>
                <w:b/>
                <w:color w:val="FFFFFF"/>
                <w:sz w:val="20"/>
                <w:szCs w:val="20"/>
                <w:lang w:val="en-US"/>
              </w:rPr>
              <w:t xml:space="preserve"> </w:t>
            </w:r>
            <w:r w:rsidRPr="008C761D">
              <w:rPr>
                <w:rFonts w:cs="Calibri"/>
                <w:b/>
                <w:color w:val="FFFFFF"/>
                <w:sz w:val="20"/>
                <w:szCs w:val="20"/>
                <w:lang w:val="en-US"/>
              </w:rPr>
              <w:t xml:space="preserve">entity: </w:t>
            </w:r>
          </w:p>
        </w:tc>
        <w:tc>
          <w:tcPr>
            <w:tcW w:w="5645" w:type="dxa"/>
            <w:tcBorders>
              <w:top w:val="single" w:sz="4" w:space="0" w:color="FFFFFF"/>
              <w:bottom w:val="single" w:sz="4" w:space="0" w:color="FFFFFF"/>
            </w:tcBorders>
            <w:shd w:val="clear" w:color="auto" w:fill="D9E2F3"/>
          </w:tcPr>
          <w:p w14:paraId="1AB4B56F" w14:textId="02E7AEC1" w:rsidR="00D91B99" w:rsidRPr="008C761D" w:rsidRDefault="00FA0745" w:rsidP="00E84CD0">
            <w:pPr>
              <w:spacing w:line="240" w:lineRule="auto"/>
              <w:jc w:val="both"/>
              <w:rPr>
                <w:rFonts w:cs="Calibri"/>
                <w:sz w:val="20"/>
                <w:szCs w:val="20"/>
                <w:lang w:val="en-US"/>
              </w:rPr>
            </w:pPr>
            <w:r w:rsidRPr="00FA0745">
              <w:rPr>
                <w:rFonts w:cs="Calibri"/>
                <w:sz w:val="20"/>
                <w:szCs w:val="20"/>
                <w:lang w:val="en-US"/>
              </w:rPr>
              <w:t>MoF – Public revenues and Tax and Customs Policy Department</w:t>
            </w:r>
          </w:p>
        </w:tc>
      </w:tr>
      <w:tr w:rsidR="00D91B99" w:rsidRPr="008C761D" w14:paraId="40EA4FD8" w14:textId="77777777" w:rsidTr="00560316">
        <w:trPr>
          <w:trHeight w:val="845"/>
        </w:trPr>
        <w:tc>
          <w:tcPr>
            <w:tcW w:w="3119" w:type="dxa"/>
            <w:tcBorders>
              <w:top w:val="single" w:sz="4" w:space="0" w:color="FFFFFF"/>
              <w:bottom w:val="nil"/>
            </w:tcBorders>
            <w:shd w:val="clear" w:color="auto" w:fill="002060"/>
          </w:tcPr>
          <w:p w14:paraId="3EEE45E0" w14:textId="77777777" w:rsidR="00D91B99" w:rsidRPr="008C761D" w:rsidRDefault="00D91B99"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604EB428" w14:textId="1F5D17D9" w:rsidR="003D47FC" w:rsidRPr="008C761D" w:rsidRDefault="003D47FC" w:rsidP="003B2558">
            <w:pPr>
              <w:spacing w:after="0" w:line="240" w:lineRule="auto"/>
              <w:jc w:val="both"/>
              <w:rPr>
                <w:rFonts w:cs="Calibri"/>
                <w:sz w:val="20"/>
                <w:szCs w:val="20"/>
                <w:lang w:val="en-US"/>
              </w:rPr>
            </w:pPr>
            <w:r>
              <w:rPr>
                <w:rFonts w:cs="Calibri"/>
                <w:sz w:val="20"/>
                <w:szCs w:val="20"/>
                <w:lang w:val="en-US"/>
              </w:rPr>
              <w:t xml:space="preserve">-  </w:t>
            </w:r>
            <w:r w:rsidRPr="006D4B01">
              <w:rPr>
                <w:rFonts w:cs="Calibri"/>
                <w:sz w:val="20"/>
                <w:szCs w:val="20"/>
                <w:lang w:val="en-US"/>
              </w:rPr>
              <w:t>Due to the complexity of the model, it is not fully operational.</w:t>
            </w:r>
          </w:p>
          <w:p w14:paraId="2918DB57" w14:textId="7777777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Lack of data availability for regular updating of the models with latest tax data;</w:t>
            </w:r>
          </w:p>
          <w:p w14:paraId="39A357D8" w14:textId="77777777" w:rsidR="003B2558" w:rsidRPr="008C761D" w:rsidRDefault="003B2558" w:rsidP="003B2558">
            <w:pPr>
              <w:spacing w:after="0" w:line="240" w:lineRule="auto"/>
              <w:jc w:val="both"/>
              <w:rPr>
                <w:rFonts w:cs="Calibri"/>
                <w:sz w:val="20"/>
                <w:szCs w:val="20"/>
                <w:lang w:val="en-US"/>
              </w:rPr>
            </w:pPr>
            <w:r w:rsidRPr="008C761D">
              <w:rPr>
                <w:rFonts w:cs="Calibri"/>
                <w:sz w:val="20"/>
                <w:szCs w:val="20"/>
                <w:lang w:val="en-US"/>
              </w:rPr>
              <w:t>- Insufficient training of the staff in fully utilizing the tax models;</w:t>
            </w:r>
          </w:p>
          <w:p w14:paraId="4A6DDEFF" w14:textId="35B6DA8D" w:rsidR="003B2558" w:rsidRPr="008C761D" w:rsidRDefault="003D47FC" w:rsidP="003B2558">
            <w:pPr>
              <w:spacing w:after="0" w:line="240" w:lineRule="auto"/>
              <w:jc w:val="both"/>
              <w:rPr>
                <w:rFonts w:cs="Calibri"/>
                <w:sz w:val="20"/>
                <w:szCs w:val="20"/>
                <w:lang w:val="en-US"/>
              </w:rPr>
            </w:pPr>
            <w:r w:rsidRPr="008C761D">
              <w:rPr>
                <w:rFonts w:cs="Calibri"/>
                <w:sz w:val="20"/>
                <w:szCs w:val="20"/>
                <w:lang w:val="en-US"/>
              </w:rPr>
              <w:t>-  Excessive staff turnover</w:t>
            </w:r>
          </w:p>
          <w:p w14:paraId="7410BB32" w14:textId="77777777" w:rsidR="00D91B99" w:rsidRPr="008C761D" w:rsidRDefault="003B2558" w:rsidP="003B2558">
            <w:pPr>
              <w:spacing w:after="0" w:line="240" w:lineRule="auto"/>
              <w:jc w:val="both"/>
              <w:rPr>
                <w:rFonts w:cs="Calibri"/>
                <w:sz w:val="20"/>
                <w:szCs w:val="20"/>
                <w:lang w:val="en-US"/>
              </w:rPr>
            </w:pPr>
            <w:r w:rsidRPr="008C761D">
              <w:rPr>
                <w:rFonts w:cs="Calibri"/>
                <w:sz w:val="20"/>
                <w:szCs w:val="20"/>
                <w:lang w:val="en-US"/>
              </w:rPr>
              <w:lastRenderedPageBreak/>
              <w:t>-  Internal resistance to reform processes;</w:t>
            </w:r>
          </w:p>
        </w:tc>
      </w:tr>
    </w:tbl>
    <w:p w14:paraId="7805F3D9" w14:textId="77777777" w:rsidR="00D91B99" w:rsidRPr="008C761D" w:rsidRDefault="00D91B99" w:rsidP="00E84CD0">
      <w:pPr>
        <w:spacing w:line="240" w:lineRule="auto"/>
        <w:jc w:val="both"/>
        <w:rPr>
          <w:rFonts w:cs="Calibri"/>
          <w:b/>
          <w:i/>
          <w:color w:val="2E74B5"/>
          <w:lang w:val="en-US" w:eastAsia="zh-CN"/>
        </w:rPr>
      </w:pPr>
    </w:p>
    <w:p w14:paraId="1768B8A1" w14:textId="77777777" w:rsidR="00A64FD7" w:rsidRPr="005116C2" w:rsidRDefault="00C67FF9" w:rsidP="00E84CD0">
      <w:pPr>
        <w:pStyle w:val="Heading1"/>
        <w:spacing w:line="240" w:lineRule="auto"/>
        <w:jc w:val="both"/>
        <w:rPr>
          <w:rFonts w:ascii="Calibri" w:hAnsi="Calibri" w:cs="Calibri"/>
          <w:color w:val="2F5496"/>
          <w:sz w:val="28"/>
          <w:szCs w:val="28"/>
          <w:lang w:val="en-US"/>
        </w:rPr>
      </w:pPr>
      <w:r w:rsidRPr="008C761D">
        <w:rPr>
          <w:rFonts w:ascii="Calibri" w:hAnsi="Calibri" w:cs="Calibri"/>
          <w:color w:val="0070C0"/>
          <w:lang w:val="en-US"/>
        </w:rPr>
        <w:br w:type="page"/>
      </w:r>
      <w:bookmarkStart w:id="14" w:name="_Toc160611811"/>
      <w:r w:rsidR="00A64FD7" w:rsidRPr="005116C2">
        <w:rPr>
          <w:rFonts w:ascii="Calibri" w:hAnsi="Calibri" w:cs="Calibri"/>
          <w:color w:val="2F5496"/>
          <w:sz w:val="28"/>
          <w:szCs w:val="28"/>
          <w:lang w:val="en-US"/>
        </w:rPr>
        <w:lastRenderedPageBreak/>
        <w:t>Priority 2: Economic analysis and Macroeconomic forecasting</w:t>
      </w:r>
      <w:bookmarkEnd w:id="14"/>
    </w:p>
    <w:p w14:paraId="277FC870" w14:textId="77777777" w:rsidR="006B3D46" w:rsidRPr="008C761D" w:rsidRDefault="006B3D46" w:rsidP="006B3D46">
      <w:pPr>
        <w:spacing w:line="240" w:lineRule="auto"/>
        <w:jc w:val="both"/>
        <w:rPr>
          <w:rFonts w:cs="Calibri"/>
          <w:b/>
          <w:i/>
          <w:color w:val="0070C0"/>
          <w:lang w:val="en-US" w:eastAsia="zh-CN"/>
        </w:rPr>
      </w:pPr>
      <w:r w:rsidRPr="008C761D">
        <w:rPr>
          <w:rFonts w:cs="Calibri"/>
          <w:b/>
          <w:i/>
          <w:color w:val="0070C0"/>
          <w:lang w:val="en-US" w:eastAsia="zh-CN"/>
        </w:rPr>
        <w:t xml:space="preserve">Progress in the implementation </w:t>
      </w:r>
    </w:p>
    <w:p w14:paraId="37A69064" w14:textId="6B8C926A" w:rsidR="00827158" w:rsidRPr="008C761D" w:rsidRDefault="00827158" w:rsidP="00827158">
      <w:pPr>
        <w:spacing w:line="240" w:lineRule="auto"/>
        <w:jc w:val="both"/>
        <w:rPr>
          <w:rFonts w:eastAsia="MS PGothic" w:cs="Calibri"/>
          <w:lang w:val="en-US" w:eastAsia="zh-CN"/>
        </w:rPr>
      </w:pPr>
      <w:r w:rsidRPr="008C761D">
        <w:rPr>
          <w:rFonts w:eastAsia="MS PGothic" w:cs="Calibri"/>
          <w:lang w:val="en-US" w:eastAsia="zh-CN"/>
        </w:rPr>
        <w:t xml:space="preserve">Progress in implementation of activities was achieved in 2022 and 2023, with the activities commencing and implemented as per plan. Timely technical support was provided for start of activities, by </w:t>
      </w:r>
      <w:r w:rsidR="006E0B57">
        <w:rPr>
          <w:rFonts w:eastAsia="MS PGothic" w:cs="Calibri"/>
          <w:lang w:val="en-US" w:eastAsia="zh-CN"/>
        </w:rPr>
        <w:t>Swiss</w:t>
      </w:r>
      <w:r w:rsidRPr="008C761D">
        <w:rPr>
          <w:rFonts w:eastAsia="MS PGothic" w:cs="Calibri"/>
          <w:lang w:val="en-US" w:eastAsia="zh-CN"/>
        </w:rPr>
        <w:t xml:space="preserve"> Secretariat for Economic Affairs-SECO (Activity 1) and World Bank (Activities 2 and 4). </w:t>
      </w:r>
      <w:proofErr w:type="gramStart"/>
      <w:r w:rsidRPr="008C761D">
        <w:rPr>
          <w:rFonts w:eastAsia="MS PGothic" w:cs="Calibri"/>
          <w:lang w:val="en-US" w:eastAsia="zh-CN"/>
        </w:rPr>
        <w:t>Beneficiaries  duly</w:t>
      </w:r>
      <w:proofErr w:type="gramEnd"/>
      <w:r w:rsidRPr="008C761D">
        <w:rPr>
          <w:rFonts w:eastAsia="MS PGothic" w:cs="Calibri"/>
          <w:lang w:val="en-US" w:eastAsia="zh-CN"/>
        </w:rPr>
        <w:t xml:space="preserve">  worked with providers of TA during and between workshops, as well as on improving plans for the follow up activities.</w:t>
      </w:r>
    </w:p>
    <w:p w14:paraId="6BD61B42" w14:textId="77777777" w:rsidR="005D0DCC" w:rsidRPr="008C761D" w:rsidRDefault="005D0DCC" w:rsidP="00E84CD0">
      <w:pPr>
        <w:spacing w:line="240" w:lineRule="auto"/>
        <w:jc w:val="both"/>
        <w:rPr>
          <w:rFonts w:cs="Calibri"/>
          <w:b/>
          <w:i/>
          <w:color w:val="0070C0"/>
          <w:lang w:val="en-US" w:eastAsia="zh-CN"/>
        </w:rPr>
      </w:pPr>
      <w:r w:rsidRPr="008C761D">
        <w:rPr>
          <w:rFonts w:cs="Calibri"/>
          <w:b/>
          <w:i/>
          <w:color w:val="0070C0"/>
          <w:lang w:val="en-US" w:eastAsia="zh-CN"/>
        </w:rPr>
        <w:t>Objective</w:t>
      </w:r>
    </w:p>
    <w:p w14:paraId="2BF63D0C" w14:textId="77777777" w:rsidR="00534056" w:rsidRPr="008C761D" w:rsidRDefault="00534056" w:rsidP="00A84423">
      <w:pPr>
        <w:spacing w:line="240" w:lineRule="auto"/>
        <w:jc w:val="both"/>
        <w:rPr>
          <w:rFonts w:eastAsia="MS PGothic" w:cs="Calibri"/>
          <w:lang w:val="en-US" w:eastAsia="zh-CN"/>
        </w:rPr>
      </w:pPr>
      <w:r w:rsidRPr="008C761D">
        <w:rPr>
          <w:rFonts w:eastAsia="MS PGothic" w:cs="Calibri"/>
          <w:lang w:val="en-US" w:eastAsia="zh-CN"/>
        </w:rPr>
        <w:t>The objective of this priority is to upgrade the existing macro fiscal framework and capacities for the preparation of the budget plans and forecasts. To achieve the objective, it is necessary to eliminate risks of overly optimistic growth scenarios leading to unsustainable expenditure budgeting and strengthening fiscal risks identification, monitoring, disclosure and management.</w:t>
      </w:r>
    </w:p>
    <w:p w14:paraId="354D05D3" w14:textId="77777777" w:rsidR="00534056" w:rsidRPr="008C761D" w:rsidRDefault="00534056" w:rsidP="00A84423">
      <w:pPr>
        <w:spacing w:line="240" w:lineRule="auto"/>
        <w:jc w:val="both"/>
        <w:rPr>
          <w:rFonts w:cs="Calibri"/>
          <w:lang w:val="en-US"/>
        </w:rPr>
      </w:pPr>
      <w:r w:rsidRPr="008C761D">
        <w:rPr>
          <w:rFonts w:eastAsia="MS PGothic" w:cs="Calibri"/>
          <w:lang w:val="en-US" w:eastAsia="zh-CN"/>
        </w:rPr>
        <w:t xml:space="preserve">For this it is planned to conduct appropriate trainings to improve skills (Measures 1 through 4) and build upon the existing institutional architecture (Measures 3 to 4). </w:t>
      </w:r>
      <w:r w:rsidRPr="008C761D">
        <w:rPr>
          <w:rFonts w:cs="Calibri"/>
          <w:lang w:val="en-US"/>
        </w:rPr>
        <w:t>More specifically, the ob</w:t>
      </w:r>
      <w:r w:rsidRPr="008C761D">
        <w:rPr>
          <w:rFonts w:eastAsia="MS PGothic" w:cs="Calibri"/>
          <w:lang w:val="en-US" w:eastAsia="zh-CN"/>
        </w:rPr>
        <w:t>jective of Priority 2 will be achieved through the following measures and activities:</w:t>
      </w:r>
    </w:p>
    <w:tbl>
      <w:tblPr>
        <w:tblW w:w="8140" w:type="dxa"/>
        <w:jc w:val="center"/>
        <w:tblLayout w:type="fixed"/>
        <w:tblLook w:val="01E0" w:firstRow="1" w:lastRow="1" w:firstColumn="1" w:lastColumn="1" w:noHBand="0" w:noVBand="0"/>
      </w:tblPr>
      <w:tblGrid>
        <w:gridCol w:w="1714"/>
        <w:gridCol w:w="6426"/>
      </w:tblGrid>
      <w:tr w:rsidR="005D0DCC" w:rsidRPr="008C761D" w14:paraId="7D2C5804" w14:textId="77777777" w:rsidTr="000D26B1">
        <w:trPr>
          <w:jc w:val="center"/>
        </w:trPr>
        <w:tc>
          <w:tcPr>
            <w:tcW w:w="1714" w:type="dxa"/>
            <w:shd w:val="clear" w:color="auto" w:fill="auto"/>
            <w:vAlign w:val="center"/>
          </w:tcPr>
          <w:p w14:paraId="2FCE26E2" w14:textId="77777777" w:rsidR="005D0DCC" w:rsidRPr="008C761D" w:rsidRDefault="005D0DCC" w:rsidP="00E84CD0">
            <w:pPr>
              <w:spacing w:line="240" w:lineRule="auto"/>
              <w:jc w:val="both"/>
              <w:rPr>
                <w:rFonts w:cs="Calibri"/>
                <w:b/>
                <w:lang w:val="en-US"/>
              </w:rPr>
            </w:pPr>
            <w:r w:rsidRPr="008C761D">
              <w:rPr>
                <w:rFonts w:cs="Calibri"/>
                <w:b/>
                <w:lang w:val="en-US"/>
              </w:rPr>
              <w:t>Measure 1</w:t>
            </w:r>
            <w:r w:rsidR="005B0C60" w:rsidRPr="008C761D">
              <w:rPr>
                <w:rFonts w:cs="Calibri"/>
                <w:b/>
                <w:lang w:val="en-US"/>
              </w:rPr>
              <w:t>:</w:t>
            </w:r>
          </w:p>
        </w:tc>
        <w:tc>
          <w:tcPr>
            <w:tcW w:w="6426" w:type="dxa"/>
            <w:shd w:val="clear" w:color="auto" w:fill="auto"/>
            <w:vAlign w:val="center"/>
          </w:tcPr>
          <w:p w14:paraId="12B67828" w14:textId="77777777" w:rsidR="005D0DCC" w:rsidRPr="008C761D" w:rsidRDefault="005D0DCC" w:rsidP="00E84CD0">
            <w:pPr>
              <w:spacing w:line="240" w:lineRule="auto"/>
              <w:jc w:val="both"/>
              <w:rPr>
                <w:rFonts w:cs="Calibri"/>
                <w:b/>
                <w:lang w:val="en-US"/>
              </w:rPr>
            </w:pPr>
            <w:r w:rsidRPr="008C761D">
              <w:rPr>
                <w:rFonts w:cs="Calibri"/>
                <w:b/>
                <w:lang w:val="en-US"/>
              </w:rPr>
              <w:t xml:space="preserve">Capacity building for economic analyses </w:t>
            </w:r>
          </w:p>
        </w:tc>
      </w:tr>
      <w:tr w:rsidR="005D0DCC" w:rsidRPr="008C761D" w14:paraId="6243B36D" w14:textId="77777777" w:rsidTr="000D26B1">
        <w:trPr>
          <w:jc w:val="center"/>
        </w:trPr>
        <w:tc>
          <w:tcPr>
            <w:tcW w:w="1714" w:type="dxa"/>
            <w:shd w:val="clear" w:color="auto" w:fill="auto"/>
            <w:vAlign w:val="center"/>
          </w:tcPr>
          <w:p w14:paraId="29398837" w14:textId="77777777" w:rsidR="005D0DCC" w:rsidRPr="008C761D" w:rsidRDefault="005D0DCC" w:rsidP="00E84CD0">
            <w:pPr>
              <w:spacing w:line="240" w:lineRule="auto"/>
              <w:jc w:val="both"/>
              <w:rPr>
                <w:rFonts w:cs="Calibri"/>
                <w:lang w:val="en-US"/>
              </w:rPr>
            </w:pPr>
            <w:r w:rsidRPr="008C761D">
              <w:rPr>
                <w:rFonts w:cs="Calibri"/>
                <w:lang w:val="en-US"/>
              </w:rPr>
              <w:t>Activity 1:</w:t>
            </w:r>
          </w:p>
        </w:tc>
        <w:tc>
          <w:tcPr>
            <w:tcW w:w="6426" w:type="dxa"/>
            <w:shd w:val="clear" w:color="auto" w:fill="auto"/>
            <w:vAlign w:val="center"/>
          </w:tcPr>
          <w:p w14:paraId="1F2B7C13" w14:textId="77777777" w:rsidR="005D0DCC" w:rsidRPr="008C761D" w:rsidRDefault="005D0DCC" w:rsidP="00E84CD0">
            <w:pPr>
              <w:spacing w:line="240" w:lineRule="auto"/>
              <w:jc w:val="both"/>
              <w:rPr>
                <w:rFonts w:cs="Calibri"/>
                <w:lang w:val="en-US"/>
              </w:rPr>
            </w:pPr>
            <w:r w:rsidRPr="008C761D">
              <w:rPr>
                <w:rFonts w:cs="Calibri"/>
                <w:lang w:val="en-US"/>
              </w:rPr>
              <w:t>Increasing the scope of economic analyses</w:t>
            </w:r>
            <w:r w:rsidR="00CF6FC1" w:rsidRPr="008C761D">
              <w:rPr>
                <w:rFonts w:cs="Calibri"/>
                <w:lang w:val="en-US"/>
              </w:rPr>
              <w:t>;</w:t>
            </w:r>
          </w:p>
        </w:tc>
      </w:tr>
      <w:tr w:rsidR="005D0DCC" w:rsidRPr="008C761D" w14:paraId="5B1B16B1" w14:textId="77777777" w:rsidTr="000D26B1">
        <w:trPr>
          <w:jc w:val="center"/>
        </w:trPr>
        <w:tc>
          <w:tcPr>
            <w:tcW w:w="1714" w:type="dxa"/>
            <w:shd w:val="clear" w:color="auto" w:fill="auto"/>
            <w:vAlign w:val="center"/>
          </w:tcPr>
          <w:p w14:paraId="5A474439" w14:textId="77777777" w:rsidR="005D0DCC" w:rsidRPr="008C761D" w:rsidRDefault="005D0DCC" w:rsidP="00E84CD0">
            <w:pPr>
              <w:spacing w:line="240" w:lineRule="auto"/>
              <w:jc w:val="both"/>
              <w:rPr>
                <w:rFonts w:cs="Calibri"/>
                <w:lang w:val="en-US"/>
              </w:rPr>
            </w:pPr>
            <w:r w:rsidRPr="008C761D">
              <w:rPr>
                <w:rFonts w:cs="Calibri"/>
                <w:lang w:val="en-US"/>
              </w:rPr>
              <w:t>Activity 2:</w:t>
            </w:r>
          </w:p>
        </w:tc>
        <w:tc>
          <w:tcPr>
            <w:tcW w:w="6426" w:type="dxa"/>
            <w:shd w:val="clear" w:color="auto" w:fill="auto"/>
            <w:vAlign w:val="center"/>
          </w:tcPr>
          <w:p w14:paraId="7B11208F" w14:textId="77777777" w:rsidR="005D0DCC" w:rsidRPr="008C761D" w:rsidRDefault="005D0DCC" w:rsidP="00E84CD0">
            <w:pPr>
              <w:spacing w:line="240" w:lineRule="auto"/>
              <w:jc w:val="both"/>
              <w:rPr>
                <w:rFonts w:cs="Calibri"/>
                <w:lang w:val="en-US"/>
              </w:rPr>
            </w:pPr>
            <w:r w:rsidRPr="008C761D">
              <w:rPr>
                <w:rFonts w:cs="Calibri"/>
                <w:lang w:val="en-US"/>
              </w:rPr>
              <w:t>Economic policy impact assessment</w:t>
            </w:r>
            <w:r w:rsidR="00CF6FC1" w:rsidRPr="008C761D">
              <w:rPr>
                <w:rFonts w:cs="Calibri"/>
                <w:lang w:val="en-US"/>
              </w:rPr>
              <w:t>;</w:t>
            </w:r>
          </w:p>
        </w:tc>
      </w:tr>
      <w:tr w:rsidR="005D0DCC" w:rsidRPr="008C761D" w14:paraId="252A1B5F" w14:textId="77777777" w:rsidTr="000D26B1">
        <w:trPr>
          <w:jc w:val="center"/>
        </w:trPr>
        <w:tc>
          <w:tcPr>
            <w:tcW w:w="1714" w:type="dxa"/>
            <w:shd w:val="clear" w:color="auto" w:fill="auto"/>
            <w:vAlign w:val="center"/>
          </w:tcPr>
          <w:p w14:paraId="3942712C" w14:textId="77777777" w:rsidR="005D0DCC" w:rsidRPr="008C761D" w:rsidRDefault="005D0DCC" w:rsidP="00E84CD0">
            <w:pPr>
              <w:spacing w:line="240" w:lineRule="auto"/>
              <w:jc w:val="both"/>
              <w:rPr>
                <w:rFonts w:cs="Calibri"/>
                <w:b/>
                <w:lang w:val="en-US"/>
              </w:rPr>
            </w:pPr>
            <w:r w:rsidRPr="008C761D">
              <w:rPr>
                <w:rFonts w:cs="Calibri"/>
                <w:b/>
                <w:lang w:val="en-US"/>
              </w:rPr>
              <w:t>Measure 2</w:t>
            </w:r>
            <w:r w:rsidR="005B0C60" w:rsidRPr="008C761D">
              <w:rPr>
                <w:rFonts w:cs="Calibri"/>
                <w:b/>
                <w:lang w:val="en-US"/>
              </w:rPr>
              <w:t>:</w:t>
            </w:r>
          </w:p>
        </w:tc>
        <w:tc>
          <w:tcPr>
            <w:tcW w:w="6426" w:type="dxa"/>
            <w:shd w:val="clear" w:color="auto" w:fill="auto"/>
            <w:vAlign w:val="center"/>
          </w:tcPr>
          <w:p w14:paraId="44FC7BE7" w14:textId="77777777" w:rsidR="005D0DCC" w:rsidRPr="008C761D" w:rsidRDefault="005D0DCC" w:rsidP="00E84CD0">
            <w:pPr>
              <w:spacing w:line="240" w:lineRule="auto"/>
              <w:jc w:val="both"/>
              <w:rPr>
                <w:rFonts w:cs="Calibri"/>
                <w:b/>
                <w:lang w:val="en-US"/>
              </w:rPr>
            </w:pPr>
            <w:r w:rsidRPr="008C761D">
              <w:rPr>
                <w:rFonts w:cs="Calibri"/>
                <w:b/>
                <w:lang w:val="en-US"/>
              </w:rPr>
              <w:t>Developing new macroeconomic models</w:t>
            </w:r>
          </w:p>
        </w:tc>
      </w:tr>
      <w:tr w:rsidR="005D0DCC" w:rsidRPr="008C761D" w14:paraId="12DDEE92" w14:textId="77777777" w:rsidTr="000D26B1">
        <w:trPr>
          <w:jc w:val="center"/>
        </w:trPr>
        <w:tc>
          <w:tcPr>
            <w:tcW w:w="1714" w:type="dxa"/>
            <w:shd w:val="clear" w:color="auto" w:fill="auto"/>
            <w:vAlign w:val="center"/>
          </w:tcPr>
          <w:p w14:paraId="5B68C5CE" w14:textId="77777777" w:rsidR="005D0DCC" w:rsidRPr="008C761D" w:rsidRDefault="005D0DCC" w:rsidP="00E84CD0">
            <w:pPr>
              <w:spacing w:line="240" w:lineRule="auto"/>
              <w:jc w:val="both"/>
              <w:rPr>
                <w:rFonts w:cs="Calibri"/>
                <w:lang w:val="en-US"/>
              </w:rPr>
            </w:pPr>
            <w:r w:rsidRPr="008C761D">
              <w:rPr>
                <w:rFonts w:cs="Calibri"/>
                <w:lang w:val="en-US"/>
              </w:rPr>
              <w:t>Activity 1:</w:t>
            </w:r>
          </w:p>
        </w:tc>
        <w:tc>
          <w:tcPr>
            <w:tcW w:w="6426" w:type="dxa"/>
            <w:shd w:val="clear" w:color="auto" w:fill="auto"/>
            <w:vAlign w:val="center"/>
          </w:tcPr>
          <w:p w14:paraId="5D7955D0" w14:textId="77777777" w:rsidR="005D0DCC" w:rsidRPr="008C761D" w:rsidRDefault="005D0DCC" w:rsidP="00E84CD0">
            <w:pPr>
              <w:spacing w:line="240" w:lineRule="auto"/>
              <w:jc w:val="both"/>
              <w:rPr>
                <w:rFonts w:cs="Calibri"/>
                <w:lang w:val="en-US"/>
              </w:rPr>
            </w:pPr>
            <w:r w:rsidRPr="008C761D">
              <w:rPr>
                <w:rFonts w:cs="Calibri"/>
                <w:lang w:val="en-US"/>
              </w:rPr>
              <w:t>Developing macroeconomic forecasting tool</w:t>
            </w:r>
            <w:r w:rsidR="005B2203" w:rsidRPr="008C761D">
              <w:rPr>
                <w:rFonts w:cs="Calibri"/>
                <w:lang w:val="en-US"/>
              </w:rPr>
              <w:t>s</w:t>
            </w:r>
            <w:r w:rsidR="00CF6FC1" w:rsidRPr="008C761D">
              <w:rPr>
                <w:rFonts w:cs="Calibri"/>
                <w:lang w:val="en-US"/>
              </w:rPr>
              <w:t>;</w:t>
            </w:r>
          </w:p>
        </w:tc>
      </w:tr>
      <w:tr w:rsidR="005D0DCC" w:rsidRPr="008C761D" w14:paraId="32E659B7" w14:textId="77777777" w:rsidTr="000D26B1">
        <w:trPr>
          <w:jc w:val="center"/>
        </w:trPr>
        <w:tc>
          <w:tcPr>
            <w:tcW w:w="1714" w:type="dxa"/>
            <w:shd w:val="clear" w:color="auto" w:fill="auto"/>
            <w:vAlign w:val="center"/>
          </w:tcPr>
          <w:p w14:paraId="671620FE" w14:textId="77777777" w:rsidR="005D0DCC" w:rsidRPr="008C761D" w:rsidRDefault="005D0DCC" w:rsidP="00E84CD0">
            <w:pPr>
              <w:spacing w:line="240" w:lineRule="auto"/>
              <w:jc w:val="both"/>
              <w:rPr>
                <w:rFonts w:cs="Calibri"/>
                <w:b/>
                <w:lang w:val="en-US"/>
              </w:rPr>
            </w:pPr>
            <w:r w:rsidRPr="008C761D">
              <w:rPr>
                <w:rFonts w:cs="Calibri"/>
                <w:b/>
                <w:lang w:val="en-US"/>
              </w:rPr>
              <w:t>Measure 3</w:t>
            </w:r>
            <w:r w:rsidR="005B0C60" w:rsidRPr="008C761D">
              <w:rPr>
                <w:rFonts w:cs="Calibri"/>
                <w:b/>
                <w:lang w:val="en-US"/>
              </w:rPr>
              <w:t>:</w:t>
            </w:r>
          </w:p>
        </w:tc>
        <w:tc>
          <w:tcPr>
            <w:tcW w:w="6426" w:type="dxa"/>
            <w:shd w:val="clear" w:color="auto" w:fill="auto"/>
            <w:vAlign w:val="center"/>
          </w:tcPr>
          <w:p w14:paraId="56FC94D3" w14:textId="77777777" w:rsidR="005D0DCC" w:rsidRPr="008C761D" w:rsidRDefault="005D0DCC" w:rsidP="00E84CD0">
            <w:pPr>
              <w:spacing w:line="240" w:lineRule="auto"/>
              <w:jc w:val="both"/>
              <w:rPr>
                <w:rFonts w:cs="Calibri"/>
                <w:b/>
                <w:lang w:val="en-US"/>
              </w:rPr>
            </w:pPr>
            <w:r w:rsidRPr="008C761D">
              <w:rPr>
                <w:rFonts w:cs="Calibri"/>
                <w:b/>
                <w:lang w:val="en-US"/>
              </w:rPr>
              <w:t>Fiscal risks</w:t>
            </w:r>
          </w:p>
        </w:tc>
      </w:tr>
      <w:tr w:rsidR="005D0DCC" w:rsidRPr="008C761D" w14:paraId="7E0B0923" w14:textId="77777777" w:rsidTr="000D26B1">
        <w:trPr>
          <w:jc w:val="center"/>
        </w:trPr>
        <w:tc>
          <w:tcPr>
            <w:tcW w:w="1714" w:type="dxa"/>
            <w:shd w:val="clear" w:color="auto" w:fill="auto"/>
            <w:vAlign w:val="center"/>
          </w:tcPr>
          <w:p w14:paraId="4A0C8D02" w14:textId="77777777" w:rsidR="005D0DCC" w:rsidRPr="008C761D" w:rsidRDefault="005D0DCC" w:rsidP="00E84CD0">
            <w:pPr>
              <w:spacing w:line="240" w:lineRule="auto"/>
              <w:jc w:val="both"/>
              <w:rPr>
                <w:rFonts w:cs="Calibri"/>
                <w:b/>
                <w:lang w:val="en-US"/>
              </w:rPr>
            </w:pPr>
            <w:r w:rsidRPr="008C761D">
              <w:rPr>
                <w:rFonts w:cs="Calibri"/>
                <w:lang w:val="en-US"/>
              </w:rPr>
              <w:t>Activity 1:</w:t>
            </w:r>
          </w:p>
        </w:tc>
        <w:tc>
          <w:tcPr>
            <w:tcW w:w="6426" w:type="dxa"/>
            <w:shd w:val="clear" w:color="auto" w:fill="auto"/>
            <w:vAlign w:val="center"/>
          </w:tcPr>
          <w:p w14:paraId="5E8A6329" w14:textId="1B2C62B1" w:rsidR="005D0DCC" w:rsidRPr="008C761D" w:rsidRDefault="009C56A3" w:rsidP="00E84CD0">
            <w:pPr>
              <w:spacing w:line="240" w:lineRule="auto"/>
              <w:jc w:val="both"/>
              <w:rPr>
                <w:rFonts w:cs="Calibri"/>
                <w:lang w:val="en-US"/>
              </w:rPr>
            </w:pPr>
            <w:r w:rsidRPr="008C761D">
              <w:rPr>
                <w:rFonts w:cs="Calibri"/>
                <w:lang w:val="en-US"/>
              </w:rPr>
              <w:t>Establishing institutional framework for fiscal analyses at MoF</w:t>
            </w:r>
            <w:r w:rsidR="00CF6FC1" w:rsidRPr="008C761D">
              <w:rPr>
                <w:rFonts w:cs="Calibri"/>
                <w:lang w:val="en-US"/>
              </w:rPr>
              <w:t>;</w:t>
            </w:r>
          </w:p>
        </w:tc>
      </w:tr>
      <w:tr w:rsidR="005D0DCC" w:rsidRPr="008C761D" w14:paraId="0C8AECAA" w14:textId="77777777" w:rsidTr="000D26B1">
        <w:trPr>
          <w:jc w:val="center"/>
        </w:trPr>
        <w:tc>
          <w:tcPr>
            <w:tcW w:w="1714" w:type="dxa"/>
            <w:shd w:val="clear" w:color="auto" w:fill="auto"/>
            <w:vAlign w:val="center"/>
          </w:tcPr>
          <w:p w14:paraId="086A7D7A" w14:textId="77777777" w:rsidR="005D0DCC" w:rsidRPr="008C761D" w:rsidRDefault="005D0DCC" w:rsidP="00E84CD0">
            <w:pPr>
              <w:spacing w:line="240" w:lineRule="auto"/>
              <w:jc w:val="both"/>
              <w:rPr>
                <w:rFonts w:cs="Calibri"/>
                <w:b/>
                <w:lang w:val="en-US"/>
              </w:rPr>
            </w:pPr>
            <w:r w:rsidRPr="008C761D">
              <w:rPr>
                <w:rFonts w:cs="Calibri"/>
                <w:lang w:val="en-US"/>
              </w:rPr>
              <w:t>Activity 2:</w:t>
            </w:r>
          </w:p>
        </w:tc>
        <w:tc>
          <w:tcPr>
            <w:tcW w:w="6426" w:type="dxa"/>
            <w:shd w:val="clear" w:color="auto" w:fill="auto"/>
            <w:vAlign w:val="center"/>
          </w:tcPr>
          <w:p w14:paraId="785C6B3D" w14:textId="6F7F8230" w:rsidR="005D0DCC" w:rsidRPr="008C761D" w:rsidRDefault="00534056" w:rsidP="00E84CD0">
            <w:pPr>
              <w:spacing w:line="240" w:lineRule="auto"/>
              <w:jc w:val="both"/>
              <w:rPr>
                <w:rFonts w:cs="Calibri"/>
                <w:lang w:val="en-US"/>
              </w:rPr>
            </w:pPr>
            <w:r w:rsidRPr="008C761D">
              <w:rPr>
                <w:rFonts w:cs="Calibri"/>
                <w:lang w:val="en-US"/>
              </w:rPr>
              <w:t>Preparing consolidated Fiscal Risk Chapter in the Fiscal Strategy;</w:t>
            </w:r>
          </w:p>
        </w:tc>
      </w:tr>
      <w:tr w:rsidR="005D0DCC" w:rsidRPr="008C761D" w14:paraId="69D906FA" w14:textId="77777777" w:rsidTr="00CE2DF4">
        <w:trPr>
          <w:trHeight w:val="342"/>
          <w:jc w:val="center"/>
        </w:trPr>
        <w:tc>
          <w:tcPr>
            <w:tcW w:w="1714" w:type="dxa"/>
            <w:shd w:val="clear" w:color="auto" w:fill="auto"/>
            <w:vAlign w:val="center"/>
          </w:tcPr>
          <w:p w14:paraId="48A5DFA4" w14:textId="77777777" w:rsidR="005D0DCC" w:rsidRPr="008C761D" w:rsidRDefault="005D0DCC" w:rsidP="00E84CD0">
            <w:pPr>
              <w:spacing w:line="240" w:lineRule="auto"/>
              <w:jc w:val="both"/>
              <w:rPr>
                <w:rFonts w:cs="Calibri"/>
                <w:b/>
                <w:lang w:val="en-US"/>
              </w:rPr>
            </w:pPr>
            <w:r w:rsidRPr="008C761D">
              <w:rPr>
                <w:rFonts w:cs="Calibri"/>
                <w:b/>
                <w:lang w:val="en-US"/>
              </w:rPr>
              <w:t>Measure 4</w:t>
            </w:r>
            <w:r w:rsidR="005B0C60" w:rsidRPr="008C761D">
              <w:rPr>
                <w:rFonts w:cs="Calibri"/>
                <w:b/>
                <w:lang w:val="en-US"/>
              </w:rPr>
              <w:t>:</w:t>
            </w:r>
          </w:p>
        </w:tc>
        <w:tc>
          <w:tcPr>
            <w:tcW w:w="6426" w:type="dxa"/>
            <w:shd w:val="clear" w:color="auto" w:fill="auto"/>
            <w:vAlign w:val="center"/>
          </w:tcPr>
          <w:p w14:paraId="1E818506" w14:textId="77777777" w:rsidR="005F3447" w:rsidRPr="008C761D" w:rsidRDefault="006B3D46" w:rsidP="00E84CD0">
            <w:pPr>
              <w:spacing w:line="240" w:lineRule="auto"/>
              <w:jc w:val="both"/>
              <w:rPr>
                <w:rFonts w:cs="Calibri"/>
                <w:b/>
                <w:lang w:val="en-US"/>
              </w:rPr>
            </w:pPr>
            <w:r w:rsidRPr="008C761D">
              <w:rPr>
                <w:rFonts w:cs="Calibri"/>
                <w:b/>
                <w:lang w:val="en-US"/>
              </w:rPr>
              <w:t>Fiscal Council development</w:t>
            </w:r>
          </w:p>
        </w:tc>
      </w:tr>
      <w:tr w:rsidR="005D0DCC" w:rsidRPr="008C761D" w14:paraId="05E37D88" w14:textId="77777777" w:rsidTr="00CE2DF4">
        <w:trPr>
          <w:trHeight w:val="693"/>
          <w:jc w:val="center"/>
        </w:trPr>
        <w:tc>
          <w:tcPr>
            <w:tcW w:w="1714" w:type="dxa"/>
            <w:shd w:val="clear" w:color="auto" w:fill="auto"/>
            <w:vAlign w:val="center"/>
          </w:tcPr>
          <w:p w14:paraId="45ED8FD1" w14:textId="77777777" w:rsidR="005D0DCC" w:rsidRPr="008C761D" w:rsidRDefault="005D0DCC" w:rsidP="00E84CD0">
            <w:pPr>
              <w:spacing w:line="240" w:lineRule="auto"/>
              <w:jc w:val="both"/>
              <w:rPr>
                <w:rFonts w:cs="Calibri"/>
                <w:b/>
                <w:lang w:val="en-US"/>
              </w:rPr>
            </w:pPr>
            <w:r w:rsidRPr="008C761D">
              <w:rPr>
                <w:rFonts w:cs="Calibri"/>
                <w:lang w:val="en-US"/>
              </w:rPr>
              <w:t>Activity 1:</w:t>
            </w:r>
          </w:p>
        </w:tc>
        <w:tc>
          <w:tcPr>
            <w:tcW w:w="6426" w:type="dxa"/>
            <w:shd w:val="clear" w:color="auto" w:fill="auto"/>
            <w:vAlign w:val="center"/>
          </w:tcPr>
          <w:p w14:paraId="45B32D73" w14:textId="4D483543" w:rsidR="005D0DCC" w:rsidRPr="008C761D" w:rsidRDefault="00F769D0" w:rsidP="00E84CD0">
            <w:pPr>
              <w:spacing w:line="240" w:lineRule="auto"/>
              <w:jc w:val="both"/>
              <w:rPr>
                <w:rFonts w:cs="Calibri"/>
                <w:lang w:val="en-US"/>
              </w:rPr>
            </w:pPr>
            <w:r w:rsidRPr="008C761D">
              <w:rPr>
                <w:rFonts w:eastAsia="MS PGothic" w:cs="Calibri"/>
                <w:lang w:val="en-US" w:eastAsia="zh-CN"/>
              </w:rPr>
              <w:t>Putting in place an effective data sharing arrangement</w:t>
            </w:r>
            <w:r w:rsidR="00622767" w:rsidRPr="008C761D">
              <w:rPr>
                <w:rFonts w:eastAsia="MS PGothic" w:cs="Calibri"/>
                <w:lang w:val="en-US" w:eastAsia="zh-CN"/>
              </w:rPr>
              <w:t>;</w:t>
            </w:r>
          </w:p>
        </w:tc>
      </w:tr>
      <w:tr w:rsidR="005D0DCC" w:rsidRPr="008C761D" w14:paraId="46962D0A" w14:textId="77777777" w:rsidTr="000D26B1">
        <w:trPr>
          <w:jc w:val="center"/>
        </w:trPr>
        <w:tc>
          <w:tcPr>
            <w:tcW w:w="1714" w:type="dxa"/>
            <w:shd w:val="clear" w:color="auto" w:fill="auto"/>
            <w:vAlign w:val="center"/>
          </w:tcPr>
          <w:p w14:paraId="03537B57" w14:textId="77777777" w:rsidR="005D0DCC" w:rsidRPr="008C761D" w:rsidRDefault="005D0DCC" w:rsidP="00E84CD0">
            <w:pPr>
              <w:spacing w:line="240" w:lineRule="auto"/>
              <w:jc w:val="both"/>
              <w:rPr>
                <w:rFonts w:cs="Calibri"/>
                <w:lang w:val="en-US"/>
              </w:rPr>
            </w:pPr>
            <w:r w:rsidRPr="008C761D">
              <w:rPr>
                <w:rFonts w:cs="Calibri"/>
                <w:lang w:val="en-US"/>
              </w:rPr>
              <w:t>Activity 2:</w:t>
            </w:r>
          </w:p>
        </w:tc>
        <w:tc>
          <w:tcPr>
            <w:tcW w:w="6426" w:type="dxa"/>
            <w:shd w:val="clear" w:color="auto" w:fill="auto"/>
            <w:vAlign w:val="center"/>
          </w:tcPr>
          <w:p w14:paraId="34AF5D2C" w14:textId="77777777" w:rsidR="005D0DCC" w:rsidRPr="008C761D" w:rsidRDefault="005D0DCC" w:rsidP="00E84CD0">
            <w:pPr>
              <w:spacing w:line="240" w:lineRule="auto"/>
              <w:jc w:val="both"/>
              <w:rPr>
                <w:rFonts w:cs="Calibri"/>
                <w:lang w:val="en-US"/>
              </w:rPr>
            </w:pPr>
            <w:r w:rsidRPr="008C761D">
              <w:rPr>
                <w:rFonts w:cs="Calibri"/>
                <w:lang w:val="en-US"/>
              </w:rPr>
              <w:t>Building administrative capacity</w:t>
            </w:r>
            <w:r w:rsidR="00CF6FC1" w:rsidRPr="008C761D">
              <w:rPr>
                <w:rFonts w:cs="Calibri"/>
                <w:lang w:val="en-US"/>
              </w:rPr>
              <w:t>.</w:t>
            </w:r>
          </w:p>
        </w:tc>
      </w:tr>
    </w:tbl>
    <w:p w14:paraId="0A4AB120" w14:textId="77777777" w:rsidR="005D0DCC" w:rsidRPr="008C761D" w:rsidRDefault="005D0DCC" w:rsidP="00E84CD0">
      <w:pPr>
        <w:spacing w:line="240" w:lineRule="auto"/>
        <w:jc w:val="both"/>
        <w:rPr>
          <w:rFonts w:cs="Calibri"/>
          <w:b/>
          <w:i/>
          <w:color w:val="0070C0"/>
          <w:lang w:val="en-US" w:eastAsia="zh-CN"/>
        </w:rPr>
      </w:pPr>
      <w:r w:rsidRPr="008C761D">
        <w:rPr>
          <w:rFonts w:cs="Calibri"/>
          <w:b/>
          <w:i/>
          <w:color w:val="0070C0"/>
          <w:lang w:val="en-US" w:eastAsia="zh-CN"/>
        </w:rPr>
        <w:t>Outcome</w:t>
      </w:r>
      <w:r w:rsidR="00E971C8" w:rsidRPr="008C761D">
        <w:rPr>
          <w:rFonts w:cs="Calibri"/>
          <w:b/>
          <w:i/>
          <w:color w:val="0070C0"/>
          <w:lang w:val="en-US" w:eastAsia="zh-CN"/>
        </w:rPr>
        <w:t>s</w:t>
      </w:r>
    </w:p>
    <w:p w14:paraId="5FDDC579" w14:textId="77777777" w:rsidR="00534056" w:rsidRPr="008C761D" w:rsidRDefault="00534056" w:rsidP="00534056">
      <w:pPr>
        <w:spacing w:line="240" w:lineRule="auto"/>
        <w:jc w:val="both"/>
        <w:rPr>
          <w:rFonts w:cs="Calibri"/>
          <w:lang w:val="en-US"/>
        </w:rPr>
      </w:pPr>
      <w:r w:rsidRPr="008C761D">
        <w:rPr>
          <w:rFonts w:cs="Calibri"/>
          <w:lang w:val="en-US"/>
        </w:rPr>
        <w:t xml:space="preserve">The outcome of the realization of the four measures will result in improvement in the preparation and implementation of the fiscal policies.  By providing access to improved assessments of the fiscal risks, the policy makers will be in position to better plan and manage the fiscal expenditures of the country. </w:t>
      </w:r>
      <w:proofErr w:type="gramStart"/>
      <w:r w:rsidRPr="008C761D">
        <w:rPr>
          <w:rFonts w:cs="Calibri"/>
          <w:lang w:val="en-US"/>
        </w:rPr>
        <w:t>Thus</w:t>
      </w:r>
      <w:proofErr w:type="gramEnd"/>
      <w:r w:rsidRPr="008C761D">
        <w:rPr>
          <w:rFonts w:cs="Calibri"/>
          <w:lang w:val="en-US"/>
        </w:rPr>
        <w:t xml:space="preserve"> adequate capacities will be built within MoF and other institutions to detect, monitor and mitigate fiscal risks. Developing a functioning independent and expert Fiscal Council will also contribute to this outcome. Finally, by implementing the reform activities stated in this report the public institutions will retain professional and trained staff which is one of the requirements as </w:t>
      </w:r>
      <w:proofErr w:type="gramStart"/>
      <w:r w:rsidRPr="008C761D">
        <w:rPr>
          <w:rFonts w:cs="Calibri"/>
          <w:lang w:val="en-US"/>
        </w:rPr>
        <w:t>a</w:t>
      </w:r>
      <w:proofErr w:type="gramEnd"/>
      <w:r w:rsidRPr="008C761D">
        <w:rPr>
          <w:rFonts w:cs="Calibri"/>
          <w:lang w:val="en-US"/>
        </w:rPr>
        <w:t xml:space="preserve"> EU candidate country. This will also contribute towards improved planning and budgeting processes by ensuring unbiased and realistic forecasts of GDP and budget expenditures and revenues.</w:t>
      </w:r>
    </w:p>
    <w:p w14:paraId="6F6E9C63" w14:textId="77777777" w:rsidR="003B733F" w:rsidRPr="008C761D" w:rsidRDefault="005D0DCC" w:rsidP="003B733F">
      <w:pPr>
        <w:spacing w:line="240" w:lineRule="auto"/>
        <w:jc w:val="both"/>
        <w:rPr>
          <w:rFonts w:cs="Calibri"/>
          <w:b/>
          <w:i/>
          <w:color w:val="0070C0"/>
          <w:lang w:val="en-US" w:eastAsia="zh-CN"/>
        </w:rPr>
      </w:pPr>
      <w:r w:rsidRPr="008C761D">
        <w:rPr>
          <w:rFonts w:cs="Calibri"/>
          <w:b/>
          <w:i/>
          <w:color w:val="0070C0"/>
          <w:lang w:val="en-US" w:eastAsia="zh-CN"/>
        </w:rPr>
        <w:t>Outcome Indicator</w:t>
      </w:r>
      <w:r w:rsidR="00E971C8" w:rsidRPr="008C761D">
        <w:rPr>
          <w:rFonts w:cs="Calibri"/>
          <w:b/>
          <w:i/>
          <w:color w:val="0070C0"/>
          <w:lang w:val="en-US" w:eastAsia="zh-CN"/>
        </w:rPr>
        <w:t>s</w:t>
      </w:r>
    </w:p>
    <w:p w14:paraId="01726DB7" w14:textId="77777777" w:rsidR="005F3447" w:rsidRPr="008C761D" w:rsidRDefault="005F3447" w:rsidP="003A338C">
      <w:pPr>
        <w:numPr>
          <w:ilvl w:val="0"/>
          <w:numId w:val="92"/>
        </w:numPr>
        <w:spacing w:line="240" w:lineRule="auto"/>
        <w:jc w:val="both"/>
        <w:rPr>
          <w:rFonts w:eastAsia="MS PGothic" w:cs="Calibri"/>
          <w:lang w:val="en-US" w:eastAsia="zh-CN"/>
        </w:rPr>
      </w:pPr>
      <w:r w:rsidRPr="008C761D">
        <w:rPr>
          <w:rFonts w:eastAsia="MS PGothic" w:cs="Calibri"/>
          <w:lang w:val="en-US" w:eastAsia="zh-CN"/>
        </w:rPr>
        <w:lastRenderedPageBreak/>
        <w:t>Deviation between realised and forecasted GDP</w:t>
      </w:r>
    </w:p>
    <w:p w14:paraId="1DE7C0C0" w14:textId="77777777" w:rsidR="005F3447" w:rsidRPr="008C761D" w:rsidRDefault="005F3447" w:rsidP="003A338C">
      <w:pPr>
        <w:numPr>
          <w:ilvl w:val="0"/>
          <w:numId w:val="92"/>
        </w:numPr>
        <w:spacing w:line="240" w:lineRule="auto"/>
        <w:jc w:val="both"/>
        <w:rPr>
          <w:rFonts w:eastAsia="MS PGothic" w:cs="Calibri"/>
          <w:lang w:val="en-US" w:eastAsia="zh-CN"/>
        </w:rPr>
      </w:pPr>
      <w:r w:rsidRPr="008C761D">
        <w:rPr>
          <w:rFonts w:eastAsia="MS PGothic" w:cs="Calibri"/>
          <w:lang w:val="en-US" w:eastAsia="zh-CN"/>
        </w:rPr>
        <w:t>Deviation between actual and budgeted expenditures for specified risk-prone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DF6F7F" w14:paraId="3ADC11A9" w14:textId="77777777" w:rsidTr="002B77A4">
        <w:trPr>
          <w:trHeight w:val="395"/>
        </w:trPr>
        <w:tc>
          <w:tcPr>
            <w:tcW w:w="4608" w:type="dxa"/>
            <w:shd w:val="clear" w:color="auto" w:fill="E8E8E8"/>
          </w:tcPr>
          <w:p w14:paraId="5EDA533A" w14:textId="77777777" w:rsidR="00F004A4" w:rsidRPr="00DF6F7F" w:rsidRDefault="00F004A4" w:rsidP="002B77A4">
            <w:pPr>
              <w:spacing w:line="240" w:lineRule="auto"/>
              <w:jc w:val="both"/>
              <w:rPr>
                <w:rFonts w:asciiTheme="minorHAnsi" w:eastAsia="Times New Roman" w:hAnsiTheme="minorHAnsi" w:cs="Calibri"/>
                <w:b/>
                <w:bCs/>
                <w:i/>
                <w:iCs/>
                <w:color w:val="202124"/>
                <w:sz w:val="20"/>
                <w:szCs w:val="20"/>
                <w:lang w:val="en-US"/>
              </w:rPr>
            </w:pPr>
            <w:r w:rsidRPr="00DF6F7F">
              <w:rPr>
                <w:rFonts w:asciiTheme="minorHAnsi" w:eastAsia="Times New Roman" w:hAnsiTheme="minorHAnsi" w:cs="Calibri"/>
                <w:b/>
                <w:bCs/>
                <w:i/>
                <w:iCs/>
                <w:color w:val="202124"/>
                <w:sz w:val="20"/>
                <w:szCs w:val="20"/>
                <w:lang w:val="en-US"/>
              </w:rPr>
              <w:t>Baseline 2022</w:t>
            </w:r>
          </w:p>
        </w:tc>
        <w:tc>
          <w:tcPr>
            <w:tcW w:w="4608" w:type="dxa"/>
            <w:shd w:val="clear" w:color="auto" w:fill="E8E8E8"/>
          </w:tcPr>
          <w:p w14:paraId="78B7B65D" w14:textId="4DE6A6A0" w:rsidR="00F004A4" w:rsidRPr="00DF6F7F" w:rsidRDefault="00DF6F7F" w:rsidP="002B77A4">
            <w:pPr>
              <w:spacing w:line="240" w:lineRule="auto"/>
              <w:jc w:val="both"/>
              <w:rPr>
                <w:rFonts w:asciiTheme="minorHAnsi" w:eastAsia="Times New Roman" w:hAnsiTheme="minorHAnsi" w:cs="Calibri"/>
                <w:b/>
                <w:bCs/>
                <w:i/>
                <w:iCs/>
                <w:color w:val="202124"/>
                <w:sz w:val="20"/>
                <w:szCs w:val="20"/>
                <w:lang w:val="en-US"/>
              </w:rPr>
            </w:pPr>
            <w:r>
              <w:rPr>
                <w:rFonts w:asciiTheme="minorHAnsi" w:eastAsia="Times New Roman" w:hAnsiTheme="minorHAnsi" w:cs="Calibri"/>
                <w:b/>
                <w:bCs/>
                <w:i/>
                <w:iCs/>
                <w:color w:val="202124"/>
                <w:sz w:val="20"/>
                <w:szCs w:val="20"/>
                <w:lang w:val="en-US"/>
              </w:rPr>
              <w:t>Target 2026</w:t>
            </w:r>
          </w:p>
        </w:tc>
      </w:tr>
      <w:tr w:rsidR="00DF6F7F" w:rsidRPr="00DF6F7F" w14:paraId="6C89837A" w14:textId="77777777" w:rsidTr="00C93723">
        <w:trPr>
          <w:trHeight w:val="278"/>
        </w:trPr>
        <w:tc>
          <w:tcPr>
            <w:tcW w:w="4608" w:type="dxa"/>
            <w:shd w:val="clear" w:color="auto" w:fill="E8E8E8"/>
          </w:tcPr>
          <w:p w14:paraId="279E4E3F" w14:textId="392012C8" w:rsidR="00DF6F7F" w:rsidRPr="00DF6F7F" w:rsidRDefault="00DF6F7F" w:rsidP="00DF6F7F">
            <w:pPr>
              <w:spacing w:line="240" w:lineRule="auto"/>
              <w:jc w:val="both"/>
              <w:rPr>
                <w:rFonts w:asciiTheme="minorHAnsi" w:eastAsia="Times New Roman" w:hAnsiTheme="minorHAnsi" w:cs="Calibri"/>
                <w:color w:val="202124"/>
                <w:sz w:val="20"/>
                <w:szCs w:val="20"/>
                <w:lang w:val="en-US"/>
              </w:rPr>
            </w:pPr>
            <w:r w:rsidRPr="00DF6F7F">
              <w:rPr>
                <w:rFonts w:asciiTheme="minorHAnsi" w:eastAsia="Times New Roman" w:hAnsiTheme="minorHAnsi" w:cs="Arial"/>
                <w:sz w:val="20"/>
                <w:szCs w:val="20"/>
                <w:lang w:val="en-US" w:eastAsia="mk-MK"/>
              </w:rPr>
              <w:t>Analysis of current macroeconomic trends and indicators</w:t>
            </w:r>
          </w:p>
        </w:tc>
        <w:tc>
          <w:tcPr>
            <w:tcW w:w="4608" w:type="dxa"/>
            <w:shd w:val="clear" w:color="auto" w:fill="E8E8E8"/>
            <w:vAlign w:val="center"/>
          </w:tcPr>
          <w:p w14:paraId="5E4D7104" w14:textId="77777777" w:rsidR="00DF6F7F" w:rsidRPr="00DF6F7F" w:rsidRDefault="00DF6F7F" w:rsidP="00DF6F7F">
            <w:pPr>
              <w:spacing w:after="0"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 Increased scope of economic analyses and impact assessments</w:t>
            </w:r>
          </w:p>
          <w:p w14:paraId="7F2C9628" w14:textId="5BF5933F" w:rsidR="00DF6F7F" w:rsidRPr="00DF6F7F" w:rsidRDefault="00DF6F7F" w:rsidP="00DF6F7F">
            <w:pPr>
              <w:spacing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(from the area of labor market, the informal economy, the assessment of the productivity and the competitiveness of the economy, etc.)</w:t>
            </w:r>
          </w:p>
        </w:tc>
      </w:tr>
      <w:tr w:rsidR="00DF6F7F" w:rsidRPr="00DF6F7F" w14:paraId="1C87F99C" w14:textId="77777777" w:rsidTr="002B77A4">
        <w:trPr>
          <w:trHeight w:val="278"/>
        </w:trPr>
        <w:tc>
          <w:tcPr>
            <w:tcW w:w="4608" w:type="dxa"/>
            <w:shd w:val="clear" w:color="auto" w:fill="E8E8E8"/>
          </w:tcPr>
          <w:p w14:paraId="080756DB" w14:textId="4C6A15AA" w:rsidR="00DF6F7F" w:rsidRPr="00DF6F7F" w:rsidRDefault="00DF6F7F" w:rsidP="00DF6F7F">
            <w:pPr>
              <w:spacing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Nowcasting tool and a structural macroeconomic model</w:t>
            </w:r>
            <w:r w:rsidRPr="00DF6F7F">
              <w:rPr>
                <w:rFonts w:asciiTheme="minorHAnsi" w:eastAsia="Times New Roman" w:hAnsiTheme="minorHAnsi" w:cs="Arial"/>
                <w:sz w:val="20"/>
                <w:szCs w:val="20"/>
                <w:lang w:val="en-US" w:eastAsia="mk-MK"/>
              </w:rPr>
              <w:br/>
              <w:t>PEFA score PI-14. Macroeconomic and fiscal forecasting (M2) C+</w:t>
            </w:r>
          </w:p>
        </w:tc>
        <w:tc>
          <w:tcPr>
            <w:tcW w:w="4608" w:type="dxa"/>
            <w:shd w:val="clear" w:color="auto" w:fill="E8E8E8"/>
          </w:tcPr>
          <w:p w14:paraId="55CC314B" w14:textId="77777777" w:rsidR="00DF6F7F" w:rsidRPr="00DF6F7F" w:rsidRDefault="00DF6F7F" w:rsidP="00DF6F7F">
            <w:pPr>
              <w:spacing w:after="0"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New tools (short term and macrostructural models) for forecasting and analyses to be developed.</w:t>
            </w:r>
          </w:p>
          <w:p w14:paraId="1C9BB553" w14:textId="158BE0B7" w:rsidR="00DF6F7F" w:rsidRPr="00DF6F7F" w:rsidRDefault="00DF6F7F" w:rsidP="00DF6F7F">
            <w:pPr>
              <w:spacing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 xml:space="preserve"> PEFA score PI-14. Macroeconomic and fiscal forecasting (M2)   &gt; = B  </w:t>
            </w:r>
          </w:p>
        </w:tc>
      </w:tr>
      <w:tr w:rsidR="00DF6F7F" w:rsidRPr="00DF6F7F" w14:paraId="33E454D9" w14:textId="77777777" w:rsidTr="00C93723">
        <w:trPr>
          <w:trHeight w:val="278"/>
        </w:trPr>
        <w:tc>
          <w:tcPr>
            <w:tcW w:w="4608" w:type="dxa"/>
            <w:shd w:val="clear" w:color="auto" w:fill="E8E8E8"/>
            <w:vAlign w:val="center"/>
          </w:tcPr>
          <w:p w14:paraId="761A2D79" w14:textId="5F9B20EE" w:rsidR="00DF6F7F" w:rsidRPr="00DF6F7F" w:rsidRDefault="00DF6F7F" w:rsidP="00DF6F7F">
            <w:pPr>
              <w:spacing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Fiscal risks/Sensitive analyses in Fiscal Strategy (2021-2023)</w:t>
            </w:r>
            <w:r w:rsidRPr="00DF6F7F">
              <w:rPr>
                <w:rFonts w:asciiTheme="minorHAnsi" w:eastAsia="Times New Roman" w:hAnsiTheme="minorHAnsi" w:cs="Arial"/>
                <w:sz w:val="20"/>
                <w:szCs w:val="20"/>
                <w:lang w:val="en-US" w:eastAsia="mk-MK"/>
              </w:rPr>
              <w:br w:type="page"/>
              <w:t>PEFA scorePI-10. Fiscal risk reporting C+</w:t>
            </w:r>
          </w:p>
        </w:tc>
        <w:tc>
          <w:tcPr>
            <w:tcW w:w="4608" w:type="dxa"/>
            <w:shd w:val="clear" w:color="auto" w:fill="E8E8E8"/>
          </w:tcPr>
          <w:p w14:paraId="1BB1C47F" w14:textId="77777777" w:rsidR="00DF6F7F" w:rsidRPr="00DF6F7F" w:rsidRDefault="00DF6F7F" w:rsidP="00DF6F7F">
            <w:pPr>
              <w:spacing w:after="0"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Updated plan of activities for strengthening capacities for fiscal risks assessment and analyses</w:t>
            </w:r>
          </w:p>
          <w:p w14:paraId="654F7264" w14:textId="0DCBEC9E" w:rsidR="00DF6F7F" w:rsidRPr="00DF6F7F" w:rsidRDefault="00DF6F7F" w:rsidP="00DF6F7F">
            <w:pPr>
              <w:spacing w:line="240" w:lineRule="auto"/>
              <w:jc w:val="both"/>
              <w:rPr>
                <w:rFonts w:asciiTheme="minorHAnsi" w:eastAsia="Times New Roman" w:hAnsiTheme="minorHAnsi" w:cs="Arial"/>
                <w:sz w:val="20"/>
                <w:szCs w:val="20"/>
                <w:lang w:val="en-US" w:eastAsia="mk-MK"/>
              </w:rPr>
            </w:pPr>
            <w:r w:rsidRPr="00DF6F7F">
              <w:rPr>
                <w:rFonts w:asciiTheme="minorHAnsi" w:eastAsia="Times New Roman" w:hAnsiTheme="minorHAnsi" w:cs="Arial"/>
                <w:sz w:val="20"/>
                <w:szCs w:val="20"/>
                <w:lang w:val="en-US" w:eastAsia="mk-MK"/>
              </w:rPr>
              <w:t>PEFA scorePI-10. Fiscal risk reporting &gt; = B   </w:t>
            </w:r>
          </w:p>
        </w:tc>
      </w:tr>
      <w:tr w:rsidR="00DF6F7F" w:rsidRPr="00DF6F7F" w14:paraId="7AF736BC" w14:textId="77777777" w:rsidTr="005116C2">
        <w:trPr>
          <w:trHeight w:val="1034"/>
        </w:trPr>
        <w:tc>
          <w:tcPr>
            <w:tcW w:w="4608" w:type="dxa"/>
            <w:shd w:val="clear" w:color="auto" w:fill="E8E8E8"/>
          </w:tcPr>
          <w:p w14:paraId="5BA54A56" w14:textId="6C55FD33" w:rsidR="00DF6F7F" w:rsidRPr="005116C2" w:rsidRDefault="00DF6F7F" w:rsidP="00DF6F7F">
            <w:pPr>
              <w:spacing w:line="240" w:lineRule="auto"/>
              <w:jc w:val="both"/>
              <w:rPr>
                <w:rFonts w:asciiTheme="minorHAnsi" w:eastAsia="Times New Roman" w:hAnsiTheme="minorHAnsi" w:cstheme="minorHAnsi"/>
                <w:sz w:val="20"/>
                <w:szCs w:val="20"/>
                <w:lang w:val="en-US" w:eastAsia="mk-MK"/>
              </w:rPr>
            </w:pPr>
            <w:r w:rsidRPr="00DF6F7F">
              <w:rPr>
                <w:rFonts w:asciiTheme="minorHAnsi" w:eastAsia="Times New Roman" w:hAnsiTheme="minorHAnsi" w:cs="Arial"/>
                <w:sz w:val="20"/>
                <w:szCs w:val="20"/>
                <w:lang w:val="en-US" w:eastAsia="mk-MK"/>
              </w:rPr>
              <w:br/>
            </w:r>
            <w:r w:rsidRPr="005116C2">
              <w:rPr>
                <w:rFonts w:asciiTheme="minorHAnsi" w:eastAsia="Times New Roman" w:hAnsiTheme="minorHAnsi" w:cstheme="minorHAnsi"/>
                <w:sz w:val="20"/>
                <w:szCs w:val="20"/>
                <w:lang w:val="en-US" w:eastAsia="mk-MK"/>
              </w:rPr>
              <w:t>PEFA score PI-14. Macroeconomic and fiscal forecasting (M2) C+</w:t>
            </w:r>
          </w:p>
        </w:tc>
        <w:tc>
          <w:tcPr>
            <w:tcW w:w="4608" w:type="dxa"/>
            <w:shd w:val="clear" w:color="auto" w:fill="E8E8E8"/>
          </w:tcPr>
          <w:p w14:paraId="2B3BABC7" w14:textId="766B8268" w:rsidR="00DF6F7F" w:rsidRPr="00DF6F7F" w:rsidRDefault="00DF6F7F" w:rsidP="00DF6F7F">
            <w:pPr>
              <w:spacing w:after="0" w:line="240" w:lineRule="auto"/>
              <w:jc w:val="both"/>
              <w:rPr>
                <w:rFonts w:eastAsia="MS PGothic" w:cs="Calibri"/>
                <w:sz w:val="20"/>
                <w:szCs w:val="20"/>
                <w:lang w:val="en-US" w:eastAsia="zh-CN"/>
              </w:rPr>
            </w:pPr>
            <w:r w:rsidRPr="00DF6F7F">
              <w:rPr>
                <w:rFonts w:eastAsia="MS PGothic" w:cs="Calibri"/>
                <w:sz w:val="20"/>
                <w:szCs w:val="20"/>
                <w:lang w:val="en-US" w:eastAsia="zh-CN"/>
              </w:rPr>
              <w:t>Independent, objective and professional opinions on issues related to fiscal policy</w:t>
            </w:r>
          </w:p>
          <w:p w14:paraId="6F21B3AF" w14:textId="2B39B674" w:rsidR="00DF6F7F" w:rsidRPr="00DF6F7F" w:rsidRDefault="00DF6F7F" w:rsidP="00DF6F7F">
            <w:pPr>
              <w:spacing w:line="240" w:lineRule="auto"/>
              <w:jc w:val="both"/>
              <w:rPr>
                <w:rFonts w:asciiTheme="minorHAnsi" w:eastAsia="Times New Roman" w:hAnsiTheme="minorHAnsi" w:cs="Calibri"/>
                <w:color w:val="202124"/>
                <w:sz w:val="20"/>
                <w:szCs w:val="20"/>
                <w:lang w:val="en-US"/>
              </w:rPr>
            </w:pPr>
            <w:r w:rsidRPr="00DF6F7F">
              <w:rPr>
                <w:rFonts w:eastAsia="MS PGothic" w:cs="Calibri"/>
                <w:sz w:val="20"/>
                <w:szCs w:val="20"/>
                <w:lang w:val="en-US" w:eastAsia="zh-CN"/>
              </w:rPr>
              <w:t>PEFA score PI-14. Macroeconomic and fiscal forecasting (M2</w:t>
            </w:r>
            <w:proofErr w:type="gramStart"/>
            <w:r w:rsidRPr="00DF6F7F">
              <w:rPr>
                <w:rFonts w:eastAsia="MS PGothic" w:cs="Calibri"/>
                <w:sz w:val="20"/>
                <w:szCs w:val="20"/>
                <w:lang w:val="en-US" w:eastAsia="zh-CN"/>
              </w:rPr>
              <w:t>)  &gt;</w:t>
            </w:r>
            <w:proofErr w:type="gramEnd"/>
            <w:r w:rsidRPr="00DF6F7F">
              <w:rPr>
                <w:rFonts w:eastAsia="MS PGothic" w:cs="Calibri"/>
                <w:sz w:val="20"/>
                <w:szCs w:val="20"/>
                <w:lang w:val="en-US" w:eastAsia="zh-CN"/>
              </w:rPr>
              <w:t>= B</w:t>
            </w:r>
          </w:p>
        </w:tc>
      </w:tr>
    </w:tbl>
    <w:p w14:paraId="7285BE67" w14:textId="77777777" w:rsidR="006B3D46" w:rsidRPr="008C761D" w:rsidRDefault="005D0DCC" w:rsidP="006B3D46">
      <w:pPr>
        <w:spacing w:before="360" w:line="240" w:lineRule="auto"/>
        <w:jc w:val="both"/>
        <w:rPr>
          <w:rFonts w:cs="Calibri"/>
          <w:b/>
          <w:color w:val="0070C0"/>
          <w:sz w:val="24"/>
          <w:szCs w:val="24"/>
          <w:lang w:val="en-US"/>
        </w:rPr>
      </w:pPr>
      <w:r w:rsidRPr="008C761D">
        <w:rPr>
          <w:rFonts w:cs="Calibri"/>
          <w:b/>
          <w:color w:val="0070C0"/>
          <w:sz w:val="24"/>
          <w:szCs w:val="24"/>
          <w:lang w:val="en-US"/>
        </w:rPr>
        <w:t>Measure 1</w:t>
      </w:r>
      <w:r w:rsidR="00BB3D82" w:rsidRPr="008C761D">
        <w:rPr>
          <w:rFonts w:cs="Calibri"/>
          <w:b/>
          <w:color w:val="0070C0"/>
          <w:sz w:val="24"/>
          <w:szCs w:val="24"/>
          <w:lang w:val="en-US"/>
        </w:rPr>
        <w:t xml:space="preserve">: </w:t>
      </w:r>
      <w:r w:rsidRPr="008C761D">
        <w:rPr>
          <w:rFonts w:cs="Calibri"/>
          <w:b/>
          <w:color w:val="0070C0"/>
          <w:sz w:val="24"/>
          <w:szCs w:val="24"/>
          <w:lang w:val="en-US"/>
        </w:rPr>
        <w:t xml:space="preserve">Capacity building for economic analyses </w:t>
      </w:r>
    </w:p>
    <w:p w14:paraId="0FE66297" w14:textId="23750774" w:rsidR="006B3D46" w:rsidRPr="008C761D" w:rsidRDefault="006B3D46" w:rsidP="006B3D46">
      <w:pPr>
        <w:spacing w:before="360" w:line="240" w:lineRule="auto"/>
        <w:jc w:val="both"/>
        <w:rPr>
          <w:rFonts w:cs="Calibri"/>
          <w:b/>
          <w:color w:val="0070C0"/>
          <w:sz w:val="24"/>
          <w:szCs w:val="24"/>
          <w:lang w:val="en-US"/>
        </w:rPr>
      </w:pPr>
      <w:bookmarkStart w:id="15" w:name="_Hlk156373250"/>
      <w:r w:rsidRPr="008C761D">
        <w:rPr>
          <w:rFonts w:cs="Calibri"/>
          <w:b/>
          <w:color w:val="0070C0"/>
          <w:sz w:val="24"/>
          <w:szCs w:val="24"/>
          <w:lang w:val="en-US"/>
        </w:rPr>
        <w:t>Progress</w:t>
      </w:r>
      <w:r w:rsidR="00FB6C92" w:rsidRPr="008C761D">
        <w:rPr>
          <w:rFonts w:cs="Calibri"/>
          <w:b/>
          <w:color w:val="0070C0"/>
          <w:sz w:val="24"/>
          <w:szCs w:val="24"/>
          <w:lang w:val="en-US"/>
        </w:rPr>
        <w:t xml:space="preserve"> </w:t>
      </w:r>
      <w:r w:rsidRPr="008C761D">
        <w:rPr>
          <w:rFonts w:cs="Calibri"/>
          <w:b/>
          <w:color w:val="0070C0"/>
          <w:sz w:val="24"/>
          <w:szCs w:val="24"/>
          <w:lang w:val="en-US"/>
        </w:rPr>
        <w:t>in</w:t>
      </w:r>
      <w:r w:rsidR="00FB6C92" w:rsidRPr="008C761D">
        <w:rPr>
          <w:rFonts w:cs="Calibri"/>
          <w:b/>
          <w:color w:val="0070C0"/>
          <w:sz w:val="24"/>
          <w:szCs w:val="24"/>
          <w:lang w:val="en-US"/>
        </w:rPr>
        <w:t xml:space="preserve"> </w:t>
      </w:r>
      <w:r w:rsidRPr="008C761D">
        <w:rPr>
          <w:rFonts w:cs="Calibri"/>
          <w:b/>
          <w:color w:val="0070C0"/>
          <w:sz w:val="24"/>
          <w:szCs w:val="24"/>
          <w:lang w:val="en-US"/>
        </w:rPr>
        <w:t>the</w:t>
      </w:r>
      <w:r w:rsidR="00FB6C92" w:rsidRPr="008C761D">
        <w:rPr>
          <w:rFonts w:cs="Calibri"/>
          <w:b/>
          <w:color w:val="0070C0"/>
          <w:sz w:val="24"/>
          <w:szCs w:val="24"/>
          <w:lang w:val="en-US"/>
        </w:rPr>
        <w:t xml:space="preserve"> </w:t>
      </w:r>
      <w:r w:rsidRPr="008C761D">
        <w:rPr>
          <w:rFonts w:cs="Calibri"/>
          <w:b/>
          <w:color w:val="0070C0"/>
          <w:sz w:val="24"/>
          <w:szCs w:val="24"/>
          <w:lang w:val="en-US"/>
        </w:rPr>
        <w:t>implementation</w:t>
      </w:r>
    </w:p>
    <w:p w14:paraId="1461075C" w14:textId="67A2DB7B" w:rsidR="006B3D46" w:rsidRPr="008C761D" w:rsidRDefault="006B3D46" w:rsidP="006B3D46">
      <w:pPr>
        <w:spacing w:line="240" w:lineRule="auto"/>
        <w:jc w:val="both"/>
        <w:rPr>
          <w:rFonts w:eastAsia="MS PGothic" w:cs="Calibri"/>
          <w:lang w:val="en-US" w:eastAsia="zh-CN"/>
        </w:rPr>
      </w:pPr>
      <w:r w:rsidRPr="008C761D">
        <w:rPr>
          <w:rFonts w:eastAsia="MS PGothic" w:cs="Calibri"/>
          <w:lang w:val="en-US" w:eastAsia="zh-CN"/>
        </w:rPr>
        <w:t>All training missions planned with SECO have been realized in the period 2022-2023. This includes establishing macroeconomic planning framework as FPP model, which is in its final stage. Currently, the process of checking the consistency of the interlinked databases is ongoing, covering all sectors of the economy, i.e. real sector (including labour market aspects), government, monetary and external sector.</w:t>
      </w:r>
      <w:r w:rsidR="00944D78">
        <w:rPr>
          <w:rFonts w:eastAsia="MS PGothic" w:cs="Calibri"/>
          <w:lang w:val="en-US" w:eastAsia="zh-CN"/>
        </w:rPr>
        <w:t xml:space="preserve"> </w:t>
      </w:r>
      <w:r w:rsidRPr="008C761D">
        <w:rPr>
          <w:rFonts w:eastAsia="MS PGothic" w:cs="Calibri"/>
          <w:lang w:val="en-US" w:eastAsia="zh-CN"/>
        </w:rPr>
        <w:t>This framework should enable coherent analysis of macroeconomic and fiscal trends, consistent short- and medium-term forecasting of macroeconomic and fiscal variables and policy analysis, for which number of trainings were organized and additional foreseen for 2024.</w:t>
      </w:r>
    </w:p>
    <w:bookmarkEnd w:id="15"/>
    <w:p w14:paraId="6964195B" w14:textId="77777777" w:rsidR="005D0DCC" w:rsidRPr="008C761D" w:rsidRDefault="005D0DCC" w:rsidP="006B3D46">
      <w:pPr>
        <w:spacing w:before="360" w:line="240" w:lineRule="auto"/>
        <w:jc w:val="both"/>
        <w:rPr>
          <w:rFonts w:cs="Calibri"/>
          <w:b/>
          <w:i/>
          <w:color w:val="0070C0"/>
          <w:lang w:val="en-US" w:eastAsia="zh-CN"/>
        </w:rPr>
      </w:pPr>
      <w:r w:rsidRPr="008C761D">
        <w:rPr>
          <w:rFonts w:cs="Calibri"/>
          <w:b/>
          <w:i/>
          <w:color w:val="0070C0"/>
          <w:lang w:val="en-US" w:eastAsia="zh-CN"/>
        </w:rPr>
        <w:t xml:space="preserve">Measure </w:t>
      </w:r>
      <w:r w:rsidR="0037602D" w:rsidRPr="008C761D">
        <w:rPr>
          <w:rFonts w:cs="Calibri"/>
          <w:b/>
          <w:i/>
          <w:color w:val="0070C0"/>
          <w:lang w:val="en-US" w:eastAsia="zh-CN"/>
        </w:rPr>
        <w:t>objective</w:t>
      </w:r>
    </w:p>
    <w:p w14:paraId="402D9618" w14:textId="77777777" w:rsidR="005D0DCC" w:rsidRPr="008C761D" w:rsidRDefault="005D0DCC" w:rsidP="00E84CD0">
      <w:pPr>
        <w:spacing w:line="240" w:lineRule="auto"/>
        <w:jc w:val="both"/>
        <w:rPr>
          <w:rFonts w:cs="Calibri"/>
          <w:lang w:val="en-US"/>
        </w:rPr>
      </w:pPr>
      <w:bookmarkStart w:id="16" w:name="_Hlk156373291"/>
      <w:r w:rsidRPr="008C761D">
        <w:rPr>
          <w:rFonts w:cs="Calibri"/>
          <w:lang w:val="en-US"/>
        </w:rPr>
        <w:t>Capacity building of the Ministry of Finance</w:t>
      </w:r>
      <w:r w:rsidRPr="008C761D">
        <w:rPr>
          <w:rFonts w:eastAsia="MS PGothic" w:cs="Calibri"/>
          <w:lang w:val="en-US" w:eastAsia="zh-CN"/>
        </w:rPr>
        <w:t>, pertaining to economic analyses, should provide policy makers information on the expected results of economic measures to be undertaken.</w:t>
      </w:r>
    </w:p>
    <w:bookmarkEnd w:id="16"/>
    <w:p w14:paraId="2FE3EEFC" w14:textId="77777777" w:rsidR="005D0DCC" w:rsidRPr="008C761D" w:rsidRDefault="005D0DCC" w:rsidP="00E84CD0">
      <w:pPr>
        <w:pStyle w:val="ListParagraph"/>
        <w:tabs>
          <w:tab w:val="left" w:pos="426"/>
        </w:tabs>
        <w:spacing w:after="200" w:line="240" w:lineRule="auto"/>
        <w:ind w:left="142" w:right="142"/>
        <w:contextualSpacing w:val="0"/>
        <w:rPr>
          <w:rFonts w:cs="Calibri"/>
          <w:lang w:val="en-US"/>
        </w:rPr>
      </w:pPr>
      <w:r w:rsidRPr="008C761D">
        <w:rPr>
          <w:rFonts w:eastAsia="Calibri" w:cs="Calibri"/>
          <w:b/>
          <w:i/>
          <w:color w:val="0070C0"/>
          <w:lang w:val="en-US"/>
        </w:rPr>
        <w:t xml:space="preserve">Reference to the external </w:t>
      </w:r>
      <w:proofErr w:type="gramStart"/>
      <w:r w:rsidRPr="008C761D">
        <w:rPr>
          <w:rFonts w:eastAsia="Calibri" w:cs="Calibri"/>
          <w:b/>
          <w:i/>
          <w:color w:val="0070C0"/>
          <w:lang w:val="en-US"/>
        </w:rPr>
        <w:t>assessments</w:t>
      </w:r>
      <w:proofErr w:type="gramEnd"/>
      <w:r w:rsidRPr="008C761D">
        <w:rPr>
          <w:rFonts w:eastAsia="Calibri" w:cs="Calibri"/>
          <w:b/>
          <w:i/>
          <w:color w:val="0070C0"/>
          <w:lang w:val="en-US"/>
        </w:rPr>
        <w:t xml:space="preserve"> findings: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382"/>
        <w:gridCol w:w="7832"/>
      </w:tblGrid>
      <w:tr w:rsidR="005D0DCC" w:rsidRPr="008C761D" w14:paraId="0E2B1223" w14:textId="77777777" w:rsidTr="005116C2">
        <w:tc>
          <w:tcPr>
            <w:tcW w:w="1382" w:type="dxa"/>
            <w:shd w:val="clear" w:color="auto" w:fill="DDDDDD"/>
          </w:tcPr>
          <w:p w14:paraId="56541256" w14:textId="77777777" w:rsidR="005D0DCC" w:rsidRPr="006A0F62" w:rsidRDefault="005D0DCC" w:rsidP="00E84CD0">
            <w:pPr>
              <w:spacing w:line="240" w:lineRule="auto"/>
              <w:jc w:val="both"/>
              <w:rPr>
                <w:rFonts w:cs="Calibri"/>
                <w:b/>
                <w:sz w:val="20"/>
                <w:szCs w:val="20"/>
                <w:lang w:val="en-US"/>
              </w:rPr>
            </w:pPr>
            <w:r w:rsidRPr="006A0F62">
              <w:rPr>
                <w:rFonts w:cs="Calibri"/>
                <w:b/>
                <w:sz w:val="20"/>
                <w:szCs w:val="20"/>
                <w:lang w:val="en-US"/>
              </w:rPr>
              <w:t>SIGMA</w:t>
            </w:r>
            <w:r w:rsidR="00E971C8" w:rsidRPr="006A0F62">
              <w:rPr>
                <w:rFonts w:cs="Calibri"/>
                <w:b/>
                <w:sz w:val="20"/>
                <w:szCs w:val="20"/>
                <w:lang w:val="en-US"/>
              </w:rPr>
              <w:t xml:space="preserve"> 2021:</w:t>
            </w:r>
          </w:p>
        </w:tc>
        <w:tc>
          <w:tcPr>
            <w:tcW w:w="7832" w:type="dxa"/>
            <w:shd w:val="clear" w:color="auto" w:fill="DDDDDD"/>
          </w:tcPr>
          <w:p w14:paraId="72505072" w14:textId="77777777" w:rsidR="005D0DCC" w:rsidRPr="008C761D" w:rsidRDefault="005D0DCC" w:rsidP="00E84CD0">
            <w:pPr>
              <w:spacing w:line="240" w:lineRule="auto"/>
              <w:jc w:val="both"/>
              <w:rPr>
                <w:rFonts w:cs="Calibri"/>
                <w:sz w:val="20"/>
                <w:szCs w:val="20"/>
                <w:lang w:val="en-US"/>
              </w:rPr>
            </w:pPr>
            <w:r w:rsidRPr="008C761D">
              <w:rPr>
                <w:rFonts w:eastAsia="MS PGothic" w:cs="Calibri"/>
                <w:sz w:val="20"/>
                <w:szCs w:val="20"/>
                <w:lang w:val="en-US" w:eastAsia="zh-CN"/>
              </w:rPr>
              <w:t>Fiscal Strategy does not yet play a strategic role in the policy planning of the Government (Monitoring Report, 2021)</w:t>
            </w:r>
          </w:p>
        </w:tc>
      </w:tr>
      <w:tr w:rsidR="005D0DCC" w:rsidRPr="008C761D" w14:paraId="50675CDB" w14:textId="77777777" w:rsidTr="005116C2">
        <w:tc>
          <w:tcPr>
            <w:tcW w:w="1382" w:type="dxa"/>
            <w:shd w:val="clear" w:color="auto" w:fill="DDDDDD"/>
          </w:tcPr>
          <w:p w14:paraId="256391C6" w14:textId="77777777" w:rsidR="005D0DCC" w:rsidRPr="006A0F62" w:rsidRDefault="005D0DCC" w:rsidP="00E84CD0">
            <w:pPr>
              <w:spacing w:line="240" w:lineRule="auto"/>
              <w:jc w:val="both"/>
              <w:rPr>
                <w:rFonts w:cs="Calibri"/>
                <w:b/>
                <w:sz w:val="20"/>
                <w:szCs w:val="20"/>
                <w:lang w:val="en-US"/>
              </w:rPr>
            </w:pPr>
            <w:r w:rsidRPr="006A0F62">
              <w:rPr>
                <w:rFonts w:cs="Calibri"/>
                <w:b/>
                <w:sz w:val="20"/>
                <w:szCs w:val="20"/>
                <w:lang w:val="en-US"/>
              </w:rPr>
              <w:t>EU:</w:t>
            </w:r>
          </w:p>
        </w:tc>
        <w:tc>
          <w:tcPr>
            <w:tcW w:w="7832" w:type="dxa"/>
            <w:shd w:val="clear" w:color="auto" w:fill="DDDDDD"/>
          </w:tcPr>
          <w:p w14:paraId="77DC1039" w14:textId="0A0343CE" w:rsidR="005D0DCC" w:rsidRPr="008C761D" w:rsidRDefault="005D0DCC" w:rsidP="00E84CD0">
            <w:pPr>
              <w:spacing w:line="240" w:lineRule="auto"/>
              <w:jc w:val="both"/>
              <w:rPr>
                <w:rFonts w:cs="Calibri"/>
                <w:sz w:val="20"/>
                <w:szCs w:val="20"/>
                <w:lang w:val="en-US"/>
              </w:rPr>
            </w:pPr>
            <w:r w:rsidRPr="008C761D">
              <w:rPr>
                <w:rFonts w:eastAsia="MS PGothic" w:cs="Calibri"/>
                <w:sz w:val="20"/>
                <w:szCs w:val="20"/>
                <w:lang w:val="en-US" w:eastAsia="zh-CN"/>
              </w:rPr>
              <w:t>ERP’s sensitivity analysis would have benefited from a more comprehensive impact assessment.</w:t>
            </w:r>
            <w:r w:rsidR="00944D78">
              <w:rPr>
                <w:rFonts w:eastAsia="MS PGothic" w:cs="Calibri"/>
                <w:sz w:val="20"/>
                <w:szCs w:val="20"/>
                <w:lang w:val="en-US" w:eastAsia="zh-CN"/>
              </w:rPr>
              <w:t xml:space="preserve"> </w:t>
            </w:r>
            <w:r w:rsidRPr="008C761D">
              <w:rPr>
                <w:rFonts w:eastAsia="MS PGothic" w:cs="Calibri"/>
                <w:sz w:val="20"/>
                <w:szCs w:val="20"/>
                <w:lang w:val="en-US" w:eastAsia="zh-CN"/>
              </w:rPr>
              <w:t>More efforts are needed to quantify the impact for each measure and make the ERP the most relevant policy document to guide economic reforms (Commission's Assessment on 2021-2023 Economic Reform Program of North Macedonia).</w:t>
            </w:r>
          </w:p>
        </w:tc>
      </w:tr>
    </w:tbl>
    <w:p w14:paraId="28622B08" w14:textId="77777777" w:rsidR="005B0C60" w:rsidRPr="008C761D" w:rsidRDefault="005B0C60" w:rsidP="00E84CD0">
      <w:pPr>
        <w:spacing w:line="240" w:lineRule="auto"/>
        <w:jc w:val="both"/>
        <w:rPr>
          <w:rFonts w:cs="Calibri"/>
          <w:lang w:val="en-US"/>
        </w:rPr>
      </w:pPr>
    </w:p>
    <w:p w14:paraId="591993D8" w14:textId="77777777" w:rsidR="005D0DCC" w:rsidRPr="008C761D" w:rsidRDefault="005D0DCC" w:rsidP="00E84CD0">
      <w:pPr>
        <w:spacing w:line="240" w:lineRule="auto"/>
        <w:jc w:val="both"/>
        <w:rPr>
          <w:rFonts w:cs="Calibri"/>
          <w:b/>
          <w:i/>
          <w:color w:val="0070C0"/>
          <w:lang w:val="en-US" w:eastAsia="zh-CN"/>
        </w:rPr>
      </w:pPr>
      <w:r w:rsidRPr="008C761D">
        <w:rPr>
          <w:rFonts w:cs="Calibri"/>
          <w:b/>
          <w:i/>
          <w:color w:val="0070C0"/>
          <w:lang w:val="en-US" w:eastAsia="zh-CN"/>
        </w:rPr>
        <w:lastRenderedPageBreak/>
        <w:t>Context/Background</w:t>
      </w:r>
    </w:p>
    <w:p w14:paraId="45499950" w14:textId="2822A039" w:rsidR="005F3447" w:rsidRPr="008C761D" w:rsidRDefault="005F3447" w:rsidP="005F3447">
      <w:pPr>
        <w:spacing w:line="240" w:lineRule="auto"/>
        <w:jc w:val="both"/>
        <w:rPr>
          <w:rFonts w:eastAsia="MS PGothic" w:cs="Calibri"/>
          <w:lang w:val="en-US" w:eastAsia="zh-CN"/>
        </w:rPr>
      </w:pPr>
      <w:r w:rsidRPr="008C761D">
        <w:rPr>
          <w:rFonts w:eastAsia="MS PGothic" w:cs="Calibri"/>
          <w:lang w:val="en-US" w:eastAsia="zh-CN"/>
        </w:rPr>
        <w:t>Ministry of Finance prepares regular monthly and quarterly reports on economic trends, as well as the Budget and the medium-term budget framework, also coordinating and contributing significantly to the preparation of the Economic Reform Program and the Fiscal Strategy.</w:t>
      </w:r>
      <w:r w:rsidR="00944D78">
        <w:rPr>
          <w:rFonts w:eastAsia="MS PGothic" w:cs="Calibri"/>
          <w:lang w:val="en-US" w:eastAsia="zh-CN"/>
        </w:rPr>
        <w:t xml:space="preserve"> </w:t>
      </w:r>
      <w:r w:rsidRPr="008C761D">
        <w:rPr>
          <w:rFonts w:cs="Calibri"/>
          <w:lang w:val="en-US"/>
        </w:rPr>
        <w:t xml:space="preserve">Improving the quality of these documents also implies increasing the scope of economic analyses and </w:t>
      </w:r>
      <w:r w:rsidRPr="008C761D">
        <w:rPr>
          <w:rFonts w:eastAsia="MS PGothic" w:cs="Calibri"/>
          <w:lang w:val="en-US" w:eastAsia="zh-CN"/>
        </w:rPr>
        <w:t>providing impact assessment on economic policies, reforms or measures.</w:t>
      </w:r>
    </w:p>
    <w:p w14:paraId="338B75B8" w14:textId="0EAEE74E" w:rsidR="005F3447" w:rsidRPr="008C761D" w:rsidRDefault="005F3447" w:rsidP="005F3447">
      <w:pPr>
        <w:spacing w:line="240" w:lineRule="auto"/>
        <w:jc w:val="both"/>
        <w:rPr>
          <w:rFonts w:eastAsia="MS PGothic" w:cs="Calibri"/>
          <w:lang w:val="en-US" w:eastAsia="zh-CN"/>
        </w:rPr>
      </w:pPr>
      <w:r w:rsidRPr="008C761D">
        <w:rPr>
          <w:rFonts w:eastAsia="MS PGothic" w:cs="Calibri"/>
          <w:lang w:val="en-US" w:eastAsia="zh-CN"/>
        </w:rPr>
        <w:t>In this direction all training missions planned with SECO in the previous report have been realized in the period 2022-2023. This includes establishing macroeconomic planning framework as FPP model, which is in its final stage. Currently, the process of checking the consistency of the interlinked databases is ongoing, covering all sectors of the economy, i.e. real sector (including labour market aspects), government, monetary and external sector.</w:t>
      </w:r>
      <w:r w:rsidR="00944D78">
        <w:rPr>
          <w:rFonts w:eastAsia="MS PGothic" w:cs="Calibri"/>
          <w:lang w:val="en-US" w:eastAsia="zh-CN"/>
        </w:rPr>
        <w:t xml:space="preserve"> </w:t>
      </w:r>
      <w:r w:rsidRPr="008C761D">
        <w:rPr>
          <w:rFonts w:eastAsia="MS PGothic" w:cs="Calibri"/>
          <w:lang w:val="en-US" w:eastAsia="zh-CN"/>
        </w:rPr>
        <w:t>This framework should enable coherent analysis of macroeconomic and fiscal trends, consistent short- and medium-term forecasting of macroeconomic and fiscal variables and policy analysis, for which number of trainings were organized and additional foreseen for 2024.</w:t>
      </w:r>
    </w:p>
    <w:p w14:paraId="2F56FFEC" w14:textId="695C87A3" w:rsidR="005D0DCC" w:rsidRPr="008C761D" w:rsidRDefault="005D0DCC" w:rsidP="00E84CD0">
      <w:pPr>
        <w:spacing w:line="240" w:lineRule="auto"/>
        <w:jc w:val="both"/>
        <w:rPr>
          <w:rFonts w:cs="Calibri"/>
          <w:b/>
          <w:color w:val="0070C0"/>
          <w:lang w:val="en-US"/>
        </w:rPr>
      </w:pPr>
      <w:r w:rsidRPr="008C761D">
        <w:rPr>
          <w:rFonts w:cs="Calibri"/>
          <w:b/>
          <w:color w:val="0070C0"/>
          <w:lang w:val="en-US"/>
        </w:rPr>
        <w:t>Activity 1:</w:t>
      </w:r>
      <w:r w:rsidR="005116C2">
        <w:rPr>
          <w:rFonts w:cs="Calibri"/>
          <w:b/>
          <w:color w:val="0070C0"/>
          <w:lang w:val="en-US"/>
        </w:rPr>
        <w:t xml:space="preserve"> </w:t>
      </w:r>
      <w:r w:rsidRPr="008C761D">
        <w:rPr>
          <w:rFonts w:cs="Calibri"/>
          <w:b/>
          <w:color w:val="0070C0"/>
          <w:lang w:val="en-US"/>
        </w:rPr>
        <w:t>Increasing the scope of economic analyses</w:t>
      </w:r>
    </w:p>
    <w:tbl>
      <w:tblPr>
        <w:tblW w:w="9090" w:type="dxa"/>
        <w:tblInd w:w="18" w:type="dxa"/>
        <w:tblLook w:val="01E0" w:firstRow="1" w:lastRow="1" w:firstColumn="1" w:lastColumn="1" w:noHBand="0" w:noVBand="0"/>
      </w:tblPr>
      <w:tblGrid>
        <w:gridCol w:w="9090"/>
      </w:tblGrid>
      <w:tr w:rsidR="005D0DCC" w:rsidRPr="008C761D" w14:paraId="4A3F8CA0" w14:textId="77777777" w:rsidTr="00DB0B2A">
        <w:tc>
          <w:tcPr>
            <w:tcW w:w="9090" w:type="dxa"/>
            <w:shd w:val="clear" w:color="auto" w:fill="auto"/>
          </w:tcPr>
          <w:p w14:paraId="37A4D9AD" w14:textId="34D142CC" w:rsidR="005D0DCC" w:rsidRPr="008C761D" w:rsidRDefault="006B3D46" w:rsidP="00E84CD0">
            <w:pPr>
              <w:spacing w:line="240" w:lineRule="auto"/>
              <w:jc w:val="both"/>
              <w:rPr>
                <w:rFonts w:cs="Calibri"/>
                <w:lang w:val="en-US"/>
              </w:rPr>
            </w:pPr>
            <w:r w:rsidRPr="008C761D">
              <w:rPr>
                <w:rFonts w:eastAsia="MS PGothic" w:cs="Calibri"/>
                <w:lang w:val="en-US" w:eastAsia="zh-CN"/>
              </w:rPr>
              <w:t>Relevant units</w:t>
            </w:r>
            <w:r w:rsidR="006E0B57">
              <w:rPr>
                <w:rFonts w:eastAsia="MS PGothic" w:cs="Calibri"/>
                <w:lang w:val="en-US" w:eastAsia="zh-CN"/>
              </w:rPr>
              <w:t xml:space="preserve"> </w:t>
            </w:r>
            <w:r w:rsidRPr="008C761D">
              <w:rPr>
                <w:rFonts w:eastAsia="MS PGothic" w:cs="Calibri"/>
                <w:lang w:val="en-US" w:eastAsia="zh-CN"/>
              </w:rPr>
              <w:t>at MoF prepare analyses of the trends, covering certain areas of the domestic economy, which include</w:t>
            </w:r>
            <w:r w:rsidR="006E0B57">
              <w:rPr>
                <w:rFonts w:eastAsia="MS PGothic" w:cs="Calibri"/>
                <w:lang w:eastAsia="zh-CN"/>
              </w:rPr>
              <w:t>;</w:t>
            </w:r>
            <w:r w:rsidR="00944D78">
              <w:rPr>
                <w:rFonts w:eastAsia="MS PGothic" w:cs="Calibri"/>
                <w:lang w:val="en-US" w:eastAsia="zh-CN"/>
              </w:rPr>
              <w:t xml:space="preserve"> </w:t>
            </w:r>
            <w:r w:rsidRPr="008C761D">
              <w:rPr>
                <w:rFonts w:eastAsia="MS PGothic" w:cs="Calibri"/>
                <w:lang w:val="en-US" w:eastAsia="zh-CN"/>
              </w:rPr>
              <w:t>labor market developments, the informal economy, the assessment of the productivity and the competitiveness of the economy, etc.</w:t>
            </w:r>
            <w:r w:rsidR="00944D78">
              <w:rPr>
                <w:rFonts w:eastAsia="MS PGothic" w:cs="Calibri"/>
                <w:lang w:val="en-US" w:eastAsia="zh-CN"/>
              </w:rPr>
              <w:t xml:space="preserve"> </w:t>
            </w:r>
            <w:r w:rsidRPr="008C761D">
              <w:rPr>
                <w:rFonts w:eastAsia="MS PGothic" w:cs="Calibri"/>
                <w:lang w:val="en-US" w:eastAsia="zh-CN"/>
              </w:rPr>
              <w:t>Through</w:t>
            </w:r>
            <w:r w:rsidR="00944D78">
              <w:rPr>
                <w:rFonts w:eastAsia="MS PGothic" w:cs="Calibri"/>
                <w:lang w:val="en-US" w:eastAsia="zh-CN"/>
              </w:rPr>
              <w:t xml:space="preserve"> </w:t>
            </w:r>
            <w:r w:rsidRPr="008C761D">
              <w:rPr>
                <w:rFonts w:eastAsia="MS PGothic" w:cs="Calibri"/>
                <w:lang w:val="en-US" w:eastAsia="zh-CN"/>
              </w:rPr>
              <w:t>trainings</w:t>
            </w:r>
            <w:r w:rsidR="00944D78">
              <w:rPr>
                <w:rFonts w:eastAsia="MS PGothic" w:cs="Calibri"/>
                <w:lang w:val="en-US" w:eastAsia="zh-CN"/>
              </w:rPr>
              <w:t xml:space="preserve"> </w:t>
            </w:r>
            <w:r w:rsidRPr="008C761D">
              <w:rPr>
                <w:rFonts w:eastAsia="MS PGothic" w:cs="Calibri"/>
                <w:lang w:val="en-US" w:eastAsia="zh-CN"/>
              </w:rPr>
              <w:t>of</w:t>
            </w:r>
            <w:r w:rsidR="00944D78">
              <w:rPr>
                <w:rFonts w:eastAsia="MS PGothic" w:cs="Calibri"/>
                <w:lang w:val="en-US" w:eastAsia="zh-CN"/>
              </w:rPr>
              <w:t xml:space="preserve"> </w:t>
            </w:r>
            <w:r w:rsidRPr="008C761D">
              <w:rPr>
                <w:rFonts w:eastAsia="MS PGothic" w:cs="Calibri"/>
                <w:lang w:val="en-US" w:eastAsia="zh-CN"/>
              </w:rPr>
              <w:t>staff the analytical skills will be improved and new analystical tools will be introduced. The staff should be able to prepare more sophisticated analyses on regular basis in the next period.</w:t>
            </w:r>
          </w:p>
        </w:tc>
      </w:tr>
    </w:tbl>
    <w:p w14:paraId="0302BA9C" w14:textId="5B2627A4" w:rsidR="005D0DCC" w:rsidRPr="008C761D" w:rsidRDefault="005D0DCC" w:rsidP="00E84CD0">
      <w:pPr>
        <w:spacing w:line="240" w:lineRule="auto"/>
        <w:jc w:val="both"/>
        <w:rPr>
          <w:rFonts w:cs="Calibri"/>
          <w:b/>
          <w:color w:val="0070C0"/>
          <w:lang w:val="en-US"/>
        </w:rPr>
      </w:pPr>
      <w:r w:rsidRPr="008C761D">
        <w:rPr>
          <w:rFonts w:cs="Calibri"/>
          <w:b/>
          <w:color w:val="0070C0"/>
          <w:lang w:val="en-US"/>
        </w:rPr>
        <w:t>Activity 2:</w:t>
      </w:r>
      <w:r w:rsidR="005116C2">
        <w:rPr>
          <w:rFonts w:cs="Calibri"/>
          <w:b/>
          <w:color w:val="0070C0"/>
          <w:lang w:val="en-US"/>
        </w:rPr>
        <w:t xml:space="preserve"> </w:t>
      </w:r>
      <w:r w:rsidRPr="008C761D">
        <w:rPr>
          <w:rFonts w:cs="Calibri"/>
          <w:b/>
          <w:color w:val="0070C0"/>
          <w:lang w:val="en-US"/>
        </w:rPr>
        <w:t>Economic policy impact assessment</w:t>
      </w:r>
    </w:p>
    <w:tbl>
      <w:tblPr>
        <w:tblW w:w="9162" w:type="dxa"/>
        <w:tblInd w:w="18" w:type="dxa"/>
        <w:tblLook w:val="01E0" w:firstRow="1" w:lastRow="1" w:firstColumn="1" w:lastColumn="1" w:noHBand="0" w:noVBand="0"/>
      </w:tblPr>
      <w:tblGrid>
        <w:gridCol w:w="9162"/>
      </w:tblGrid>
      <w:tr w:rsidR="005D0DCC" w:rsidRPr="008C761D" w14:paraId="7631CD48" w14:textId="77777777" w:rsidTr="004B25EB">
        <w:tc>
          <w:tcPr>
            <w:tcW w:w="9162" w:type="dxa"/>
            <w:shd w:val="clear" w:color="auto" w:fill="auto"/>
          </w:tcPr>
          <w:p w14:paraId="1ABD960A" w14:textId="67D5469E" w:rsidR="005D0DCC" w:rsidRPr="008C761D" w:rsidRDefault="005D0DCC" w:rsidP="005F251D">
            <w:pPr>
              <w:spacing w:line="240" w:lineRule="auto"/>
              <w:ind w:right="55"/>
              <w:jc w:val="both"/>
              <w:rPr>
                <w:rFonts w:cs="Calibri"/>
                <w:lang w:val="en-US"/>
              </w:rPr>
            </w:pPr>
            <w:r w:rsidRPr="008C761D">
              <w:rPr>
                <w:rFonts w:cs="Calibri"/>
                <w:lang w:val="en-US"/>
              </w:rPr>
              <w:t>Staff will, via trainings carried out by the relevant institutions, be able to assess the impact from certain economic policies, reforms or measures.</w:t>
            </w:r>
            <w:r w:rsidR="00944D78">
              <w:rPr>
                <w:rFonts w:cs="Calibri"/>
                <w:lang w:val="en-US"/>
              </w:rPr>
              <w:t xml:space="preserve"> </w:t>
            </w:r>
            <w:r w:rsidRPr="008C761D">
              <w:rPr>
                <w:rFonts w:eastAsia="MS PGothic" w:cs="Calibri"/>
                <w:lang w:val="en-US" w:eastAsia="zh-CN"/>
              </w:rPr>
              <w:t>Economic policies and reforms that are part of the Government Program, as well as economic measures to be included in the Economic Reform Program are potential areas that this activity could focus on.</w:t>
            </w:r>
            <w:r w:rsidR="005F251D">
              <w:rPr>
                <w:rFonts w:eastAsia="MS PGothic" w:cs="Calibri"/>
                <w:lang w:val="en-US" w:eastAsia="zh-CN"/>
              </w:rPr>
              <w:t xml:space="preserve"> </w:t>
            </w:r>
            <w:r w:rsidRPr="008C761D">
              <w:rPr>
                <w:rFonts w:eastAsia="MS PGothic" w:cs="Calibri"/>
                <w:lang w:val="en-US" w:eastAsia="zh-CN"/>
              </w:rPr>
              <w:t>Within this activity, trainings should provide the staff with knowledge and toolkit, in order for them to be able to conduct independently the impact assessment as regards the future economic policies, reforms or measures.</w:t>
            </w:r>
          </w:p>
        </w:tc>
      </w:tr>
    </w:tbl>
    <w:p w14:paraId="6F9D3738" w14:textId="77777777" w:rsidR="005D0DCC" w:rsidRPr="008C761D" w:rsidRDefault="005D0DCC" w:rsidP="00E84CD0">
      <w:pPr>
        <w:spacing w:line="240" w:lineRule="auto"/>
        <w:jc w:val="both"/>
        <w:rPr>
          <w:rFonts w:cs="Calibri"/>
          <w:b/>
          <w:i/>
          <w:color w:val="FFFFFF"/>
          <w:lang w:val="en-US" w:eastAsia="zh-CN"/>
        </w:rPr>
      </w:pPr>
      <w:r w:rsidRPr="008C761D">
        <w:rPr>
          <w:rFonts w:cs="Calibri"/>
          <w:b/>
          <w:i/>
          <w:color w:val="FFFFFF"/>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435"/>
        <w:gridCol w:w="6040"/>
      </w:tblGrid>
      <w:tr w:rsidR="005D0DCC" w:rsidRPr="008C761D" w14:paraId="0DB1F563" w14:textId="77777777" w:rsidTr="005116C2">
        <w:trPr>
          <w:trHeight w:val="419"/>
        </w:trPr>
        <w:tc>
          <w:tcPr>
            <w:tcW w:w="2435" w:type="dxa"/>
            <w:tcBorders>
              <w:top w:val="nil"/>
              <w:bottom w:val="single" w:sz="4" w:space="0" w:color="FFFFFF"/>
            </w:tcBorders>
            <w:shd w:val="clear" w:color="auto" w:fill="2F5496"/>
          </w:tcPr>
          <w:p w14:paraId="7D5C471E"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040" w:type="dxa"/>
            <w:tcBorders>
              <w:top w:val="nil"/>
              <w:bottom w:val="single" w:sz="4" w:space="0" w:color="FFFFFF"/>
            </w:tcBorders>
            <w:shd w:val="clear" w:color="auto" w:fill="D9E2F3"/>
          </w:tcPr>
          <w:p w14:paraId="582139C4" w14:textId="6AE5EF81"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202</w:t>
            </w:r>
            <w:r w:rsidR="00600944" w:rsidRPr="008C761D">
              <w:rPr>
                <w:rFonts w:cs="Calibri"/>
                <w:sz w:val="20"/>
                <w:szCs w:val="20"/>
                <w:lang w:val="en-US"/>
              </w:rPr>
              <w:t>6</w:t>
            </w:r>
          </w:p>
        </w:tc>
      </w:tr>
      <w:tr w:rsidR="005D0DCC" w:rsidRPr="008C761D" w14:paraId="71CE4FC7" w14:textId="77777777" w:rsidTr="005116C2">
        <w:trPr>
          <w:trHeight w:val="707"/>
        </w:trPr>
        <w:tc>
          <w:tcPr>
            <w:tcW w:w="2435" w:type="dxa"/>
            <w:tcBorders>
              <w:top w:val="single" w:sz="4" w:space="0" w:color="FFFFFF"/>
              <w:bottom w:val="single" w:sz="4" w:space="0" w:color="FFFFFF"/>
            </w:tcBorders>
            <w:shd w:val="clear" w:color="auto" w:fill="2F5496"/>
          </w:tcPr>
          <w:p w14:paraId="7F1FA0FE"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040" w:type="dxa"/>
            <w:tcBorders>
              <w:top w:val="single" w:sz="4" w:space="0" w:color="FFFFFF"/>
              <w:bottom w:val="single" w:sz="4" w:space="0" w:color="FFFFFF"/>
            </w:tcBorders>
            <w:shd w:val="clear" w:color="auto" w:fill="D9E2F3"/>
          </w:tcPr>
          <w:p w14:paraId="7B701BCB" w14:textId="77777777" w:rsidR="005D0DCC" w:rsidRPr="008C761D" w:rsidRDefault="005D0DCC" w:rsidP="003A338C">
            <w:pPr>
              <w:numPr>
                <w:ilvl w:val="0"/>
                <w:numId w:val="40"/>
              </w:numPr>
              <w:spacing w:after="0" w:line="240" w:lineRule="auto"/>
              <w:jc w:val="both"/>
              <w:rPr>
                <w:rFonts w:cs="Calibri"/>
                <w:sz w:val="20"/>
                <w:szCs w:val="20"/>
                <w:lang w:val="en-US"/>
              </w:rPr>
            </w:pPr>
            <w:r w:rsidRPr="008C761D">
              <w:rPr>
                <w:rFonts w:cs="Calibri"/>
                <w:sz w:val="20"/>
                <w:szCs w:val="20"/>
                <w:lang w:val="en-US"/>
              </w:rPr>
              <w:t>Additional economic analyses</w:t>
            </w:r>
            <w:r w:rsidR="006A657E" w:rsidRPr="008C761D">
              <w:rPr>
                <w:rFonts w:cs="Calibri"/>
                <w:sz w:val="20"/>
                <w:szCs w:val="20"/>
                <w:lang w:val="en-US"/>
              </w:rPr>
              <w:t>;</w:t>
            </w:r>
          </w:p>
          <w:p w14:paraId="16E72DC4" w14:textId="77777777" w:rsidR="005D0DCC" w:rsidRPr="008C761D" w:rsidRDefault="005D0DCC" w:rsidP="003A338C">
            <w:pPr>
              <w:numPr>
                <w:ilvl w:val="0"/>
                <w:numId w:val="40"/>
              </w:numPr>
              <w:spacing w:after="0" w:line="240" w:lineRule="auto"/>
              <w:jc w:val="both"/>
              <w:rPr>
                <w:rFonts w:cs="Calibri"/>
                <w:sz w:val="20"/>
                <w:szCs w:val="20"/>
                <w:lang w:val="en-US"/>
              </w:rPr>
            </w:pPr>
            <w:r w:rsidRPr="008C761D">
              <w:rPr>
                <w:rFonts w:cs="Calibri"/>
                <w:sz w:val="20"/>
                <w:szCs w:val="20"/>
                <w:lang w:val="en-US"/>
              </w:rPr>
              <w:t>Conducted impact assessment;</w:t>
            </w:r>
          </w:p>
          <w:p w14:paraId="3DD364C9" w14:textId="77777777" w:rsidR="005D0DCC" w:rsidRPr="008C761D" w:rsidRDefault="005D0DCC" w:rsidP="003A338C">
            <w:pPr>
              <w:numPr>
                <w:ilvl w:val="0"/>
                <w:numId w:val="40"/>
              </w:numPr>
              <w:spacing w:after="0" w:line="240" w:lineRule="auto"/>
              <w:jc w:val="both"/>
              <w:rPr>
                <w:rFonts w:cs="Calibri"/>
                <w:sz w:val="20"/>
                <w:szCs w:val="20"/>
                <w:lang w:val="en-US"/>
              </w:rPr>
            </w:pPr>
            <w:r w:rsidRPr="008C761D">
              <w:rPr>
                <w:rFonts w:cs="Calibri"/>
                <w:sz w:val="20"/>
                <w:szCs w:val="20"/>
                <w:lang w:val="en-US"/>
              </w:rPr>
              <w:t>Carried out trainings</w:t>
            </w:r>
            <w:r w:rsidR="006A657E" w:rsidRPr="008C761D">
              <w:rPr>
                <w:rFonts w:cs="Calibri"/>
                <w:sz w:val="20"/>
                <w:szCs w:val="20"/>
                <w:lang w:val="en-US"/>
              </w:rPr>
              <w:t>;</w:t>
            </w:r>
          </w:p>
        </w:tc>
      </w:tr>
      <w:tr w:rsidR="005D0DCC" w:rsidRPr="008C761D" w14:paraId="6537B3AC" w14:textId="77777777" w:rsidTr="005116C2">
        <w:trPr>
          <w:trHeight w:val="419"/>
        </w:trPr>
        <w:tc>
          <w:tcPr>
            <w:tcW w:w="2435" w:type="dxa"/>
            <w:tcBorders>
              <w:top w:val="single" w:sz="4" w:space="0" w:color="FFFFFF"/>
              <w:bottom w:val="single" w:sz="4" w:space="0" w:color="FFFFFF"/>
            </w:tcBorders>
            <w:shd w:val="clear" w:color="auto" w:fill="2F5496"/>
          </w:tcPr>
          <w:p w14:paraId="12D7808E"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6040" w:type="dxa"/>
            <w:tcBorders>
              <w:top w:val="single" w:sz="4" w:space="0" w:color="FFFFFF"/>
              <w:bottom w:val="single" w:sz="4" w:space="0" w:color="FFFFFF"/>
            </w:tcBorders>
            <w:shd w:val="clear" w:color="auto" w:fill="D9E2F3"/>
          </w:tcPr>
          <w:p w14:paraId="706B736B" w14:textId="2D296921"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 xml:space="preserve">EUR </w:t>
            </w:r>
            <w:r w:rsidR="001B0643" w:rsidRPr="008C761D">
              <w:rPr>
                <w:rFonts w:cs="Calibri"/>
                <w:sz w:val="20"/>
                <w:szCs w:val="20"/>
                <w:lang w:val="en-US"/>
              </w:rPr>
              <w:t>210</w:t>
            </w:r>
            <w:r w:rsidRPr="008C761D">
              <w:rPr>
                <w:rFonts w:cs="Calibri"/>
                <w:sz w:val="20"/>
                <w:szCs w:val="20"/>
                <w:lang w:val="en-US"/>
              </w:rPr>
              <w:t>,000</w:t>
            </w:r>
          </w:p>
        </w:tc>
      </w:tr>
      <w:tr w:rsidR="005D0DCC" w:rsidRPr="008C761D" w14:paraId="6C81671F" w14:textId="77777777" w:rsidTr="005116C2">
        <w:trPr>
          <w:trHeight w:val="419"/>
        </w:trPr>
        <w:tc>
          <w:tcPr>
            <w:tcW w:w="2435" w:type="dxa"/>
            <w:tcBorders>
              <w:top w:val="single" w:sz="4" w:space="0" w:color="FFFFFF"/>
              <w:bottom w:val="single" w:sz="4" w:space="0" w:color="FFFFFF"/>
            </w:tcBorders>
            <w:shd w:val="clear" w:color="auto" w:fill="2F5496"/>
          </w:tcPr>
          <w:p w14:paraId="24F4CB97"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040" w:type="dxa"/>
            <w:tcBorders>
              <w:top w:val="single" w:sz="4" w:space="0" w:color="FFFFFF"/>
              <w:bottom w:val="single" w:sz="4" w:space="0" w:color="FFFFFF"/>
            </w:tcBorders>
            <w:shd w:val="clear" w:color="auto" w:fill="D9E2F3"/>
          </w:tcPr>
          <w:p w14:paraId="5E332E3B" w14:textId="77777777"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 xml:space="preserve">Ministry of Finance - </w:t>
            </w:r>
            <w:r w:rsidR="006B3D46" w:rsidRPr="008C761D">
              <w:rPr>
                <w:rFonts w:cs="Calibri"/>
                <w:sz w:val="20"/>
                <w:szCs w:val="20"/>
                <w:lang w:val="en-US"/>
              </w:rPr>
              <w:t>Economic policy and development Department</w:t>
            </w:r>
          </w:p>
        </w:tc>
      </w:tr>
      <w:tr w:rsidR="005D0DCC" w:rsidRPr="008C761D" w14:paraId="55051A1B" w14:textId="77777777" w:rsidTr="005116C2">
        <w:trPr>
          <w:trHeight w:val="1317"/>
        </w:trPr>
        <w:tc>
          <w:tcPr>
            <w:tcW w:w="2435" w:type="dxa"/>
            <w:tcBorders>
              <w:top w:val="single" w:sz="4" w:space="0" w:color="FFFFFF"/>
              <w:bottom w:val="nil"/>
            </w:tcBorders>
            <w:shd w:val="clear" w:color="auto" w:fill="2F5496"/>
          </w:tcPr>
          <w:p w14:paraId="3B5DFA5C"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040" w:type="dxa"/>
            <w:tcBorders>
              <w:top w:val="single" w:sz="4" w:space="0" w:color="FFFFFF"/>
              <w:bottom w:val="nil"/>
            </w:tcBorders>
            <w:shd w:val="clear" w:color="auto" w:fill="D9E2F3"/>
          </w:tcPr>
          <w:p w14:paraId="1F5A7D0E" w14:textId="77777777" w:rsidR="005D0DCC" w:rsidRPr="008C761D" w:rsidRDefault="006B3D46" w:rsidP="003A338C">
            <w:pPr>
              <w:numPr>
                <w:ilvl w:val="0"/>
                <w:numId w:val="52"/>
              </w:numPr>
              <w:spacing w:line="240" w:lineRule="auto"/>
              <w:ind w:left="317" w:hanging="283"/>
              <w:jc w:val="both"/>
              <w:rPr>
                <w:rFonts w:cs="Calibri"/>
                <w:sz w:val="20"/>
                <w:szCs w:val="20"/>
                <w:lang w:val="en-US"/>
              </w:rPr>
            </w:pPr>
            <w:r w:rsidRPr="008C761D">
              <w:rPr>
                <w:rFonts w:eastAsia="MS PGothic" w:cs="Calibri"/>
                <w:sz w:val="20"/>
                <w:szCs w:val="20"/>
                <w:lang w:val="en-US" w:eastAsia="zh-CN"/>
              </w:rPr>
              <w:t>Externalities, as in the case with the energy crisis, inflation pressures and war in Ukraine disrupting the quality of economic forecasting;</w:t>
            </w:r>
          </w:p>
          <w:p w14:paraId="6D7C4F8F" w14:textId="77777777" w:rsidR="00600944" w:rsidRPr="008C761D" w:rsidRDefault="00600944" w:rsidP="003A338C">
            <w:pPr>
              <w:numPr>
                <w:ilvl w:val="0"/>
                <w:numId w:val="52"/>
              </w:numPr>
              <w:spacing w:line="240" w:lineRule="auto"/>
              <w:ind w:left="317" w:hanging="283"/>
              <w:jc w:val="both"/>
              <w:rPr>
                <w:rFonts w:cs="Calibri"/>
                <w:sz w:val="20"/>
                <w:szCs w:val="20"/>
                <w:lang w:val="en-US"/>
              </w:rPr>
            </w:pPr>
            <w:r w:rsidRPr="008C761D">
              <w:rPr>
                <w:rFonts w:cs="Calibri"/>
                <w:sz w:val="20"/>
                <w:szCs w:val="20"/>
                <w:lang w:val="en-US"/>
              </w:rPr>
              <w:t>Availability of official national statistical data as input for economic analysis;</w:t>
            </w:r>
          </w:p>
        </w:tc>
      </w:tr>
    </w:tbl>
    <w:p w14:paraId="3FC77312" w14:textId="77777777" w:rsidR="005D0DCC" w:rsidRPr="008C761D" w:rsidRDefault="005D0DCC" w:rsidP="00E84CD0">
      <w:pPr>
        <w:spacing w:line="240" w:lineRule="auto"/>
        <w:jc w:val="both"/>
        <w:rPr>
          <w:rFonts w:cs="Calibri"/>
          <w:lang w:val="en-US"/>
        </w:rPr>
      </w:pPr>
    </w:p>
    <w:p w14:paraId="306DB127" w14:textId="77777777" w:rsidR="005116C2" w:rsidRDefault="005116C2" w:rsidP="00E84CD0">
      <w:pPr>
        <w:spacing w:line="240" w:lineRule="auto"/>
        <w:jc w:val="both"/>
        <w:rPr>
          <w:rFonts w:cs="Calibri"/>
          <w:b/>
          <w:bCs/>
          <w:iCs/>
          <w:color w:val="0070C0"/>
          <w:sz w:val="24"/>
          <w:szCs w:val="24"/>
          <w:lang w:val="en-US"/>
        </w:rPr>
      </w:pPr>
    </w:p>
    <w:p w14:paraId="61965DA4" w14:textId="37436B07" w:rsidR="005D0DCC" w:rsidRPr="008C761D" w:rsidRDefault="005D0DCC" w:rsidP="00E84CD0">
      <w:pPr>
        <w:spacing w:line="240" w:lineRule="auto"/>
        <w:jc w:val="both"/>
        <w:rPr>
          <w:rFonts w:cs="Calibri"/>
          <w:b/>
          <w:bCs/>
          <w:iCs/>
          <w:color w:val="0070C0"/>
          <w:sz w:val="24"/>
          <w:szCs w:val="24"/>
          <w:lang w:val="en-US"/>
        </w:rPr>
      </w:pPr>
      <w:r w:rsidRPr="008C761D">
        <w:rPr>
          <w:rFonts w:cs="Calibri"/>
          <w:b/>
          <w:bCs/>
          <w:iCs/>
          <w:color w:val="0070C0"/>
          <w:sz w:val="24"/>
          <w:szCs w:val="24"/>
          <w:lang w:val="en-US"/>
        </w:rPr>
        <w:lastRenderedPageBreak/>
        <w:t>Measure 2</w:t>
      </w:r>
      <w:r w:rsidR="00FF28E1" w:rsidRPr="008C761D">
        <w:rPr>
          <w:rFonts w:cs="Calibri"/>
          <w:b/>
          <w:bCs/>
          <w:iCs/>
          <w:color w:val="0070C0"/>
          <w:sz w:val="24"/>
          <w:szCs w:val="24"/>
          <w:lang w:val="en-US"/>
        </w:rPr>
        <w:t>:</w:t>
      </w:r>
      <w:r w:rsidR="005116C2">
        <w:rPr>
          <w:rFonts w:cs="Calibri"/>
          <w:b/>
          <w:bCs/>
          <w:iCs/>
          <w:color w:val="0070C0"/>
          <w:sz w:val="24"/>
          <w:szCs w:val="24"/>
          <w:lang w:val="en-US"/>
        </w:rPr>
        <w:t xml:space="preserve"> </w:t>
      </w:r>
      <w:r w:rsidRPr="008C761D">
        <w:rPr>
          <w:rFonts w:cs="Calibri"/>
          <w:b/>
          <w:bCs/>
          <w:iCs/>
          <w:color w:val="0070C0"/>
          <w:sz w:val="24"/>
          <w:szCs w:val="24"/>
          <w:lang w:val="en-US"/>
        </w:rPr>
        <w:t>Developing new macroeconomic models</w:t>
      </w:r>
    </w:p>
    <w:p w14:paraId="60935031" w14:textId="3D24D542" w:rsidR="006B3D46" w:rsidRPr="008C761D" w:rsidRDefault="006B3D46" w:rsidP="00E84CD0">
      <w:pPr>
        <w:spacing w:line="240" w:lineRule="auto"/>
        <w:jc w:val="both"/>
        <w:rPr>
          <w:rFonts w:cs="Calibri"/>
          <w:b/>
          <w:bCs/>
          <w:iCs/>
          <w:color w:val="0070C0"/>
          <w:sz w:val="24"/>
          <w:szCs w:val="24"/>
          <w:lang w:val="en-US"/>
        </w:rPr>
      </w:pPr>
      <w:bookmarkStart w:id="17" w:name="_Hlk156373486"/>
      <w:r w:rsidRPr="008C761D">
        <w:rPr>
          <w:rFonts w:cs="Calibri"/>
          <w:b/>
          <w:bCs/>
          <w:iCs/>
          <w:color w:val="0070C0"/>
          <w:sz w:val="24"/>
          <w:szCs w:val="24"/>
          <w:lang w:val="en-US"/>
        </w:rPr>
        <w:t>Progress</w:t>
      </w:r>
      <w:r w:rsidR="00DB0B2A" w:rsidRPr="008C761D">
        <w:rPr>
          <w:rFonts w:cs="Calibri"/>
          <w:b/>
          <w:bCs/>
          <w:iCs/>
          <w:color w:val="0070C0"/>
          <w:sz w:val="24"/>
          <w:szCs w:val="24"/>
          <w:lang w:val="en-US"/>
        </w:rPr>
        <w:t xml:space="preserve"> </w:t>
      </w:r>
      <w:r w:rsidRPr="008C761D">
        <w:rPr>
          <w:rFonts w:cs="Calibri"/>
          <w:b/>
          <w:bCs/>
          <w:iCs/>
          <w:color w:val="0070C0"/>
          <w:sz w:val="24"/>
          <w:szCs w:val="24"/>
          <w:lang w:val="en-US"/>
        </w:rPr>
        <w:t>in</w:t>
      </w:r>
      <w:r w:rsidR="00DB0B2A" w:rsidRPr="008C761D">
        <w:rPr>
          <w:rFonts w:cs="Calibri"/>
          <w:b/>
          <w:bCs/>
          <w:iCs/>
          <w:color w:val="0070C0"/>
          <w:sz w:val="24"/>
          <w:szCs w:val="24"/>
          <w:lang w:val="en-US"/>
        </w:rPr>
        <w:t xml:space="preserve"> </w:t>
      </w:r>
      <w:r w:rsidRPr="008C761D">
        <w:rPr>
          <w:rFonts w:cs="Calibri"/>
          <w:b/>
          <w:bCs/>
          <w:iCs/>
          <w:color w:val="0070C0"/>
          <w:sz w:val="24"/>
          <w:szCs w:val="24"/>
          <w:lang w:val="en-US"/>
        </w:rPr>
        <w:t>the</w:t>
      </w:r>
      <w:r w:rsidR="00DB0B2A" w:rsidRPr="008C761D">
        <w:rPr>
          <w:rFonts w:cs="Calibri"/>
          <w:b/>
          <w:bCs/>
          <w:iCs/>
          <w:color w:val="0070C0"/>
          <w:sz w:val="24"/>
          <w:szCs w:val="24"/>
          <w:lang w:val="en-US"/>
        </w:rPr>
        <w:t xml:space="preserve"> </w:t>
      </w:r>
      <w:r w:rsidRPr="008C761D">
        <w:rPr>
          <w:rFonts w:cs="Calibri"/>
          <w:b/>
          <w:bCs/>
          <w:iCs/>
          <w:color w:val="0070C0"/>
          <w:sz w:val="24"/>
          <w:szCs w:val="24"/>
          <w:lang w:val="en-US"/>
        </w:rPr>
        <w:t>implementation</w:t>
      </w:r>
    </w:p>
    <w:p w14:paraId="0E784C0F" w14:textId="6D409A69" w:rsidR="006B3D46" w:rsidRPr="008C761D" w:rsidRDefault="006B3D46" w:rsidP="006B3D46">
      <w:pPr>
        <w:spacing w:line="240" w:lineRule="auto"/>
        <w:jc w:val="both"/>
        <w:rPr>
          <w:rFonts w:cs="Calibri"/>
          <w:color w:val="000000"/>
          <w:lang w:val="en-US"/>
        </w:rPr>
      </w:pPr>
      <w:r w:rsidRPr="008C761D">
        <w:rPr>
          <w:rFonts w:cs="Calibri"/>
          <w:color w:val="000000"/>
          <w:lang w:val="en-US"/>
        </w:rPr>
        <w:t xml:space="preserve">New model for inflation and GDP </w:t>
      </w:r>
      <w:proofErr w:type="gramStart"/>
      <w:r w:rsidRPr="008C761D">
        <w:rPr>
          <w:rFonts w:cs="Calibri"/>
          <w:color w:val="000000"/>
          <w:lang w:val="en-US"/>
        </w:rPr>
        <w:t>have</w:t>
      </w:r>
      <w:proofErr w:type="gramEnd"/>
      <w:r w:rsidRPr="008C761D">
        <w:rPr>
          <w:rFonts w:cs="Calibri"/>
          <w:color w:val="000000"/>
          <w:lang w:val="en-US"/>
        </w:rPr>
        <w:t xml:space="preserve"> been developed, while macrostructural model is in development phase</w:t>
      </w:r>
      <w:r w:rsidR="00BD394C">
        <w:rPr>
          <w:rFonts w:cs="Calibri"/>
          <w:color w:val="000000"/>
          <w:lang w:val="en-US"/>
        </w:rPr>
        <w:t xml:space="preserve"> </w:t>
      </w:r>
      <w:r w:rsidRPr="008C761D">
        <w:rPr>
          <w:rFonts w:cs="Calibri"/>
          <w:color w:val="000000"/>
          <w:lang w:val="en-US"/>
        </w:rPr>
        <w:t>which is planned to be a tool for medium term forecasting and economic analyses.</w:t>
      </w:r>
    </w:p>
    <w:bookmarkEnd w:id="17"/>
    <w:p w14:paraId="380A9046"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Measure objective</w:t>
      </w:r>
    </w:p>
    <w:p w14:paraId="084DA972" w14:textId="2934FC5E" w:rsidR="001D7B80" w:rsidRPr="008C761D" w:rsidRDefault="001D7B80" w:rsidP="001D7B80">
      <w:pPr>
        <w:spacing w:line="240" w:lineRule="auto"/>
        <w:jc w:val="both"/>
        <w:rPr>
          <w:rFonts w:cs="Calibri"/>
          <w:lang w:val="en-US"/>
        </w:rPr>
      </w:pPr>
      <w:r w:rsidRPr="008C761D">
        <w:rPr>
          <w:rFonts w:cs="Calibri"/>
          <w:color w:val="000000"/>
          <w:lang w:val="en-US"/>
        </w:rPr>
        <w:t>Strengthening the capacity of the Ministry of Finance for macroeconomic forecasting and analyses,</w:t>
      </w:r>
      <w:r w:rsidR="00BD394C">
        <w:rPr>
          <w:rFonts w:cs="Calibri"/>
          <w:color w:val="000000"/>
          <w:lang w:val="en-US"/>
        </w:rPr>
        <w:t xml:space="preserve"> </w:t>
      </w:r>
      <w:r w:rsidRPr="008C761D">
        <w:rPr>
          <w:rFonts w:cs="Calibri"/>
          <w:color w:val="000000"/>
          <w:lang w:val="en-US"/>
        </w:rPr>
        <w:t xml:space="preserve">as well as developing </w:t>
      </w:r>
      <w:proofErr w:type="gramStart"/>
      <w:r w:rsidRPr="008C761D">
        <w:rPr>
          <w:rFonts w:cs="Calibri"/>
          <w:color w:val="000000"/>
          <w:lang w:val="en-US"/>
        </w:rPr>
        <w:t>new  econometric</w:t>
      </w:r>
      <w:proofErr w:type="gramEnd"/>
      <w:r w:rsidRPr="008C761D">
        <w:rPr>
          <w:rFonts w:cs="Calibri"/>
          <w:color w:val="000000"/>
          <w:lang w:val="en-US"/>
        </w:rPr>
        <w:t xml:space="preserve"> models.</w:t>
      </w:r>
    </w:p>
    <w:p w14:paraId="266A2FFD"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 xml:space="preserve">Reference to the external </w:t>
      </w:r>
      <w:proofErr w:type="gramStart"/>
      <w:r w:rsidRPr="008C761D">
        <w:rPr>
          <w:rFonts w:cs="Calibri"/>
          <w:b/>
          <w:bCs/>
          <w:i/>
          <w:iCs/>
          <w:color w:val="4F81BD"/>
          <w:lang w:val="en-US"/>
        </w:rPr>
        <w:t>assessments</w:t>
      </w:r>
      <w:proofErr w:type="gramEnd"/>
      <w:r w:rsidRPr="008C761D">
        <w:rPr>
          <w:rFonts w:cs="Calibri"/>
          <w:b/>
          <w:bCs/>
          <w:i/>
          <w:iCs/>
          <w:color w:val="4F81BD"/>
          <w:lang w:val="en-US"/>
        </w:rPr>
        <w:t xml:space="preserve"> findings: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407"/>
      </w:tblGrid>
      <w:tr w:rsidR="005D0DCC" w:rsidRPr="008C761D" w14:paraId="695F06BB" w14:textId="77777777" w:rsidTr="00CE0F6C">
        <w:tc>
          <w:tcPr>
            <w:tcW w:w="1240" w:type="dxa"/>
            <w:shd w:val="clear" w:color="auto" w:fill="DDDDDD"/>
          </w:tcPr>
          <w:p w14:paraId="52BFD1E1" w14:textId="77777777" w:rsidR="005D0DCC" w:rsidRPr="008C761D" w:rsidRDefault="005D0DCC" w:rsidP="00E84CD0">
            <w:pPr>
              <w:spacing w:line="240" w:lineRule="auto"/>
              <w:jc w:val="both"/>
              <w:rPr>
                <w:rFonts w:cs="Calibri"/>
                <w:b/>
                <w:sz w:val="20"/>
                <w:szCs w:val="20"/>
                <w:lang w:val="en-US"/>
              </w:rPr>
            </w:pPr>
            <w:r w:rsidRPr="008C761D">
              <w:rPr>
                <w:rFonts w:cs="Calibri"/>
                <w:b/>
                <w:sz w:val="20"/>
                <w:szCs w:val="20"/>
                <w:lang w:val="en-US"/>
              </w:rPr>
              <w:t>EU:</w:t>
            </w:r>
          </w:p>
        </w:tc>
        <w:tc>
          <w:tcPr>
            <w:tcW w:w="7407" w:type="dxa"/>
            <w:shd w:val="clear" w:color="auto" w:fill="DDDDDD"/>
          </w:tcPr>
          <w:p w14:paraId="23E37DD4" w14:textId="77777777" w:rsidR="005D0DCC" w:rsidRPr="008C761D" w:rsidRDefault="001D7B80" w:rsidP="00E84CD0">
            <w:pPr>
              <w:spacing w:line="240" w:lineRule="auto"/>
              <w:jc w:val="both"/>
              <w:rPr>
                <w:rFonts w:cs="Calibri"/>
                <w:sz w:val="20"/>
                <w:szCs w:val="20"/>
                <w:lang w:val="en-US"/>
              </w:rPr>
            </w:pPr>
            <w:r w:rsidRPr="008C761D">
              <w:rPr>
                <w:rFonts w:cs="Calibri"/>
                <w:sz w:val="20"/>
                <w:szCs w:val="20"/>
                <w:lang w:val="en-US"/>
              </w:rPr>
              <w:t>The ERP’s growth scenario seems somewhat optimistic given significant downward risks to growth (e.g. uncertainties about the future course of the war in Ukraine, of global energy and commodity prices, and of global financial market conditions; domestic pressure on inflation, such as wage growth; and major implementation and management risks for both private and public investments). Commission’s Assessment on ERP 2023-2025.</w:t>
            </w:r>
          </w:p>
        </w:tc>
      </w:tr>
    </w:tbl>
    <w:p w14:paraId="7D92102B" w14:textId="77777777" w:rsidR="00FF28E1" w:rsidRPr="008C761D" w:rsidRDefault="00FF28E1" w:rsidP="00E84CD0">
      <w:pPr>
        <w:spacing w:line="240" w:lineRule="auto"/>
        <w:jc w:val="both"/>
        <w:rPr>
          <w:rFonts w:cs="Calibri"/>
          <w:b/>
          <w:bCs/>
          <w:i/>
          <w:iCs/>
          <w:color w:val="4F81BD"/>
          <w:lang w:val="en-US"/>
        </w:rPr>
      </w:pPr>
    </w:p>
    <w:p w14:paraId="67833276"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2F33C7FD" w14:textId="4A3D7B67" w:rsidR="005D0DCC" w:rsidRPr="008C761D" w:rsidRDefault="005D0DCC" w:rsidP="00E84CD0">
      <w:pPr>
        <w:spacing w:line="240" w:lineRule="auto"/>
        <w:jc w:val="both"/>
        <w:rPr>
          <w:rFonts w:eastAsia="MS PGothic" w:cs="Calibri"/>
          <w:lang w:val="en-US" w:eastAsia="zh-CN"/>
        </w:rPr>
      </w:pPr>
      <w:r w:rsidRPr="008C761D">
        <w:rPr>
          <w:rFonts w:cs="Calibri"/>
          <w:lang w:val="en-US"/>
        </w:rPr>
        <w:t>Ministry of Finance is responsible for preparing the Budget and the Fiscal Strategy, also coordinating and significantly contributing to the preparation of the Economic Reform Program.</w:t>
      </w:r>
      <w:r w:rsidR="00BD394C">
        <w:rPr>
          <w:rFonts w:cs="Calibri"/>
          <w:lang w:val="en-US"/>
        </w:rPr>
        <w:t xml:space="preserve"> </w:t>
      </w:r>
      <w:r w:rsidRPr="008C761D">
        <w:rPr>
          <w:rFonts w:eastAsia="MS PGothic" w:cs="Calibri"/>
          <w:lang w:val="en-US" w:eastAsia="zh-CN"/>
        </w:rPr>
        <w:t>Macroeconomic forecasts are important input in the process of budget planning and fiscal policy formulation.</w:t>
      </w:r>
      <w:r w:rsidR="00BD394C">
        <w:rPr>
          <w:rFonts w:eastAsia="MS PGothic" w:cs="Calibri"/>
          <w:lang w:val="en-US" w:eastAsia="zh-CN"/>
        </w:rPr>
        <w:t xml:space="preserve"> </w:t>
      </w:r>
      <w:r w:rsidRPr="008C761D">
        <w:rPr>
          <w:rFonts w:eastAsia="MS PGothic" w:cs="Calibri"/>
          <w:lang w:val="en-US" w:eastAsia="zh-CN"/>
        </w:rPr>
        <w:t>Therefore, expanding and developing new macroeconomic models will enrich the toolkit for macroeconomic forecasting, to the end of increasing its scope and quality.</w:t>
      </w:r>
      <w:r w:rsidR="00BD394C">
        <w:rPr>
          <w:rFonts w:eastAsia="MS PGothic" w:cs="Calibri"/>
          <w:lang w:val="en-US" w:eastAsia="zh-CN"/>
        </w:rPr>
        <w:t xml:space="preserve"> </w:t>
      </w:r>
      <w:r w:rsidRPr="008C761D">
        <w:rPr>
          <w:rFonts w:eastAsia="MS PGothic" w:cs="Calibri"/>
          <w:lang w:val="en-US" w:eastAsia="zh-CN"/>
        </w:rPr>
        <w:t>Developing macroeconomic models can also help measure and evaluate economic effects of policy changes and will increase the quality of policy decisions.</w:t>
      </w:r>
    </w:p>
    <w:p w14:paraId="708BF6B2" w14:textId="6B4993C1" w:rsidR="00600944" w:rsidRPr="008C761D" w:rsidRDefault="00600944" w:rsidP="00E84CD0">
      <w:pPr>
        <w:spacing w:line="240" w:lineRule="auto"/>
        <w:jc w:val="both"/>
        <w:rPr>
          <w:rFonts w:cs="Calibri"/>
          <w:color w:val="000000"/>
          <w:lang w:val="en-US"/>
        </w:rPr>
      </w:pPr>
      <w:r w:rsidRPr="008C761D">
        <w:rPr>
          <w:rFonts w:cs="Calibri"/>
          <w:color w:val="000000"/>
          <w:lang w:val="en-US"/>
        </w:rPr>
        <w:t>In this direction according to the plan in the previous report, a new short-term forecasting model for inflation has been developed, while short term GDP and macrostructural models</w:t>
      </w:r>
      <w:r w:rsidR="00BD394C">
        <w:rPr>
          <w:rFonts w:cs="Calibri"/>
          <w:color w:val="000000"/>
          <w:lang w:val="en-US"/>
        </w:rPr>
        <w:t xml:space="preserve"> </w:t>
      </w:r>
      <w:r w:rsidRPr="008C761D">
        <w:rPr>
          <w:rFonts w:cs="Calibri"/>
          <w:color w:val="000000"/>
          <w:lang w:val="en-US"/>
        </w:rPr>
        <w:t>are in development phase and</w:t>
      </w:r>
      <w:r w:rsidR="00BD394C">
        <w:rPr>
          <w:rFonts w:cs="Calibri"/>
          <w:color w:val="000000"/>
          <w:lang w:val="en-US"/>
        </w:rPr>
        <w:t xml:space="preserve"> </w:t>
      </w:r>
      <w:r w:rsidRPr="008C761D">
        <w:rPr>
          <w:rFonts w:cs="Calibri"/>
          <w:color w:val="000000"/>
          <w:lang w:val="en-US"/>
        </w:rPr>
        <w:t xml:space="preserve">are planned to be a </w:t>
      </w:r>
      <w:proofErr w:type="gramStart"/>
      <w:r w:rsidRPr="008C761D">
        <w:rPr>
          <w:rFonts w:cs="Calibri"/>
          <w:color w:val="000000"/>
          <w:lang w:val="en-US"/>
        </w:rPr>
        <w:t>tools</w:t>
      </w:r>
      <w:proofErr w:type="gramEnd"/>
      <w:r w:rsidR="00BD394C">
        <w:rPr>
          <w:rFonts w:cs="Calibri"/>
          <w:color w:val="000000"/>
          <w:lang w:val="en-US"/>
        </w:rPr>
        <w:t xml:space="preserve"> </w:t>
      </w:r>
      <w:r w:rsidRPr="008C761D">
        <w:rPr>
          <w:rFonts w:cs="Calibri"/>
          <w:color w:val="000000"/>
          <w:lang w:val="en-US"/>
        </w:rPr>
        <w:t>for economic analyses and medium term forecasting. Upon completion of these activities, a plan for development of CGE model will be prepared.</w:t>
      </w:r>
    </w:p>
    <w:p w14:paraId="4483F6EF" w14:textId="3B502366" w:rsidR="005D0DCC" w:rsidRPr="008C761D" w:rsidRDefault="005D0DCC" w:rsidP="00E84CD0">
      <w:pPr>
        <w:spacing w:line="240" w:lineRule="auto"/>
        <w:jc w:val="both"/>
        <w:rPr>
          <w:rFonts w:cs="Calibri"/>
          <w:b/>
          <w:color w:val="0070C0"/>
          <w:lang w:val="en-US"/>
        </w:rPr>
      </w:pPr>
      <w:r w:rsidRPr="008C761D">
        <w:rPr>
          <w:rFonts w:cs="Calibri"/>
          <w:b/>
          <w:color w:val="0070C0"/>
          <w:lang w:val="en-US"/>
        </w:rPr>
        <w:t>Activity 1:</w:t>
      </w:r>
      <w:r w:rsidR="00CA0BA6">
        <w:rPr>
          <w:rFonts w:cs="Calibri"/>
          <w:b/>
          <w:color w:val="0070C0"/>
          <w:lang w:val="en-US"/>
        </w:rPr>
        <w:t xml:space="preserve"> </w:t>
      </w:r>
      <w:r w:rsidRPr="008C761D">
        <w:rPr>
          <w:rFonts w:cs="Calibri"/>
          <w:b/>
          <w:color w:val="0070C0"/>
          <w:lang w:val="en-US"/>
        </w:rPr>
        <w:t>Developing macroeconomic forecasting tools</w:t>
      </w:r>
    </w:p>
    <w:tbl>
      <w:tblPr>
        <w:tblW w:w="9180" w:type="dxa"/>
        <w:tblInd w:w="18" w:type="dxa"/>
        <w:tblLook w:val="01E0" w:firstRow="1" w:lastRow="1" w:firstColumn="1" w:lastColumn="1" w:noHBand="0" w:noVBand="0"/>
      </w:tblPr>
      <w:tblGrid>
        <w:gridCol w:w="9180"/>
      </w:tblGrid>
      <w:tr w:rsidR="005D0DCC" w:rsidRPr="008C761D" w14:paraId="7A01D421" w14:textId="77777777" w:rsidTr="00DB0B2A">
        <w:tc>
          <w:tcPr>
            <w:tcW w:w="9180" w:type="dxa"/>
            <w:shd w:val="clear" w:color="auto" w:fill="auto"/>
          </w:tcPr>
          <w:p w14:paraId="330DBDE9" w14:textId="77777777" w:rsidR="005D0DCC" w:rsidRDefault="00600944" w:rsidP="00E84CD0">
            <w:pPr>
              <w:spacing w:line="240" w:lineRule="auto"/>
              <w:jc w:val="both"/>
              <w:rPr>
                <w:rFonts w:eastAsia="MS PGothic" w:cs="Calibri"/>
                <w:lang w:val="en-US" w:eastAsia="zh-CN"/>
              </w:rPr>
            </w:pPr>
            <w:r w:rsidRPr="008C761D">
              <w:rPr>
                <w:rFonts w:cs="Calibri"/>
                <w:lang w:val="en-US"/>
              </w:rPr>
              <w:t xml:space="preserve">Under this activity, </w:t>
            </w:r>
            <w:r w:rsidRPr="008C761D">
              <w:rPr>
                <w:rFonts w:eastAsia="MS PGothic" w:cs="Calibri"/>
                <w:lang w:val="en-US" w:eastAsia="zh-CN"/>
              </w:rPr>
              <w:t>new tools for forecasting and analyses are envisaged to be developed. Two models for short-term forecasting are developed for forecasting Inflation and GDP through the use of nowcasting and E-views. The inflation model has been completed includin</w:t>
            </w:r>
            <w:r w:rsidR="00705C79">
              <w:rPr>
                <w:rFonts w:eastAsia="MS PGothic" w:cs="Calibri"/>
                <w:lang w:val="en-US" w:eastAsia="zh-CN"/>
              </w:rPr>
              <w:t xml:space="preserve">g training of staff, while the </w:t>
            </w:r>
            <w:r w:rsidRPr="008C761D">
              <w:rPr>
                <w:rFonts w:eastAsia="MS PGothic" w:cs="Calibri"/>
                <w:lang w:val="en-US" w:eastAsia="zh-CN"/>
              </w:rPr>
              <w:t>GDP short-term model is to be upgraded and tested with additional training to be provided. Also, building of macrostructural model for the purpose of macroeconomic forecasting and policy analyses has started and initial theoretical and hands-on trainings were organized. Further work on the models</w:t>
            </w:r>
            <w:r w:rsidR="00705C79">
              <w:rPr>
                <w:rFonts w:eastAsia="MS PGothic" w:cs="Calibri"/>
                <w:lang w:val="en-US" w:eastAsia="zh-CN"/>
              </w:rPr>
              <w:t xml:space="preserve"> </w:t>
            </w:r>
            <w:r w:rsidRPr="008C761D">
              <w:rPr>
                <w:rFonts w:eastAsia="MS PGothic" w:cs="Calibri"/>
                <w:lang w:val="en-US" w:eastAsia="zh-CN"/>
              </w:rPr>
              <w:t>will continue in 2024 with periodical training to staff that is enivsaged to be implemented in phases up to 2026. After successful completion of these trainings it is envisaged to start preparation of a plan for development of a complex CGE model in 2027.</w:t>
            </w:r>
          </w:p>
          <w:p w14:paraId="4D3D9E3D" w14:textId="77777777" w:rsidR="00CA0BA6" w:rsidRDefault="00CA0BA6" w:rsidP="00E84CD0">
            <w:pPr>
              <w:spacing w:line="240" w:lineRule="auto"/>
              <w:jc w:val="both"/>
              <w:rPr>
                <w:rFonts w:cs="Calibri"/>
                <w:lang w:val="en-US"/>
              </w:rPr>
            </w:pPr>
          </w:p>
          <w:p w14:paraId="3CB94F2B" w14:textId="77777777" w:rsidR="00CA0BA6" w:rsidRDefault="00CA0BA6" w:rsidP="00E84CD0">
            <w:pPr>
              <w:spacing w:line="240" w:lineRule="auto"/>
              <w:jc w:val="both"/>
              <w:rPr>
                <w:rFonts w:cs="Calibri"/>
                <w:lang w:val="en-US"/>
              </w:rPr>
            </w:pPr>
          </w:p>
          <w:p w14:paraId="15A51ACC" w14:textId="4FEC7109" w:rsidR="00CA0BA6" w:rsidRPr="008C761D" w:rsidRDefault="00CA0BA6" w:rsidP="00E84CD0">
            <w:pPr>
              <w:spacing w:line="240" w:lineRule="auto"/>
              <w:jc w:val="both"/>
              <w:rPr>
                <w:rFonts w:cs="Calibri"/>
                <w:lang w:val="en-US"/>
              </w:rPr>
            </w:pPr>
          </w:p>
        </w:tc>
      </w:tr>
    </w:tbl>
    <w:p w14:paraId="3333F5E4"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lastRenderedPageBreak/>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D0DCC" w:rsidRPr="008C761D" w14:paraId="05FF7BCA" w14:textId="77777777" w:rsidTr="00560316">
        <w:tc>
          <w:tcPr>
            <w:tcW w:w="2518" w:type="dxa"/>
            <w:tcBorders>
              <w:top w:val="nil"/>
              <w:bottom w:val="single" w:sz="4" w:space="0" w:color="FFFFFF"/>
            </w:tcBorders>
            <w:shd w:val="clear" w:color="auto" w:fill="2F5496"/>
          </w:tcPr>
          <w:p w14:paraId="6B6D0810"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50DB3EA7" w14:textId="12A47C23" w:rsidR="005D0DCC" w:rsidRPr="008C761D" w:rsidRDefault="005D0DCC" w:rsidP="00E84CD0">
            <w:pPr>
              <w:spacing w:line="240" w:lineRule="auto"/>
              <w:jc w:val="both"/>
              <w:rPr>
                <w:rFonts w:cs="Calibri"/>
                <w:color w:val="FF0000"/>
                <w:sz w:val="20"/>
                <w:szCs w:val="20"/>
                <w:lang w:val="en-US"/>
              </w:rPr>
            </w:pPr>
            <w:r w:rsidRPr="008C761D">
              <w:rPr>
                <w:rFonts w:cs="Calibri"/>
                <w:sz w:val="20"/>
                <w:szCs w:val="20"/>
                <w:lang w:val="en-US"/>
              </w:rPr>
              <w:t>202</w:t>
            </w:r>
            <w:r w:rsidR="005D7742" w:rsidRPr="008C761D">
              <w:rPr>
                <w:rFonts w:cs="Calibri"/>
                <w:sz w:val="20"/>
                <w:szCs w:val="20"/>
                <w:lang w:val="en-US"/>
              </w:rPr>
              <w:t>6</w:t>
            </w:r>
          </w:p>
        </w:tc>
      </w:tr>
      <w:tr w:rsidR="005D0DCC" w:rsidRPr="008C761D" w14:paraId="299CD6CF" w14:textId="77777777" w:rsidTr="00560316">
        <w:tc>
          <w:tcPr>
            <w:tcW w:w="2518" w:type="dxa"/>
            <w:tcBorders>
              <w:top w:val="single" w:sz="4" w:space="0" w:color="FFFFFF"/>
              <w:bottom w:val="single" w:sz="4" w:space="0" w:color="FFFFFF"/>
            </w:tcBorders>
            <w:shd w:val="clear" w:color="auto" w:fill="2F5496"/>
          </w:tcPr>
          <w:p w14:paraId="353CB62C"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75257BE4" w14:textId="77777777" w:rsidR="001D7B80" w:rsidRPr="008C761D" w:rsidRDefault="001D7B80" w:rsidP="003A338C">
            <w:pPr>
              <w:numPr>
                <w:ilvl w:val="0"/>
                <w:numId w:val="41"/>
              </w:numPr>
              <w:spacing w:after="0" w:line="240" w:lineRule="auto"/>
              <w:jc w:val="both"/>
              <w:rPr>
                <w:rFonts w:cs="Calibri"/>
                <w:sz w:val="20"/>
                <w:szCs w:val="20"/>
                <w:lang w:val="en-US"/>
              </w:rPr>
            </w:pPr>
            <w:r w:rsidRPr="008C761D">
              <w:rPr>
                <w:rFonts w:cs="Calibri"/>
                <w:sz w:val="20"/>
                <w:szCs w:val="20"/>
                <w:lang w:val="en-US"/>
              </w:rPr>
              <w:t>Developed macroeconomic forecasting tools;</w:t>
            </w:r>
          </w:p>
          <w:p w14:paraId="3A0EC5BA" w14:textId="77777777" w:rsidR="001D7B80" w:rsidRPr="008C761D" w:rsidRDefault="001D7B80" w:rsidP="003A338C">
            <w:pPr>
              <w:numPr>
                <w:ilvl w:val="0"/>
                <w:numId w:val="41"/>
              </w:numPr>
              <w:spacing w:after="0" w:line="240" w:lineRule="auto"/>
              <w:jc w:val="both"/>
              <w:rPr>
                <w:rFonts w:cs="Calibri"/>
                <w:sz w:val="20"/>
                <w:szCs w:val="20"/>
                <w:lang w:val="en-US"/>
              </w:rPr>
            </w:pPr>
            <w:r w:rsidRPr="008C761D">
              <w:rPr>
                <w:rFonts w:cs="Calibri"/>
                <w:sz w:val="20"/>
                <w:szCs w:val="20"/>
                <w:lang w:val="en-US"/>
              </w:rPr>
              <w:t>Macrostructural model built;</w:t>
            </w:r>
          </w:p>
          <w:p w14:paraId="63C439A0" w14:textId="77777777" w:rsidR="005D0DCC" w:rsidRPr="008C761D" w:rsidRDefault="001D7B80" w:rsidP="003A338C">
            <w:pPr>
              <w:numPr>
                <w:ilvl w:val="0"/>
                <w:numId w:val="41"/>
              </w:numPr>
              <w:spacing w:after="0" w:line="240" w:lineRule="auto"/>
              <w:jc w:val="both"/>
              <w:rPr>
                <w:rFonts w:cs="Calibri"/>
                <w:sz w:val="20"/>
                <w:szCs w:val="20"/>
                <w:lang w:val="en-US"/>
              </w:rPr>
            </w:pPr>
            <w:r w:rsidRPr="008C761D">
              <w:rPr>
                <w:rFonts w:cs="Calibri"/>
                <w:sz w:val="20"/>
                <w:szCs w:val="20"/>
                <w:lang w:val="en-US"/>
              </w:rPr>
              <w:t>Carried out trainings;</w:t>
            </w:r>
          </w:p>
          <w:p w14:paraId="79E38CC8" w14:textId="77777777" w:rsidR="00600944" w:rsidRPr="008C761D" w:rsidRDefault="00600944" w:rsidP="003A338C">
            <w:pPr>
              <w:numPr>
                <w:ilvl w:val="0"/>
                <w:numId w:val="41"/>
              </w:numPr>
              <w:spacing w:after="0" w:line="240" w:lineRule="auto"/>
              <w:jc w:val="both"/>
              <w:rPr>
                <w:rFonts w:cs="Calibri"/>
                <w:sz w:val="20"/>
                <w:szCs w:val="20"/>
                <w:lang w:val="en-US"/>
              </w:rPr>
            </w:pPr>
            <w:r w:rsidRPr="008C761D">
              <w:rPr>
                <w:rFonts w:cs="Calibri"/>
                <w:sz w:val="20"/>
                <w:szCs w:val="20"/>
                <w:lang w:val="en-US"/>
              </w:rPr>
              <w:t>Plan for developing CGE model prepared;</w:t>
            </w:r>
          </w:p>
        </w:tc>
      </w:tr>
      <w:tr w:rsidR="005D0DCC" w:rsidRPr="008C761D" w14:paraId="31E3D310" w14:textId="77777777" w:rsidTr="00560316">
        <w:tc>
          <w:tcPr>
            <w:tcW w:w="2518" w:type="dxa"/>
            <w:tcBorders>
              <w:top w:val="single" w:sz="4" w:space="0" w:color="FFFFFF"/>
              <w:bottom w:val="single" w:sz="4" w:space="0" w:color="FFFFFF"/>
            </w:tcBorders>
            <w:shd w:val="clear" w:color="auto" w:fill="2F5496"/>
          </w:tcPr>
          <w:p w14:paraId="00E98A4F"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6246" w:type="dxa"/>
            <w:tcBorders>
              <w:top w:val="single" w:sz="4" w:space="0" w:color="FFFFFF"/>
              <w:bottom w:val="single" w:sz="4" w:space="0" w:color="FFFFFF"/>
            </w:tcBorders>
            <w:shd w:val="clear" w:color="auto" w:fill="D9E2F3"/>
          </w:tcPr>
          <w:p w14:paraId="1A6BBAA4" w14:textId="72E2114A"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 xml:space="preserve">EUR </w:t>
            </w:r>
            <w:r w:rsidR="008A70A1" w:rsidRPr="008C761D">
              <w:rPr>
                <w:rFonts w:cs="Calibri"/>
                <w:sz w:val="20"/>
                <w:szCs w:val="20"/>
                <w:lang w:val="en-US"/>
              </w:rPr>
              <w:t>2</w:t>
            </w:r>
            <w:r w:rsidR="001B0643" w:rsidRPr="008C761D">
              <w:rPr>
                <w:rFonts w:cs="Calibri"/>
                <w:sz w:val="20"/>
                <w:szCs w:val="20"/>
                <w:lang w:val="en-US"/>
              </w:rPr>
              <w:t>1</w:t>
            </w:r>
            <w:r w:rsidR="008A70A1" w:rsidRPr="008C761D">
              <w:rPr>
                <w:rFonts w:cs="Calibri"/>
                <w:sz w:val="20"/>
                <w:szCs w:val="20"/>
                <w:lang w:val="en-US"/>
              </w:rPr>
              <w:t>0</w:t>
            </w:r>
            <w:r w:rsidRPr="008C761D">
              <w:rPr>
                <w:rFonts w:cs="Calibri"/>
                <w:sz w:val="20"/>
                <w:szCs w:val="20"/>
                <w:lang w:val="en-US"/>
              </w:rPr>
              <w:t>,000</w:t>
            </w:r>
          </w:p>
        </w:tc>
      </w:tr>
      <w:tr w:rsidR="005D0DCC" w:rsidRPr="008C761D" w14:paraId="771CD6DE" w14:textId="77777777" w:rsidTr="00560316">
        <w:tc>
          <w:tcPr>
            <w:tcW w:w="2518" w:type="dxa"/>
            <w:tcBorders>
              <w:top w:val="single" w:sz="4" w:space="0" w:color="FFFFFF"/>
              <w:bottom w:val="single" w:sz="4" w:space="0" w:color="FFFFFF"/>
            </w:tcBorders>
            <w:shd w:val="clear" w:color="auto" w:fill="2F5496"/>
          </w:tcPr>
          <w:p w14:paraId="0C24D59C"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7C2373C2" w14:textId="6E7F8C18" w:rsidR="005D0DCC" w:rsidRPr="008C761D" w:rsidRDefault="00600944" w:rsidP="00E84CD0">
            <w:pPr>
              <w:spacing w:line="240" w:lineRule="auto"/>
              <w:jc w:val="both"/>
              <w:rPr>
                <w:rFonts w:cs="Calibri"/>
                <w:sz w:val="20"/>
                <w:szCs w:val="20"/>
                <w:lang w:val="en-US"/>
              </w:rPr>
            </w:pPr>
            <w:r w:rsidRPr="008C761D">
              <w:rPr>
                <w:rFonts w:cs="Calibri"/>
                <w:sz w:val="20"/>
                <w:szCs w:val="20"/>
                <w:lang w:val="en-US"/>
              </w:rPr>
              <w:t>Ministry of Finance – Economic policy and development Department</w:t>
            </w:r>
          </w:p>
        </w:tc>
      </w:tr>
      <w:tr w:rsidR="005D0DCC" w:rsidRPr="008C761D" w14:paraId="3D59680D" w14:textId="77777777" w:rsidTr="00560316">
        <w:tc>
          <w:tcPr>
            <w:tcW w:w="2518" w:type="dxa"/>
            <w:tcBorders>
              <w:top w:val="single" w:sz="4" w:space="0" w:color="FFFFFF"/>
              <w:bottom w:val="nil"/>
            </w:tcBorders>
            <w:shd w:val="clear" w:color="auto" w:fill="2F5496"/>
          </w:tcPr>
          <w:p w14:paraId="286BEEC6"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4FB3D99A" w14:textId="77777777" w:rsidR="00600944" w:rsidRPr="008C761D" w:rsidRDefault="00600944" w:rsidP="003A338C">
            <w:pPr>
              <w:numPr>
                <w:ilvl w:val="0"/>
                <w:numId w:val="41"/>
              </w:numPr>
              <w:spacing w:after="0" w:line="240" w:lineRule="auto"/>
              <w:jc w:val="both"/>
              <w:rPr>
                <w:rFonts w:cs="Calibri"/>
                <w:sz w:val="20"/>
                <w:szCs w:val="20"/>
                <w:lang w:val="en-US"/>
              </w:rPr>
            </w:pPr>
            <w:r w:rsidRPr="008C761D">
              <w:rPr>
                <w:rFonts w:cs="Calibri"/>
                <w:sz w:val="20"/>
                <w:szCs w:val="20"/>
                <w:lang w:val="en-US"/>
              </w:rPr>
              <w:t>Over optimistic growth forecasts;</w:t>
            </w:r>
          </w:p>
          <w:p w14:paraId="41AFC136" w14:textId="7DFD060F" w:rsidR="00600944" w:rsidRPr="008C761D" w:rsidRDefault="00600944" w:rsidP="003A338C">
            <w:pPr>
              <w:numPr>
                <w:ilvl w:val="0"/>
                <w:numId w:val="41"/>
              </w:numPr>
              <w:spacing w:after="0" w:line="240" w:lineRule="auto"/>
              <w:jc w:val="both"/>
              <w:rPr>
                <w:rFonts w:cs="Calibri"/>
                <w:sz w:val="20"/>
                <w:szCs w:val="20"/>
                <w:lang w:val="en-US"/>
              </w:rPr>
            </w:pPr>
            <w:r w:rsidRPr="008C761D">
              <w:rPr>
                <w:rFonts w:cs="Calibri"/>
                <w:sz w:val="20"/>
                <w:szCs w:val="20"/>
                <w:lang w:val="en-US"/>
              </w:rPr>
              <w:t>High staff</w:t>
            </w:r>
            <w:r w:rsidR="00705C79">
              <w:rPr>
                <w:rFonts w:cs="Calibri"/>
                <w:sz w:val="20"/>
                <w:szCs w:val="20"/>
                <w:lang w:val="en-US"/>
              </w:rPr>
              <w:t xml:space="preserve"> </w:t>
            </w:r>
            <w:r w:rsidRPr="008C761D">
              <w:rPr>
                <w:rFonts w:cs="Calibri"/>
                <w:sz w:val="20"/>
                <w:szCs w:val="20"/>
                <w:lang w:val="en-US"/>
              </w:rPr>
              <w:t>turnover;</w:t>
            </w:r>
          </w:p>
          <w:p w14:paraId="0E940D69" w14:textId="77777777" w:rsidR="00600944" w:rsidRPr="008C761D" w:rsidRDefault="00600944" w:rsidP="003A338C">
            <w:pPr>
              <w:numPr>
                <w:ilvl w:val="0"/>
                <w:numId w:val="41"/>
              </w:numPr>
              <w:spacing w:after="0" w:line="240" w:lineRule="auto"/>
              <w:jc w:val="both"/>
              <w:rPr>
                <w:rFonts w:cs="Calibri"/>
                <w:sz w:val="20"/>
                <w:szCs w:val="20"/>
                <w:lang w:val="en-US"/>
              </w:rPr>
            </w:pPr>
            <w:r w:rsidRPr="008C761D">
              <w:rPr>
                <w:rFonts w:cs="Calibri"/>
                <w:sz w:val="20"/>
                <w:szCs w:val="20"/>
                <w:lang w:val="en-US"/>
              </w:rPr>
              <w:t>Availability of official national statistical data as input for economic forecasting and analysis;</w:t>
            </w:r>
          </w:p>
          <w:p w14:paraId="029F890D" w14:textId="42B0AF61" w:rsidR="003C20E4" w:rsidRPr="008C761D" w:rsidRDefault="00600944" w:rsidP="003A338C">
            <w:pPr>
              <w:numPr>
                <w:ilvl w:val="0"/>
                <w:numId w:val="41"/>
              </w:numPr>
              <w:spacing w:after="0" w:line="240" w:lineRule="auto"/>
              <w:jc w:val="both"/>
              <w:rPr>
                <w:rFonts w:cs="Calibri"/>
                <w:sz w:val="20"/>
                <w:szCs w:val="20"/>
                <w:lang w:val="en-US"/>
              </w:rPr>
            </w:pPr>
            <w:r w:rsidRPr="008C761D">
              <w:rPr>
                <w:rFonts w:cs="Calibri"/>
                <w:sz w:val="20"/>
                <w:szCs w:val="20"/>
                <w:lang w:val="en-US"/>
              </w:rPr>
              <w:t>Failure to procure appropriate software.</w:t>
            </w:r>
          </w:p>
        </w:tc>
      </w:tr>
    </w:tbl>
    <w:p w14:paraId="0AA96F7D" w14:textId="77777777" w:rsidR="00534056" w:rsidRPr="008C761D" w:rsidRDefault="00534056" w:rsidP="00E84CD0">
      <w:pPr>
        <w:spacing w:line="240" w:lineRule="auto"/>
        <w:jc w:val="both"/>
        <w:rPr>
          <w:rFonts w:cs="Calibri"/>
          <w:b/>
          <w:bCs/>
          <w:iCs/>
          <w:color w:val="0070C0"/>
          <w:sz w:val="24"/>
          <w:szCs w:val="24"/>
          <w:lang w:val="en-US"/>
        </w:rPr>
      </w:pPr>
    </w:p>
    <w:p w14:paraId="67AE1683" w14:textId="5FD7EA06" w:rsidR="005D0DCC" w:rsidRPr="008C761D" w:rsidRDefault="005D0DCC" w:rsidP="00E84CD0">
      <w:pPr>
        <w:spacing w:line="240" w:lineRule="auto"/>
        <w:jc w:val="both"/>
        <w:rPr>
          <w:rFonts w:cs="Calibri"/>
          <w:b/>
          <w:bCs/>
          <w:iCs/>
          <w:color w:val="0070C0"/>
          <w:sz w:val="24"/>
          <w:szCs w:val="24"/>
          <w:lang w:val="en-US"/>
        </w:rPr>
      </w:pPr>
      <w:r w:rsidRPr="008C761D">
        <w:rPr>
          <w:rFonts w:cs="Calibri"/>
          <w:b/>
          <w:bCs/>
          <w:iCs/>
          <w:color w:val="0070C0"/>
          <w:sz w:val="24"/>
          <w:szCs w:val="24"/>
          <w:lang w:val="en-US"/>
        </w:rPr>
        <w:t>Measure 3:</w:t>
      </w:r>
      <w:r w:rsidR="00CA0BA6">
        <w:rPr>
          <w:rFonts w:cs="Calibri"/>
          <w:b/>
          <w:bCs/>
          <w:iCs/>
          <w:color w:val="0070C0"/>
          <w:sz w:val="24"/>
          <w:szCs w:val="24"/>
          <w:lang w:val="en-US"/>
        </w:rPr>
        <w:t xml:space="preserve"> </w:t>
      </w:r>
      <w:r w:rsidRPr="008C761D">
        <w:rPr>
          <w:rFonts w:cs="Calibri"/>
          <w:b/>
          <w:bCs/>
          <w:iCs/>
          <w:color w:val="0070C0"/>
          <w:sz w:val="24"/>
          <w:szCs w:val="24"/>
          <w:lang w:val="en-US"/>
        </w:rPr>
        <w:t>Fiscal risks</w:t>
      </w:r>
    </w:p>
    <w:p w14:paraId="3744DB66"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Measure objective</w:t>
      </w:r>
    </w:p>
    <w:p w14:paraId="019455BE" w14:textId="77777777" w:rsidR="00534056" w:rsidRPr="008C761D" w:rsidRDefault="00534056" w:rsidP="00534056">
      <w:pPr>
        <w:spacing w:line="240" w:lineRule="auto"/>
        <w:jc w:val="both"/>
        <w:rPr>
          <w:rFonts w:eastAsia="MS PGothic" w:cs="Calibri"/>
          <w:lang w:val="en-US" w:eastAsia="zh-CN"/>
        </w:rPr>
      </w:pPr>
      <w:r w:rsidRPr="008C761D">
        <w:rPr>
          <w:rFonts w:eastAsia="MS PGothic" w:cs="Calibri"/>
          <w:lang w:val="en-US" w:eastAsia="zh-CN"/>
        </w:rPr>
        <w:t xml:space="preserve">To strengthen the institutional architecture of beneficiaries for fiscal risks assessment in order to provide timely information on potential threats to the country's fiscal position and an integrated approach to managing these risks. </w:t>
      </w:r>
    </w:p>
    <w:p w14:paraId="0219F36A"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 xml:space="preserve">Reference to the external </w:t>
      </w:r>
      <w:proofErr w:type="gramStart"/>
      <w:r w:rsidRPr="008C761D">
        <w:rPr>
          <w:rFonts w:cs="Calibri"/>
          <w:b/>
          <w:bCs/>
          <w:i/>
          <w:iCs/>
          <w:color w:val="4F81BD"/>
          <w:lang w:val="en-US"/>
        </w:rPr>
        <w:t>assessments</w:t>
      </w:r>
      <w:proofErr w:type="gramEnd"/>
      <w:r w:rsidRPr="008C761D">
        <w:rPr>
          <w:rFonts w:cs="Calibri"/>
          <w:b/>
          <w:bCs/>
          <w:i/>
          <w:iCs/>
          <w:color w:val="4F81BD"/>
          <w:lang w:val="en-US"/>
        </w:rPr>
        <w:t xml:space="preserve"> findings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5D0DCC" w:rsidRPr="008C761D" w14:paraId="095B605B" w14:textId="77777777" w:rsidTr="00CE0F6C">
        <w:tc>
          <w:tcPr>
            <w:tcW w:w="1240" w:type="dxa"/>
            <w:shd w:val="clear" w:color="auto" w:fill="DDDDDD"/>
          </w:tcPr>
          <w:p w14:paraId="389BC801" w14:textId="77777777" w:rsidR="005D0DCC" w:rsidRPr="008C761D" w:rsidRDefault="005D0DCC" w:rsidP="00E84CD0">
            <w:pPr>
              <w:spacing w:line="240" w:lineRule="auto"/>
              <w:jc w:val="both"/>
              <w:rPr>
                <w:rFonts w:cs="Calibri"/>
                <w:b/>
                <w:sz w:val="20"/>
                <w:szCs w:val="20"/>
                <w:lang w:val="en-US"/>
              </w:rPr>
            </w:pPr>
            <w:r w:rsidRPr="008C761D">
              <w:rPr>
                <w:rFonts w:cs="Calibri"/>
                <w:b/>
                <w:sz w:val="20"/>
                <w:szCs w:val="20"/>
                <w:lang w:val="en-US"/>
              </w:rPr>
              <w:t>PEFA</w:t>
            </w:r>
            <w:r w:rsidR="00B86D6E" w:rsidRPr="008C761D">
              <w:rPr>
                <w:rFonts w:cs="Calibri"/>
                <w:b/>
                <w:sz w:val="20"/>
                <w:szCs w:val="20"/>
                <w:lang w:val="en-US"/>
              </w:rPr>
              <w:t xml:space="preserve"> 2021:</w:t>
            </w:r>
          </w:p>
        </w:tc>
        <w:tc>
          <w:tcPr>
            <w:tcW w:w="7832" w:type="dxa"/>
            <w:shd w:val="clear" w:color="auto" w:fill="DDDDDD"/>
          </w:tcPr>
          <w:p w14:paraId="4B54A56F" w14:textId="77777777" w:rsidR="005D0DCC" w:rsidRPr="008C761D" w:rsidRDefault="005D0DCC" w:rsidP="00E84CD0">
            <w:pPr>
              <w:spacing w:line="240" w:lineRule="auto"/>
              <w:jc w:val="both"/>
              <w:rPr>
                <w:rFonts w:cs="Calibri"/>
                <w:sz w:val="20"/>
                <w:szCs w:val="20"/>
                <w:lang w:val="en-US"/>
              </w:rPr>
            </w:pPr>
            <w:r w:rsidRPr="008C761D">
              <w:rPr>
                <w:rFonts w:eastAsia="MS PGothic" w:cs="Calibri"/>
                <w:sz w:val="20"/>
                <w:szCs w:val="20"/>
                <w:lang w:val="en-US" w:eastAsia="zh-CN"/>
              </w:rPr>
              <w:t xml:space="preserve">To consolidate reporting of fiscal risks including: macroeconomic risks, risks arising from public debt, arrears, as well as unpaid liabilities, risks from potential costs arising from PPPs and natural and other type of disasters. </w:t>
            </w:r>
            <w:r w:rsidRPr="008C761D">
              <w:rPr>
                <w:rFonts w:cs="Calibri"/>
                <w:sz w:val="20"/>
                <w:szCs w:val="20"/>
                <w:lang w:val="en-US"/>
              </w:rPr>
              <w:t xml:space="preserve">At the same time, </w:t>
            </w:r>
            <w:r w:rsidRPr="008C761D">
              <w:rPr>
                <w:rFonts w:eastAsia="MS PGothic" w:cs="Calibri"/>
                <w:sz w:val="20"/>
                <w:szCs w:val="20"/>
                <w:lang w:val="en-US" w:eastAsia="zh-CN"/>
              </w:rPr>
              <w:t xml:space="preserve">it is recommended carry out additional analyses of fiscal risks arising from the operations of public enterprises and municipalities, as well as potential risks at central level, i.e. at the level of </w:t>
            </w:r>
            <w:r w:rsidRPr="008C761D">
              <w:rPr>
                <w:rFonts w:cs="Calibri"/>
                <w:sz w:val="20"/>
                <w:szCs w:val="20"/>
                <w:lang w:val="en-US"/>
              </w:rPr>
              <w:t>the State Budget</w:t>
            </w:r>
            <w:r w:rsidRPr="008C761D">
              <w:rPr>
                <w:rFonts w:eastAsia="MS PGothic" w:cs="Calibri"/>
                <w:sz w:val="20"/>
                <w:szCs w:val="20"/>
                <w:lang w:val="en-US" w:eastAsia="zh-CN"/>
              </w:rPr>
              <w:t>.</w:t>
            </w:r>
          </w:p>
        </w:tc>
      </w:tr>
      <w:tr w:rsidR="005D0DCC" w:rsidRPr="008C761D" w14:paraId="2B682BE3" w14:textId="77777777" w:rsidTr="00CE0F6C">
        <w:tc>
          <w:tcPr>
            <w:tcW w:w="1240" w:type="dxa"/>
            <w:shd w:val="clear" w:color="auto" w:fill="DDDDDD"/>
          </w:tcPr>
          <w:p w14:paraId="118C2C0C" w14:textId="77777777" w:rsidR="005D0DCC" w:rsidRPr="008C761D" w:rsidRDefault="005D0DCC" w:rsidP="00E84CD0">
            <w:pPr>
              <w:spacing w:line="240" w:lineRule="auto"/>
              <w:jc w:val="both"/>
              <w:rPr>
                <w:rFonts w:cs="Calibri"/>
                <w:b/>
                <w:sz w:val="20"/>
                <w:szCs w:val="20"/>
                <w:lang w:val="en-US"/>
              </w:rPr>
            </w:pPr>
            <w:r w:rsidRPr="008C761D">
              <w:rPr>
                <w:rFonts w:cs="Calibri"/>
                <w:b/>
                <w:sz w:val="20"/>
                <w:szCs w:val="20"/>
                <w:lang w:val="en-US"/>
              </w:rPr>
              <w:t>IMF:</w:t>
            </w:r>
          </w:p>
        </w:tc>
        <w:tc>
          <w:tcPr>
            <w:tcW w:w="7832" w:type="dxa"/>
            <w:shd w:val="clear" w:color="auto" w:fill="DDDDDD"/>
          </w:tcPr>
          <w:p w14:paraId="773C5F75" w14:textId="77777777" w:rsidR="00534056" w:rsidRPr="008C761D" w:rsidRDefault="00534056" w:rsidP="00534056">
            <w:pPr>
              <w:spacing w:after="0" w:line="240" w:lineRule="auto"/>
              <w:jc w:val="both"/>
              <w:rPr>
                <w:rFonts w:cs="Calibri"/>
                <w:sz w:val="20"/>
                <w:szCs w:val="20"/>
                <w:lang w:val="en-US"/>
              </w:rPr>
            </w:pPr>
            <w:r w:rsidRPr="008C761D">
              <w:rPr>
                <w:rFonts w:cs="Calibri"/>
                <w:sz w:val="20"/>
                <w:szCs w:val="20"/>
                <w:lang w:val="en-US"/>
              </w:rPr>
              <w:t xml:space="preserve">Government should </w:t>
            </w:r>
            <w:r w:rsidRPr="008C761D">
              <w:rPr>
                <w:rFonts w:eastAsia="MS PGothic" w:cs="Calibri"/>
                <w:sz w:val="20"/>
                <w:szCs w:val="20"/>
                <w:lang w:val="en-US" w:eastAsia="zh-CN"/>
              </w:rPr>
              <w:t xml:space="preserve">disclose, analyze and manage risks related to the public finances and ensure effective coordination of fiscal decision-making across the public sector. </w:t>
            </w:r>
          </w:p>
          <w:p w14:paraId="62271200" w14:textId="77777777" w:rsidR="00534056" w:rsidRPr="008C761D" w:rsidRDefault="00534056" w:rsidP="00534056">
            <w:pPr>
              <w:spacing w:after="0" w:line="240" w:lineRule="auto"/>
              <w:jc w:val="both"/>
              <w:rPr>
                <w:rFonts w:cs="Calibri"/>
                <w:sz w:val="20"/>
                <w:szCs w:val="20"/>
                <w:lang w:val="en-US"/>
              </w:rPr>
            </w:pPr>
            <w:r w:rsidRPr="008C761D">
              <w:rPr>
                <w:rFonts w:cs="Calibri"/>
                <w:sz w:val="20"/>
                <w:szCs w:val="20"/>
                <w:lang w:val="en-US"/>
              </w:rPr>
              <w:t xml:space="preserve">- To publish a comprehensive statement on fiscal risks. </w:t>
            </w:r>
          </w:p>
          <w:p w14:paraId="0FEA65A4" w14:textId="77777777" w:rsidR="00534056" w:rsidRPr="008C761D" w:rsidRDefault="00534056" w:rsidP="00534056">
            <w:pPr>
              <w:spacing w:after="0" w:line="240" w:lineRule="auto"/>
              <w:jc w:val="both"/>
              <w:rPr>
                <w:rFonts w:eastAsia="MS PGothic" w:cs="Calibri"/>
                <w:sz w:val="20"/>
                <w:szCs w:val="20"/>
                <w:lang w:val="en-US" w:eastAsia="zh-CN"/>
              </w:rPr>
            </w:pPr>
            <w:r w:rsidRPr="008C761D">
              <w:rPr>
                <w:rFonts w:cs="Calibri"/>
                <w:sz w:val="20"/>
                <w:szCs w:val="20"/>
                <w:lang w:val="en-US"/>
              </w:rPr>
              <w:t xml:space="preserve">- To strengthen long-run fiscal </w:t>
            </w:r>
            <w:r w:rsidRPr="008C761D">
              <w:rPr>
                <w:rFonts w:eastAsia="MS PGothic" w:cs="Calibri"/>
                <w:sz w:val="20"/>
                <w:szCs w:val="20"/>
                <w:lang w:val="en-US" w:eastAsia="zh-CN"/>
              </w:rPr>
              <w:t>sustainability analysis and disclose by including projections for general government debt</w:t>
            </w:r>
          </w:p>
          <w:p w14:paraId="49B477E3" w14:textId="2E49FDAD" w:rsidR="005D0DCC" w:rsidRPr="008C761D" w:rsidRDefault="00534056" w:rsidP="00534056">
            <w:pPr>
              <w:spacing w:line="240" w:lineRule="auto"/>
              <w:jc w:val="both"/>
              <w:rPr>
                <w:rFonts w:cs="Calibri"/>
                <w:sz w:val="20"/>
                <w:szCs w:val="20"/>
                <w:lang w:val="en-US"/>
              </w:rPr>
            </w:pPr>
            <w:r w:rsidRPr="008C761D">
              <w:rPr>
                <w:rFonts w:eastAsia="MS PGothic" w:cs="Calibri"/>
                <w:sz w:val="20"/>
                <w:szCs w:val="20"/>
                <w:lang w:val="en-US" w:eastAsia="zh-CN"/>
              </w:rPr>
              <w:t>- Strengthen the oversight over SOEs and PPPs (Fiscal Transparency Evaluation 2018)</w:t>
            </w:r>
          </w:p>
        </w:tc>
      </w:tr>
    </w:tbl>
    <w:p w14:paraId="566876EF" w14:textId="77777777" w:rsidR="005D0DCC" w:rsidRPr="008C761D" w:rsidRDefault="005D0DCC" w:rsidP="00E84CD0">
      <w:pPr>
        <w:spacing w:line="240" w:lineRule="auto"/>
        <w:jc w:val="both"/>
        <w:rPr>
          <w:rFonts w:cs="Calibri"/>
          <w:lang w:val="en-US"/>
        </w:rPr>
      </w:pPr>
    </w:p>
    <w:p w14:paraId="00A79601"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38325C69" w14:textId="1F53134A" w:rsidR="005D0DCC" w:rsidRPr="008C761D" w:rsidRDefault="005D0DCC" w:rsidP="00E84CD0">
      <w:pPr>
        <w:spacing w:line="240" w:lineRule="auto"/>
        <w:jc w:val="both"/>
        <w:rPr>
          <w:rFonts w:cs="Calibri"/>
          <w:lang w:val="en-US"/>
        </w:rPr>
      </w:pPr>
      <w:r w:rsidRPr="008C761D">
        <w:rPr>
          <w:rFonts w:eastAsia="MS PGothic" w:cs="Calibri"/>
          <w:lang w:val="en-US" w:eastAsia="zh-CN"/>
        </w:rPr>
        <w:t xml:space="preserve">According to the analyses carried out by the international financial institutions (IFIs), the Government announces and assesses most of the existing fiscal risks, including potential macroeconomic risks, risks in the financial sector, long-term risks related to the operations of health and pension funds, which are part of the reporting obligations throughout the </w:t>
      </w:r>
      <w:r w:rsidRPr="008C761D">
        <w:rPr>
          <w:rFonts w:cs="Calibri"/>
          <w:lang w:val="en-US"/>
        </w:rPr>
        <w:t>EU accession talks.</w:t>
      </w:r>
      <w:r w:rsidR="006E0B57">
        <w:rPr>
          <w:rFonts w:cs="Calibri"/>
        </w:rPr>
        <w:t xml:space="preserve"> </w:t>
      </w:r>
      <w:r w:rsidRPr="008C761D">
        <w:rPr>
          <w:rFonts w:cs="Calibri"/>
          <w:lang w:val="en-US"/>
        </w:rPr>
        <w:t>However, it is pointed that no such analyses exist for certain areas.</w:t>
      </w:r>
      <w:r w:rsidR="00705C79">
        <w:rPr>
          <w:rFonts w:cs="Calibri"/>
          <w:lang w:val="en-US"/>
        </w:rPr>
        <w:t xml:space="preserve"> </w:t>
      </w:r>
      <w:r w:rsidRPr="008C761D">
        <w:rPr>
          <w:rFonts w:cs="Calibri"/>
          <w:lang w:val="en-US"/>
        </w:rPr>
        <w:t xml:space="preserve">What is indicated in the analyses of the international financial institutions is the lack of an overall consolidated analysis of fiscal risks in order to determine their size and potential impact on public finances. </w:t>
      </w:r>
    </w:p>
    <w:p w14:paraId="3F7791BB" w14:textId="77777777" w:rsidR="00534056" w:rsidRPr="008C761D" w:rsidRDefault="00534056" w:rsidP="00534056">
      <w:pPr>
        <w:spacing w:line="240" w:lineRule="auto"/>
        <w:jc w:val="both"/>
        <w:rPr>
          <w:rFonts w:eastAsia="MS PGothic" w:cs="Calibri"/>
          <w:lang w:val="en-US" w:eastAsia="zh-CN"/>
        </w:rPr>
      </w:pPr>
      <w:r w:rsidRPr="008C761D">
        <w:rPr>
          <w:rFonts w:eastAsia="MS PGothic" w:cs="Calibri"/>
          <w:lang w:val="en-US" w:eastAsia="zh-CN"/>
        </w:rPr>
        <w:t xml:space="preserve">Establishing capacities in the Ministry of finance and other institutions for comprehensive fiscal risks assessments, including risks related to: macroeconomic developments, SOEs, local governments finances, loan guarantees and public debt levels,  natural disasters, legal litigations and other fiscal </w:t>
      </w:r>
      <w:r w:rsidRPr="008C761D">
        <w:rPr>
          <w:rFonts w:eastAsia="MS PGothic" w:cs="Calibri"/>
          <w:lang w:val="en-US" w:eastAsia="zh-CN"/>
        </w:rPr>
        <w:lastRenderedPageBreak/>
        <w:t xml:space="preserve">risk; will enable the assessment of the cumulative risk exposure of these institutions, as well as the identification of systemic relationships and interactions between the risks, i.e. whether the risks arising from different sources are neutralized or reinforced by each other. </w:t>
      </w:r>
    </w:p>
    <w:p w14:paraId="5BABD0F7" w14:textId="36844FA3" w:rsidR="004B25EB" w:rsidRPr="008C761D" w:rsidRDefault="00534056" w:rsidP="00534056">
      <w:pPr>
        <w:spacing w:line="240" w:lineRule="auto"/>
        <w:jc w:val="both"/>
        <w:rPr>
          <w:rFonts w:eastAsia="MS PGothic" w:cs="Calibri"/>
          <w:lang w:val="en-US" w:eastAsia="zh-CN"/>
        </w:rPr>
      </w:pPr>
      <w:r w:rsidRPr="008C761D">
        <w:rPr>
          <w:rFonts w:eastAsia="MS PGothic" w:cs="Calibri"/>
          <w:lang w:val="en-US" w:eastAsia="zh-CN"/>
        </w:rPr>
        <w:t>Initially, the purpose of the measure is to improve the preparation of the draft State Budget by creating a special Fiscal Risks Statement, which will be part of the Annexes, and that together with the Budget are submitted to the Parliament. Within this priority, a comprehensive fiscal risk assessment is envisaged with support from FAD/IMF, in order to provide information on potential threats to the country's fiscal position and to provide an integrated approach to managing these risks. The first mission by FAD/IMF has been</w:t>
      </w:r>
      <w:r w:rsidR="006E0B57">
        <w:rPr>
          <w:rFonts w:eastAsia="MS PGothic" w:cs="Calibri"/>
          <w:lang w:eastAsia="zh-CN"/>
        </w:rPr>
        <w:t xml:space="preserve"> </w:t>
      </w:r>
      <w:r w:rsidR="006E0B57">
        <w:rPr>
          <w:rFonts w:eastAsia="MS PGothic" w:cs="Calibri"/>
          <w:lang w:val="en-US" w:eastAsia="zh-CN"/>
        </w:rPr>
        <w:t>already condacted</w:t>
      </w:r>
      <w:r w:rsidRPr="008C761D">
        <w:rPr>
          <w:rFonts w:eastAsia="MS PGothic" w:cs="Calibri"/>
          <w:lang w:val="en-US" w:eastAsia="zh-CN"/>
        </w:rPr>
        <w:t xml:space="preserve"> </w:t>
      </w:r>
      <w:r w:rsidR="006E0B57">
        <w:rPr>
          <w:rFonts w:eastAsia="MS PGothic" w:cs="Calibri"/>
          <w:lang w:val="en-US" w:eastAsia="zh-CN"/>
        </w:rPr>
        <w:t>in Jan/Feb</w:t>
      </w:r>
      <w:r w:rsidRPr="008C761D">
        <w:rPr>
          <w:rFonts w:eastAsia="MS PGothic" w:cs="Calibri"/>
          <w:lang w:val="en-US" w:eastAsia="zh-CN"/>
        </w:rPr>
        <w:t xml:space="preserve"> 2024, and in addition to the assessment analyses, proposals w</w:t>
      </w:r>
      <w:r w:rsidR="006E0B57">
        <w:rPr>
          <w:rFonts w:eastAsia="MS PGothic" w:cs="Calibri"/>
          <w:lang w:val="en-US" w:eastAsia="zh-CN"/>
        </w:rPr>
        <w:t>ere</w:t>
      </w:r>
      <w:r w:rsidRPr="008C761D">
        <w:rPr>
          <w:rFonts w:eastAsia="MS PGothic" w:cs="Calibri"/>
          <w:lang w:val="en-US" w:eastAsia="zh-CN"/>
        </w:rPr>
        <w:t xml:space="preserve"> suggested for strengthening fiscal risks management and transparent disclosing of relevant information. Fiscal risks analyses will contribute to a better understanding of the public finance position, thus providing support for prudent fiscal policy, as well as strengthening risk management accountability. </w:t>
      </w:r>
    </w:p>
    <w:p w14:paraId="4D9100E0" w14:textId="3DC9B2E2" w:rsidR="005D0DCC" w:rsidRPr="006A0F62" w:rsidRDefault="005D0DCC" w:rsidP="00CA0BA6">
      <w:pPr>
        <w:spacing w:line="240" w:lineRule="auto"/>
        <w:jc w:val="both"/>
        <w:rPr>
          <w:rFonts w:cs="Calibri"/>
          <w:b/>
          <w:color w:val="0070C0"/>
          <w:lang w:val="en-US"/>
        </w:rPr>
      </w:pPr>
      <w:r w:rsidRPr="006A0F62">
        <w:rPr>
          <w:rFonts w:cs="Calibri"/>
          <w:b/>
          <w:color w:val="0070C0"/>
          <w:lang w:val="en-US"/>
        </w:rPr>
        <w:t>Activity 1:</w:t>
      </w:r>
      <w:r w:rsidR="00CA0BA6" w:rsidRPr="006A0F62">
        <w:rPr>
          <w:rFonts w:cs="Calibri"/>
          <w:b/>
          <w:color w:val="0070C0"/>
          <w:lang w:val="en-US"/>
        </w:rPr>
        <w:t xml:space="preserve"> </w:t>
      </w:r>
      <w:r w:rsidR="009C56A3" w:rsidRPr="006A0F62">
        <w:rPr>
          <w:rFonts w:cs="Calibri"/>
          <w:b/>
          <w:color w:val="0070C0"/>
          <w:lang w:val="en-US"/>
        </w:rPr>
        <w:t>Establishing institutional framework for fiscal analyses at MoF</w:t>
      </w:r>
    </w:p>
    <w:p w14:paraId="26E84EAD" w14:textId="6CB20442" w:rsidR="00534056" w:rsidRPr="008C761D" w:rsidRDefault="00534056" w:rsidP="00534056">
      <w:pPr>
        <w:spacing w:line="240" w:lineRule="auto"/>
        <w:jc w:val="both"/>
        <w:rPr>
          <w:rFonts w:eastAsia="MS PGothic" w:cs="Calibri"/>
          <w:lang w:val="en-US" w:eastAsia="zh-CN"/>
        </w:rPr>
      </w:pPr>
      <w:r w:rsidRPr="008C761D">
        <w:rPr>
          <w:rFonts w:cs="Calibri"/>
          <w:lang w:val="en-US"/>
        </w:rPr>
        <w:t xml:space="preserve">Under this activity, activities for </w:t>
      </w:r>
      <w:r w:rsidRPr="008C761D">
        <w:rPr>
          <w:rFonts w:eastAsia="MS PGothic" w:cs="Calibri"/>
          <w:lang w:val="en-US" w:eastAsia="zh-CN"/>
        </w:rPr>
        <w:t xml:space="preserve">strengthening the fiscal risk assessment capacities will be implemented, these being the following: Identification of existing fiscal risk analyses by areas and competent institutions, as well as identification of those areas for which such analyses need to be prepared in future; trainings for employees to improve the existing fiscal risk analyses (macroeconomic and public deb risks) and preparation of new analyses (risks arising from the State Budget arrears, Public Enterprises, </w:t>
      </w:r>
      <w:r w:rsidRPr="008C761D">
        <w:rPr>
          <w:rFonts w:cs="Calibri"/>
          <w:lang w:val="en-US"/>
        </w:rPr>
        <w:t>Local Self Governments, PPPS, liabilities from legal cases and natural disasters, etc.</w:t>
      </w:r>
      <w:r w:rsidRPr="008C761D">
        <w:rPr>
          <w:rFonts w:eastAsia="MS PGothic" w:cs="Calibri"/>
          <w:lang w:val="en-US" w:eastAsia="zh-CN"/>
        </w:rPr>
        <w:t xml:space="preserve">). Initially, the activities under this measure will be coordinated by a Working group for fiscal risks, that will be established at the Ministry of </w:t>
      </w:r>
      <w:r w:rsidR="006E0B57">
        <w:rPr>
          <w:rFonts w:eastAsia="MS PGothic" w:cs="Calibri"/>
          <w:lang w:val="en-US" w:eastAsia="zh-CN"/>
        </w:rPr>
        <w:t>F</w:t>
      </w:r>
      <w:r w:rsidRPr="008C761D">
        <w:rPr>
          <w:rFonts w:eastAsia="MS PGothic" w:cs="Calibri"/>
          <w:lang w:val="en-US" w:eastAsia="zh-CN"/>
        </w:rPr>
        <w:t>inance with members from relevant departments.</w:t>
      </w:r>
    </w:p>
    <w:p w14:paraId="2A690EB3" w14:textId="77777777" w:rsidR="0056153D" w:rsidRPr="0056153D" w:rsidRDefault="0056153D" w:rsidP="0056153D">
      <w:pPr>
        <w:spacing w:line="240" w:lineRule="auto"/>
        <w:jc w:val="both"/>
        <w:rPr>
          <w:rFonts w:cs="Calibri"/>
          <w:b/>
          <w:color w:val="0070C0"/>
          <w:lang w:val="en-US"/>
        </w:rPr>
      </w:pPr>
      <w:r w:rsidRPr="0056153D">
        <w:rPr>
          <w:rFonts w:cs="Calibri"/>
          <w:b/>
          <w:color w:val="0070C0"/>
          <w:lang w:val="en-US"/>
        </w:rPr>
        <w:t>Activity 2: Preparing consolidated Fiscal Risk Chapter in the Fiscal Strategy</w:t>
      </w:r>
    </w:p>
    <w:p w14:paraId="6C2DE90F" w14:textId="77777777" w:rsidR="0056153D" w:rsidRPr="0056153D" w:rsidRDefault="0056153D" w:rsidP="0056153D">
      <w:pPr>
        <w:spacing w:line="240" w:lineRule="auto"/>
        <w:jc w:val="both"/>
        <w:rPr>
          <w:rFonts w:eastAsia="MS PGothic" w:cs="Calibri"/>
          <w:lang w:val="en-US" w:eastAsia="zh-CN"/>
        </w:rPr>
      </w:pPr>
      <w:r w:rsidRPr="0056153D">
        <w:rPr>
          <w:rFonts w:eastAsia="MS PGothic" w:cs="Calibri"/>
          <w:lang w:val="en-US" w:eastAsia="zh-CN"/>
        </w:rPr>
        <w:t xml:space="preserve">Preparation of a procedure for preparation of a Fiscal Risk Chapter as separate section in the fiscal strategy as specified in the OBL, thus reporting on the overall fiscal risks in a consolidated manner. The Fiscal Strategy and its revised version </w:t>
      </w:r>
      <w:proofErr w:type="gramStart"/>
      <w:r w:rsidRPr="0056153D">
        <w:rPr>
          <w:rFonts w:eastAsia="MS PGothic" w:cs="Calibri"/>
          <w:lang w:val="en-US" w:eastAsia="zh-CN"/>
        </w:rPr>
        <w:t>is</w:t>
      </w:r>
      <w:proofErr w:type="gramEnd"/>
      <w:r w:rsidRPr="0056153D">
        <w:rPr>
          <w:rFonts w:eastAsia="MS PGothic" w:cs="Calibri"/>
          <w:lang w:val="en-US" w:eastAsia="zh-CN"/>
        </w:rPr>
        <w:t xml:space="preserve"> part of the Budget preparation process and is being submitted to the Parliament, and the new chapter on fiscal risks will increase transparency related to financial and other risks, thus contributing towards better public finance management. </w:t>
      </w:r>
    </w:p>
    <w:p w14:paraId="3339F46D" w14:textId="77777777" w:rsidR="0056153D" w:rsidRDefault="0056153D" w:rsidP="0056153D">
      <w:pPr>
        <w:spacing w:line="240" w:lineRule="auto"/>
        <w:jc w:val="both"/>
        <w:rPr>
          <w:rFonts w:eastAsia="MS PGothic" w:cs="Calibri"/>
          <w:lang w:val="en-US" w:eastAsia="zh-CN"/>
        </w:rPr>
      </w:pPr>
      <w:r w:rsidRPr="0056153D">
        <w:rPr>
          <w:rFonts w:eastAsia="MS PGothic" w:cs="Calibri"/>
          <w:lang w:val="en-US" w:eastAsia="zh-CN"/>
        </w:rPr>
        <w:t xml:space="preserve">A plan for commencement of both activities was drafted during the first IMF/FAD mission in the beginning of 2024, which included assessment of current conditions, designing plan for improving management and how to publish fiscal risks. Analyses of the achieved results of the 2024 plan will be prepared in 2027, including a new plan for further strengthening of the capacities to conduct fiscal risks assessment, analyses and improve </w:t>
      </w:r>
      <w:proofErr w:type="gramStart"/>
      <w:r w:rsidRPr="0056153D">
        <w:rPr>
          <w:rFonts w:eastAsia="MS PGothic" w:cs="Calibri"/>
          <w:lang w:val="en-US" w:eastAsia="zh-CN"/>
        </w:rPr>
        <w:t>transparency .</w:t>
      </w:r>
      <w:proofErr w:type="gramEnd"/>
    </w:p>
    <w:p w14:paraId="1ACFA543" w14:textId="5DB63C73" w:rsidR="005D0DCC" w:rsidRPr="008C761D" w:rsidRDefault="005D0DCC" w:rsidP="0056153D">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D0DCC" w:rsidRPr="008C761D" w14:paraId="098185D0" w14:textId="77777777" w:rsidTr="00560316">
        <w:tc>
          <w:tcPr>
            <w:tcW w:w="2518" w:type="dxa"/>
            <w:tcBorders>
              <w:top w:val="nil"/>
              <w:bottom w:val="single" w:sz="4" w:space="0" w:color="FFFFFF"/>
            </w:tcBorders>
            <w:shd w:val="clear" w:color="auto" w:fill="2F5496"/>
          </w:tcPr>
          <w:p w14:paraId="2B03BF60"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49D19D04" w14:textId="2829530C" w:rsidR="005D0DCC" w:rsidRPr="008C761D" w:rsidRDefault="005D0DCC" w:rsidP="00E84CD0">
            <w:pPr>
              <w:spacing w:line="240" w:lineRule="auto"/>
              <w:jc w:val="both"/>
              <w:rPr>
                <w:rFonts w:cs="Calibri"/>
                <w:color w:val="FF0000"/>
                <w:sz w:val="20"/>
                <w:szCs w:val="20"/>
                <w:lang w:val="en-US"/>
              </w:rPr>
            </w:pPr>
            <w:r w:rsidRPr="008C761D">
              <w:rPr>
                <w:rFonts w:cs="Calibri"/>
                <w:sz w:val="20"/>
                <w:szCs w:val="20"/>
                <w:lang w:val="en-US"/>
              </w:rPr>
              <w:t>202</w:t>
            </w:r>
            <w:r w:rsidR="005D7742" w:rsidRPr="008C761D">
              <w:rPr>
                <w:rFonts w:cs="Calibri"/>
                <w:sz w:val="20"/>
                <w:szCs w:val="20"/>
                <w:lang w:val="en-US"/>
              </w:rPr>
              <w:t>6</w:t>
            </w:r>
          </w:p>
        </w:tc>
      </w:tr>
      <w:tr w:rsidR="005D0DCC" w:rsidRPr="008C761D" w14:paraId="7C342DA9" w14:textId="77777777" w:rsidTr="00560316">
        <w:tc>
          <w:tcPr>
            <w:tcW w:w="2518" w:type="dxa"/>
            <w:tcBorders>
              <w:top w:val="single" w:sz="4" w:space="0" w:color="FFFFFF"/>
              <w:bottom w:val="single" w:sz="4" w:space="0" w:color="FFFFFF"/>
            </w:tcBorders>
            <w:shd w:val="clear" w:color="auto" w:fill="2F5496"/>
          </w:tcPr>
          <w:p w14:paraId="48F72A7E"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5232BF1D" w14:textId="77777777" w:rsidR="00534056" w:rsidRPr="008C761D" w:rsidRDefault="00534056" w:rsidP="0004385D">
            <w:pPr>
              <w:numPr>
                <w:ilvl w:val="0"/>
                <w:numId w:val="45"/>
              </w:numPr>
              <w:spacing w:after="0" w:line="240" w:lineRule="auto"/>
              <w:ind w:left="273" w:hanging="180"/>
              <w:jc w:val="both"/>
              <w:rPr>
                <w:rFonts w:cs="Calibri"/>
                <w:sz w:val="20"/>
                <w:szCs w:val="20"/>
                <w:lang w:val="en-US"/>
              </w:rPr>
            </w:pPr>
            <w:r w:rsidRPr="008C761D">
              <w:rPr>
                <w:rFonts w:cs="Calibri"/>
                <w:sz w:val="20"/>
                <w:szCs w:val="20"/>
                <w:lang w:val="en-US"/>
              </w:rPr>
              <w:t>Working Group for Fiscal Risks established at MoF;</w:t>
            </w:r>
          </w:p>
          <w:p w14:paraId="7FDAA6E7" w14:textId="77777777" w:rsidR="00534056" w:rsidRPr="008C761D" w:rsidRDefault="00534056" w:rsidP="0004385D">
            <w:pPr>
              <w:numPr>
                <w:ilvl w:val="0"/>
                <w:numId w:val="45"/>
              </w:numPr>
              <w:spacing w:after="0" w:line="240" w:lineRule="auto"/>
              <w:ind w:left="273" w:hanging="180"/>
              <w:jc w:val="both"/>
              <w:rPr>
                <w:rFonts w:cs="Calibri"/>
                <w:sz w:val="20"/>
                <w:szCs w:val="20"/>
                <w:lang w:val="en-US"/>
              </w:rPr>
            </w:pPr>
            <w:r w:rsidRPr="008C761D">
              <w:rPr>
                <w:rFonts w:eastAsia="MS PGothic" w:cs="Calibri"/>
                <w:lang w:val="en-US" w:eastAsia="zh-CN"/>
              </w:rPr>
              <w:t>Comprehensive fiscal risk assessment;</w:t>
            </w:r>
          </w:p>
          <w:p w14:paraId="0241F74A" w14:textId="77777777" w:rsidR="00534056" w:rsidRPr="008C761D" w:rsidRDefault="00534056" w:rsidP="0004385D">
            <w:pPr>
              <w:numPr>
                <w:ilvl w:val="0"/>
                <w:numId w:val="45"/>
              </w:numPr>
              <w:spacing w:after="0" w:line="240" w:lineRule="auto"/>
              <w:ind w:left="273" w:hanging="180"/>
              <w:jc w:val="both"/>
              <w:rPr>
                <w:rFonts w:cs="Calibri"/>
                <w:sz w:val="20"/>
                <w:szCs w:val="20"/>
                <w:lang w:val="en-US"/>
              </w:rPr>
            </w:pPr>
            <w:r w:rsidRPr="008C761D">
              <w:rPr>
                <w:rFonts w:cs="Calibri"/>
                <w:sz w:val="20"/>
                <w:szCs w:val="20"/>
                <w:lang w:val="en-US"/>
              </w:rPr>
              <w:t>Improving the existing and preparing additional analyses related to fiscal risks;</w:t>
            </w:r>
          </w:p>
          <w:p w14:paraId="37B87FAA" w14:textId="77777777" w:rsidR="00534056" w:rsidRPr="008C761D" w:rsidRDefault="00534056" w:rsidP="0004385D">
            <w:pPr>
              <w:numPr>
                <w:ilvl w:val="0"/>
                <w:numId w:val="45"/>
              </w:numPr>
              <w:spacing w:after="0" w:line="240" w:lineRule="auto"/>
              <w:ind w:left="273" w:hanging="180"/>
              <w:jc w:val="both"/>
              <w:rPr>
                <w:rFonts w:cs="Calibri"/>
                <w:sz w:val="20"/>
                <w:szCs w:val="20"/>
                <w:lang w:val="en-US"/>
              </w:rPr>
            </w:pPr>
            <w:r w:rsidRPr="008C761D">
              <w:rPr>
                <w:rFonts w:cs="Calibri"/>
                <w:sz w:val="20"/>
                <w:szCs w:val="20"/>
                <w:lang w:val="en-US"/>
              </w:rPr>
              <w:t xml:space="preserve">Enhanced fiscal risk chapter in the Fiscal Strategy </w:t>
            </w:r>
          </w:p>
          <w:p w14:paraId="34B76F43" w14:textId="3C0675ED" w:rsidR="005D0DCC" w:rsidRPr="008C761D" w:rsidRDefault="00534056" w:rsidP="0004385D">
            <w:pPr>
              <w:numPr>
                <w:ilvl w:val="0"/>
                <w:numId w:val="45"/>
              </w:numPr>
              <w:spacing w:line="240" w:lineRule="auto"/>
              <w:ind w:left="273" w:hanging="180"/>
              <w:jc w:val="both"/>
              <w:rPr>
                <w:rFonts w:cs="Calibri"/>
                <w:sz w:val="20"/>
                <w:szCs w:val="20"/>
                <w:lang w:val="en-US"/>
              </w:rPr>
            </w:pPr>
            <w:r w:rsidRPr="008C761D">
              <w:rPr>
                <w:rFonts w:cs="Calibri"/>
                <w:sz w:val="20"/>
                <w:szCs w:val="20"/>
                <w:lang w:val="en-US"/>
              </w:rPr>
              <w:t>Submission of Fiscal Risk Statement as part of the Annexes, which are submitted, with the draft Budget, to the Parliament</w:t>
            </w:r>
            <w:r w:rsidRPr="008C761D">
              <w:rPr>
                <w:rFonts w:eastAsia="MS PGothic" w:cs="Calibri"/>
                <w:sz w:val="20"/>
                <w:szCs w:val="20"/>
                <w:lang w:val="en-US" w:eastAsia="zh-CN"/>
              </w:rPr>
              <w:t>;</w:t>
            </w:r>
          </w:p>
        </w:tc>
      </w:tr>
      <w:tr w:rsidR="005D0DCC" w:rsidRPr="008C761D" w14:paraId="0E5F55B2" w14:textId="77777777" w:rsidTr="00560316">
        <w:tc>
          <w:tcPr>
            <w:tcW w:w="2518" w:type="dxa"/>
            <w:tcBorders>
              <w:top w:val="single" w:sz="4" w:space="0" w:color="FFFFFF"/>
              <w:bottom w:val="single" w:sz="4" w:space="0" w:color="FFFFFF"/>
            </w:tcBorders>
            <w:shd w:val="clear" w:color="auto" w:fill="2F5496"/>
          </w:tcPr>
          <w:p w14:paraId="78C8A1CE"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6246" w:type="dxa"/>
            <w:tcBorders>
              <w:top w:val="single" w:sz="4" w:space="0" w:color="FFFFFF"/>
              <w:bottom w:val="single" w:sz="4" w:space="0" w:color="FFFFFF"/>
            </w:tcBorders>
            <w:shd w:val="clear" w:color="auto" w:fill="D9E2F3"/>
          </w:tcPr>
          <w:p w14:paraId="43F44DF4" w14:textId="5DA6E4E4"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 xml:space="preserve">EUR </w:t>
            </w:r>
            <w:r w:rsidR="005D7742" w:rsidRPr="008C761D">
              <w:rPr>
                <w:rFonts w:cs="Calibri"/>
                <w:sz w:val="20"/>
                <w:szCs w:val="20"/>
                <w:lang w:val="en-US"/>
              </w:rPr>
              <w:t>300</w:t>
            </w:r>
            <w:r w:rsidRPr="008C761D">
              <w:rPr>
                <w:rFonts w:cs="Calibri"/>
                <w:sz w:val="20"/>
                <w:szCs w:val="20"/>
                <w:lang w:val="en-US"/>
              </w:rPr>
              <w:t>,000</w:t>
            </w:r>
          </w:p>
        </w:tc>
      </w:tr>
      <w:tr w:rsidR="005D0DCC" w:rsidRPr="008C761D" w14:paraId="07499FC6" w14:textId="77777777" w:rsidTr="00560316">
        <w:tc>
          <w:tcPr>
            <w:tcW w:w="2518" w:type="dxa"/>
            <w:tcBorders>
              <w:top w:val="single" w:sz="4" w:space="0" w:color="FFFFFF"/>
              <w:bottom w:val="single" w:sz="4" w:space="0" w:color="FFFFFF"/>
            </w:tcBorders>
            <w:shd w:val="clear" w:color="auto" w:fill="2F5496"/>
          </w:tcPr>
          <w:p w14:paraId="7A674F26"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lastRenderedPageBreak/>
              <w:t>Responsible entity:</w:t>
            </w:r>
          </w:p>
        </w:tc>
        <w:tc>
          <w:tcPr>
            <w:tcW w:w="6246" w:type="dxa"/>
            <w:tcBorders>
              <w:top w:val="single" w:sz="4" w:space="0" w:color="FFFFFF"/>
              <w:bottom w:val="single" w:sz="4" w:space="0" w:color="FFFFFF"/>
            </w:tcBorders>
            <w:shd w:val="clear" w:color="auto" w:fill="D9E2F3"/>
          </w:tcPr>
          <w:p w14:paraId="68545B90" w14:textId="57FFC6EF" w:rsidR="005D0DCC" w:rsidRPr="008C761D" w:rsidRDefault="00FA0745" w:rsidP="00E84CD0">
            <w:pPr>
              <w:spacing w:line="240" w:lineRule="auto"/>
              <w:jc w:val="both"/>
              <w:rPr>
                <w:rFonts w:cs="Calibri"/>
                <w:sz w:val="20"/>
                <w:szCs w:val="20"/>
                <w:lang w:val="en-US"/>
              </w:rPr>
            </w:pPr>
            <w:r w:rsidRPr="00FA0745">
              <w:rPr>
                <w:rFonts w:cs="Calibri"/>
                <w:sz w:val="20"/>
                <w:szCs w:val="20"/>
                <w:lang w:val="en-US"/>
              </w:rPr>
              <w:t>MoF – Economic Policy and Development Department</w:t>
            </w:r>
          </w:p>
        </w:tc>
      </w:tr>
      <w:tr w:rsidR="005D0DCC" w:rsidRPr="008C761D" w14:paraId="3461F4A1" w14:textId="77777777" w:rsidTr="00560316">
        <w:tc>
          <w:tcPr>
            <w:tcW w:w="2518" w:type="dxa"/>
            <w:tcBorders>
              <w:top w:val="single" w:sz="4" w:space="0" w:color="FFFFFF"/>
              <w:bottom w:val="nil"/>
            </w:tcBorders>
            <w:shd w:val="clear" w:color="auto" w:fill="2F5496"/>
          </w:tcPr>
          <w:p w14:paraId="2E831718"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7619B4FA" w14:textId="77777777" w:rsidR="009C56A3" w:rsidRPr="008C761D" w:rsidRDefault="009C56A3"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Certain institutions and sectors may not be able to provide data and analyses relevant for the preparation of the Fiscal Risk Statement</w:t>
            </w:r>
          </w:p>
          <w:p w14:paraId="5340E30A" w14:textId="77777777" w:rsidR="009C56A3" w:rsidRPr="008C761D" w:rsidRDefault="009C56A3"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 xml:space="preserve">Lack of adequate capacity in the Ministry of Finance to implement the activities for implementation of the fiscal </w:t>
            </w:r>
            <w:proofErr w:type="gramStart"/>
            <w:r w:rsidRPr="008C761D">
              <w:rPr>
                <w:rFonts w:cs="Calibri"/>
                <w:sz w:val="20"/>
                <w:szCs w:val="20"/>
                <w:lang w:val="en-US"/>
              </w:rPr>
              <w:t>risks</w:t>
            </w:r>
            <w:proofErr w:type="gramEnd"/>
            <w:r w:rsidRPr="008C761D">
              <w:rPr>
                <w:rFonts w:cs="Calibri"/>
                <w:sz w:val="20"/>
                <w:szCs w:val="20"/>
                <w:lang w:val="en-US"/>
              </w:rPr>
              <w:t xml:space="preserve"> analyses</w:t>
            </w:r>
          </w:p>
          <w:p w14:paraId="7B52D929" w14:textId="6AF133A7" w:rsidR="003C20E4" w:rsidRPr="008C761D" w:rsidRDefault="009C56A3"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Inadequate and incomplete trainings of employees in MoF</w:t>
            </w:r>
          </w:p>
        </w:tc>
      </w:tr>
    </w:tbl>
    <w:p w14:paraId="2CF28C59" w14:textId="77777777" w:rsidR="005D0DCC" w:rsidRPr="008C761D" w:rsidRDefault="005D0DCC" w:rsidP="00E84CD0">
      <w:pPr>
        <w:spacing w:line="240" w:lineRule="auto"/>
        <w:jc w:val="both"/>
        <w:rPr>
          <w:rFonts w:cs="Calibri"/>
          <w:b/>
          <w:color w:val="0070C0"/>
          <w:lang w:val="en-US"/>
        </w:rPr>
      </w:pPr>
    </w:p>
    <w:p w14:paraId="6FFEED39" w14:textId="1770842C" w:rsidR="005D0DCC" w:rsidRPr="008C761D" w:rsidRDefault="005D0DCC" w:rsidP="00E84CD0">
      <w:pPr>
        <w:spacing w:line="240" w:lineRule="auto"/>
        <w:jc w:val="both"/>
        <w:rPr>
          <w:rFonts w:cs="Calibri"/>
          <w:b/>
          <w:color w:val="0070C0"/>
          <w:lang w:val="en-US"/>
        </w:rPr>
      </w:pPr>
      <w:r w:rsidRPr="008C761D">
        <w:rPr>
          <w:rFonts w:cs="Calibri"/>
          <w:b/>
          <w:color w:val="0070C0"/>
          <w:lang w:val="en-US"/>
        </w:rPr>
        <w:t>Measure 4:</w:t>
      </w:r>
      <w:r w:rsidR="00CA0BA6">
        <w:rPr>
          <w:rFonts w:cs="Calibri"/>
          <w:b/>
          <w:color w:val="0070C0"/>
          <w:lang w:val="en-US"/>
        </w:rPr>
        <w:t xml:space="preserve"> </w:t>
      </w:r>
      <w:r w:rsidR="001D7B80" w:rsidRPr="008C761D">
        <w:rPr>
          <w:rFonts w:cs="Calibri"/>
          <w:b/>
          <w:color w:val="0070C0"/>
          <w:lang w:val="en-US"/>
        </w:rPr>
        <w:t>Fiscal Council Development</w:t>
      </w:r>
    </w:p>
    <w:p w14:paraId="0DD45497"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Measure objective</w:t>
      </w:r>
    </w:p>
    <w:p w14:paraId="25BDE91E" w14:textId="44716188" w:rsidR="009C56A3" w:rsidRPr="008C761D" w:rsidRDefault="009C56A3" w:rsidP="009C56A3">
      <w:pPr>
        <w:spacing w:line="240" w:lineRule="auto"/>
        <w:jc w:val="both"/>
        <w:rPr>
          <w:rFonts w:eastAsia="MS PGothic" w:cs="Calibri"/>
          <w:lang w:val="en-US" w:eastAsia="zh-CN"/>
        </w:rPr>
      </w:pPr>
      <w:r w:rsidRPr="008C761D">
        <w:rPr>
          <w:rFonts w:eastAsia="MS PGothic" w:cs="Calibri"/>
          <w:lang w:val="en-US" w:eastAsia="zh-CN"/>
        </w:rPr>
        <w:t>The newly established Fiscal Council is seen as a tool for</w:t>
      </w:r>
      <w:r w:rsidR="00705C79">
        <w:rPr>
          <w:rFonts w:eastAsia="MS PGothic" w:cs="Calibri"/>
          <w:lang w:val="en-US" w:eastAsia="zh-CN"/>
        </w:rPr>
        <w:t xml:space="preserve"> </w:t>
      </w:r>
      <w:r w:rsidRPr="008C761D">
        <w:rPr>
          <w:rFonts w:eastAsia="MS PGothic" w:cs="Calibri"/>
          <w:lang w:val="en-US" w:eastAsia="zh-CN"/>
        </w:rPr>
        <w:t>conducting independent assessments of the fiscal policy,</w:t>
      </w:r>
      <w:r w:rsidR="00705C79">
        <w:rPr>
          <w:rFonts w:eastAsia="MS PGothic" w:cs="Calibri"/>
          <w:lang w:val="en-US" w:eastAsia="zh-CN"/>
        </w:rPr>
        <w:t xml:space="preserve"> </w:t>
      </w:r>
      <w:r w:rsidRPr="008C761D">
        <w:rPr>
          <w:rFonts w:eastAsia="MS PGothic" w:cs="Calibri"/>
          <w:lang w:val="en-US" w:eastAsia="zh-CN"/>
        </w:rPr>
        <w:t>the strategies and their implementation, as well as evaluating the macroeconomic and budget projections used in the preparation of strategic documents related to public finances, thus improving the long-term sustainability of public finances. The full operationalization of the Fiscal Council relays on its adequate administrative staffing and capacity building, as well as on setting up processes and procedures for conducting</w:t>
      </w:r>
      <w:r w:rsidR="00705C79">
        <w:rPr>
          <w:rFonts w:eastAsia="MS PGothic" w:cs="Calibri"/>
          <w:lang w:val="en-US" w:eastAsia="zh-CN"/>
        </w:rPr>
        <w:t xml:space="preserve"> </w:t>
      </w:r>
      <w:r w:rsidRPr="008C761D">
        <w:rPr>
          <w:rFonts w:eastAsia="MS PGothic" w:cs="Calibri"/>
          <w:lang w:val="en-US" w:eastAsia="zh-CN"/>
        </w:rPr>
        <w:t>the analyses in accordance with the best regional and EU practices.</w:t>
      </w:r>
      <w:r w:rsidR="00705C79">
        <w:rPr>
          <w:rFonts w:eastAsia="MS PGothic" w:cs="Calibri"/>
          <w:lang w:val="en-US" w:eastAsia="zh-CN"/>
        </w:rPr>
        <w:t xml:space="preserve"> </w:t>
      </w:r>
      <w:r w:rsidRPr="008C761D">
        <w:rPr>
          <w:rFonts w:eastAsia="MS PGothic" w:cs="Calibri"/>
          <w:lang w:val="en-US" w:eastAsia="zh-CN"/>
        </w:rPr>
        <w:t>A fully functional Fiscal Council will be in a position to make assessments that will strenghten the fiscal policy credibility in terms of compliance with the set fiscal rules stated in the Organic Budget Law which in turn will strengthen the transparency and the accountability in conducting fiscal policy.</w:t>
      </w:r>
    </w:p>
    <w:p w14:paraId="2EA1D01F"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 xml:space="preserve">Reference to the external </w:t>
      </w:r>
      <w:proofErr w:type="gramStart"/>
      <w:r w:rsidRPr="008C761D">
        <w:rPr>
          <w:rFonts w:cs="Calibri"/>
          <w:b/>
          <w:bCs/>
          <w:i/>
          <w:iCs/>
          <w:color w:val="4F81BD"/>
          <w:lang w:val="en-US"/>
        </w:rPr>
        <w:t>assessments</w:t>
      </w:r>
      <w:proofErr w:type="gramEnd"/>
      <w:r w:rsidRPr="008C761D">
        <w:rPr>
          <w:rFonts w:cs="Calibri"/>
          <w:b/>
          <w:bCs/>
          <w:i/>
          <w:iCs/>
          <w:color w:val="4F81BD"/>
          <w:lang w:val="en-US"/>
        </w:rPr>
        <w:t xml:space="preserve"> findings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5"/>
        <w:gridCol w:w="7807"/>
      </w:tblGrid>
      <w:tr w:rsidR="005D0DCC" w:rsidRPr="008C761D" w14:paraId="32F56EE3" w14:textId="77777777" w:rsidTr="00CE0F6C">
        <w:tc>
          <w:tcPr>
            <w:tcW w:w="1265" w:type="dxa"/>
            <w:shd w:val="clear" w:color="auto" w:fill="DDDDDD"/>
          </w:tcPr>
          <w:p w14:paraId="10BA0AAF" w14:textId="77777777" w:rsidR="005D0DCC" w:rsidRPr="0004385D" w:rsidRDefault="005D0DCC" w:rsidP="00E84CD0">
            <w:pPr>
              <w:spacing w:line="240" w:lineRule="auto"/>
              <w:jc w:val="both"/>
              <w:rPr>
                <w:rFonts w:cs="Calibri"/>
                <w:b/>
                <w:sz w:val="20"/>
                <w:szCs w:val="20"/>
                <w:lang w:val="en-US"/>
              </w:rPr>
            </w:pPr>
            <w:r w:rsidRPr="0004385D">
              <w:rPr>
                <w:rFonts w:cs="Calibri"/>
                <w:b/>
                <w:sz w:val="20"/>
                <w:szCs w:val="20"/>
                <w:lang w:val="en-US"/>
              </w:rPr>
              <w:t>SIGMA:</w:t>
            </w:r>
          </w:p>
        </w:tc>
        <w:tc>
          <w:tcPr>
            <w:tcW w:w="7807" w:type="dxa"/>
            <w:shd w:val="clear" w:color="auto" w:fill="DDDDDD"/>
          </w:tcPr>
          <w:p w14:paraId="4C389D40" w14:textId="77777777"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Ministry of Finance should, in line with the new draft Organic Budget Law,</w:t>
            </w:r>
            <w:r w:rsidRPr="008C761D">
              <w:rPr>
                <w:rFonts w:eastAsia="MS PGothic" w:cs="Calibri"/>
                <w:sz w:val="20"/>
                <w:szCs w:val="20"/>
                <w:lang w:val="en-US" w:eastAsia="zh-CN"/>
              </w:rPr>
              <w:t xml:space="preserve"> establish a Fiscal Council with a proper mandate and sufficient resources to monitor compliance with the fiscal rules and provide advice on fiscal policy.</w:t>
            </w:r>
          </w:p>
        </w:tc>
      </w:tr>
      <w:tr w:rsidR="005D0DCC" w:rsidRPr="008C761D" w14:paraId="54A84EB5" w14:textId="77777777" w:rsidTr="00CE0F6C">
        <w:tc>
          <w:tcPr>
            <w:tcW w:w="1265" w:type="dxa"/>
            <w:shd w:val="clear" w:color="auto" w:fill="DDDDDD"/>
          </w:tcPr>
          <w:p w14:paraId="0CABD954" w14:textId="77777777" w:rsidR="005D0DCC" w:rsidRPr="0004385D" w:rsidRDefault="005D0DCC" w:rsidP="00E84CD0">
            <w:pPr>
              <w:spacing w:line="240" w:lineRule="auto"/>
              <w:jc w:val="both"/>
              <w:rPr>
                <w:rFonts w:cs="Calibri"/>
                <w:b/>
                <w:sz w:val="20"/>
                <w:szCs w:val="20"/>
                <w:lang w:val="en-US"/>
              </w:rPr>
            </w:pPr>
            <w:r w:rsidRPr="0004385D">
              <w:rPr>
                <w:rFonts w:cs="Calibri"/>
                <w:b/>
                <w:sz w:val="20"/>
                <w:szCs w:val="20"/>
                <w:lang w:val="en-US"/>
              </w:rPr>
              <w:t>EU:</w:t>
            </w:r>
          </w:p>
        </w:tc>
        <w:tc>
          <w:tcPr>
            <w:tcW w:w="7807" w:type="dxa"/>
            <w:shd w:val="clear" w:color="auto" w:fill="DDDDDD"/>
          </w:tcPr>
          <w:p w14:paraId="37BD1D58" w14:textId="77777777" w:rsidR="001D7B80" w:rsidRPr="008C761D" w:rsidRDefault="001D7B80" w:rsidP="0004385D">
            <w:pPr>
              <w:spacing w:after="0" w:line="240" w:lineRule="auto"/>
              <w:jc w:val="both"/>
              <w:rPr>
                <w:rFonts w:cs="Calibri"/>
                <w:sz w:val="20"/>
                <w:szCs w:val="20"/>
                <w:lang w:val="en-US"/>
              </w:rPr>
            </w:pPr>
            <w:r w:rsidRPr="008C761D">
              <w:rPr>
                <w:rFonts w:cs="Calibri"/>
                <w:sz w:val="20"/>
                <w:szCs w:val="20"/>
                <w:lang w:val="en-US"/>
              </w:rPr>
              <w:t xml:space="preserve">EC North Macedonia Report 2023 </w:t>
            </w:r>
            <w:r w:rsidRPr="008C761D">
              <w:rPr>
                <w:rFonts w:eastAsia="MS PGothic" w:cs="Calibri"/>
                <w:sz w:val="20"/>
                <w:szCs w:val="20"/>
                <w:lang w:val="en-US" w:eastAsia="zh-CN"/>
              </w:rPr>
              <w:t>recommendation on economic policy:</w:t>
            </w:r>
          </w:p>
          <w:p w14:paraId="6D1B8ACA" w14:textId="77777777" w:rsidR="005D0DCC" w:rsidRPr="008C761D" w:rsidRDefault="001D7B80" w:rsidP="0004385D">
            <w:pPr>
              <w:spacing w:after="0" w:line="240" w:lineRule="auto"/>
              <w:jc w:val="both"/>
              <w:rPr>
                <w:rFonts w:cs="Calibri"/>
                <w:sz w:val="20"/>
                <w:szCs w:val="20"/>
                <w:lang w:val="en-US"/>
              </w:rPr>
            </w:pPr>
            <w:r w:rsidRPr="008C761D">
              <w:rPr>
                <w:rFonts w:cs="Calibri"/>
                <w:sz w:val="20"/>
                <w:szCs w:val="20"/>
                <w:lang w:val="en-US"/>
              </w:rPr>
              <w:t>Take the necessary legislative and organisational steps to enable the Fiscal Council to take up operations and assess the 2024 budget and the new fiscal strategy;</w:t>
            </w:r>
          </w:p>
        </w:tc>
      </w:tr>
    </w:tbl>
    <w:p w14:paraId="56232BD1"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1E54D81B" w14:textId="77777777" w:rsidR="001D7B80" w:rsidRPr="008C761D" w:rsidRDefault="001D7B80" w:rsidP="00E84CD0">
      <w:pPr>
        <w:spacing w:line="240" w:lineRule="auto"/>
        <w:jc w:val="both"/>
        <w:rPr>
          <w:rFonts w:cs="Calibri"/>
          <w:lang w:val="en-US"/>
        </w:rPr>
      </w:pPr>
      <w:r w:rsidRPr="008C761D">
        <w:rPr>
          <w:rFonts w:cs="Calibri"/>
          <w:lang w:val="en-US"/>
        </w:rPr>
        <w:t>The Organic Budget Law adopted in 2022 envisaged establishment of independent fiscal body composed of three members experts in the field of public finances, macroeconomics or economics. In accordance with the law and the previous PFM plan the Fiscal Council was established in Q4 2023 with the task to independently, objectively and professionally prepare opinions and analyses on the macroeconomic and fiscal assumptions used in the preparation of the Budget and the Fiscal Strategy, as well as other documents relevant for the fiscal policy. The Fiscal Council will also monitor the compliance with the fiscal rules, as well as the risks of non-compliance, the occurrence of mitigating circumstances that lead to temporary deviation from the fiscal rules and the implementation of remedial measures stipulated in this Law.</w:t>
      </w:r>
    </w:p>
    <w:p w14:paraId="37F33BDB" w14:textId="6EB6F9A1" w:rsidR="00F769D0" w:rsidRDefault="00F769D0" w:rsidP="00E84CD0">
      <w:pPr>
        <w:spacing w:line="240" w:lineRule="auto"/>
        <w:jc w:val="both"/>
        <w:rPr>
          <w:rFonts w:eastAsia="MS PGothic" w:cs="Calibri"/>
          <w:lang w:val="en-US" w:eastAsia="zh-CN"/>
        </w:rPr>
      </w:pPr>
      <w:r w:rsidRPr="008C761D">
        <w:rPr>
          <w:rFonts w:eastAsia="MS PGothic" w:cs="Calibri"/>
          <w:lang w:val="en-US" w:eastAsia="zh-CN"/>
        </w:rPr>
        <w:t>In accordance with Article 11 of the Organic Budget Law, in 2023 the National Assembly has elected the three proposed members by MANU, NBRSM and SAO, and</w:t>
      </w:r>
      <w:r w:rsidR="00D53B29">
        <w:rPr>
          <w:rFonts w:eastAsia="MS PGothic" w:cs="Calibri"/>
          <w:lang w:val="en-US" w:eastAsia="zh-CN"/>
        </w:rPr>
        <w:t xml:space="preserve"> </w:t>
      </w:r>
      <w:r w:rsidRPr="008C761D">
        <w:rPr>
          <w:rFonts w:eastAsia="MS PGothic" w:cs="Calibri"/>
          <w:lang w:val="en-US" w:eastAsia="zh-CN"/>
        </w:rPr>
        <w:t xml:space="preserve">with the World Bank assistance, a Rulebook for </w:t>
      </w:r>
      <w:r w:rsidRPr="008C761D">
        <w:rPr>
          <w:lang w:val="en-US"/>
        </w:rPr>
        <w:t>regulating the scope of activities and work procedures has been drafted and adopted</w:t>
      </w:r>
      <w:r w:rsidR="00D53B29">
        <w:rPr>
          <w:lang w:val="en-US"/>
        </w:rPr>
        <w:t xml:space="preserve"> </w:t>
      </w:r>
      <w:r w:rsidRPr="008C761D">
        <w:rPr>
          <w:lang w:val="en-US"/>
        </w:rPr>
        <w:t xml:space="preserve">by the Fiscal Council. </w:t>
      </w:r>
      <w:r w:rsidRPr="008C761D">
        <w:rPr>
          <w:rFonts w:eastAsia="MS PGothic" w:cs="Calibri"/>
          <w:lang w:val="en-US" w:eastAsia="zh-CN"/>
        </w:rPr>
        <w:t xml:space="preserve">The Fiscal </w:t>
      </w:r>
      <w:r w:rsidR="006E0B57">
        <w:rPr>
          <w:rFonts w:eastAsia="MS PGothic" w:cs="Calibri"/>
          <w:lang w:val="en-US" w:eastAsia="zh-CN"/>
        </w:rPr>
        <w:t>C</w:t>
      </w:r>
      <w:r w:rsidRPr="008C761D">
        <w:rPr>
          <w:rFonts w:eastAsia="MS PGothic" w:cs="Calibri"/>
          <w:lang w:val="en-US" w:eastAsia="zh-CN"/>
        </w:rPr>
        <w:t>ouncil has issued</w:t>
      </w:r>
      <w:r w:rsidR="00D53B29">
        <w:rPr>
          <w:rFonts w:eastAsia="MS PGothic" w:cs="Calibri"/>
          <w:lang w:val="en-US" w:eastAsia="zh-CN"/>
        </w:rPr>
        <w:t xml:space="preserve"> </w:t>
      </w:r>
      <w:r w:rsidRPr="008C761D">
        <w:rPr>
          <w:rFonts w:eastAsia="MS PGothic" w:cs="Calibri"/>
          <w:lang w:val="en-US" w:eastAsia="zh-CN"/>
        </w:rPr>
        <w:t>its</w:t>
      </w:r>
      <w:r w:rsidR="00D53B29">
        <w:rPr>
          <w:rFonts w:eastAsia="MS PGothic" w:cs="Calibri"/>
          <w:lang w:val="en-US" w:eastAsia="zh-CN"/>
        </w:rPr>
        <w:t xml:space="preserve"> </w:t>
      </w:r>
      <w:r w:rsidRPr="008C761D">
        <w:rPr>
          <w:rFonts w:eastAsia="MS PGothic" w:cs="Calibri"/>
          <w:lang w:val="en-US" w:eastAsia="zh-CN"/>
        </w:rPr>
        <w:t>initial opinion</w:t>
      </w:r>
      <w:r w:rsidR="00D53B29">
        <w:rPr>
          <w:rFonts w:eastAsia="MS PGothic" w:cs="Calibri"/>
          <w:lang w:val="en-US" w:eastAsia="zh-CN"/>
        </w:rPr>
        <w:t xml:space="preserve"> </w:t>
      </w:r>
      <w:r w:rsidRPr="008C761D">
        <w:rPr>
          <w:rFonts w:eastAsia="MS PGothic" w:cs="Calibri"/>
          <w:lang w:val="en-US" w:eastAsia="zh-CN"/>
        </w:rPr>
        <w:t xml:space="preserve">on the 2024 Budget proposal in December 2023. </w:t>
      </w:r>
    </w:p>
    <w:p w14:paraId="7C939709" w14:textId="77777777" w:rsidR="0004385D" w:rsidRDefault="0004385D" w:rsidP="00E84CD0">
      <w:pPr>
        <w:spacing w:line="240" w:lineRule="auto"/>
        <w:jc w:val="both"/>
        <w:rPr>
          <w:rFonts w:eastAsia="MS PGothic" w:cs="Calibri"/>
          <w:lang w:val="en-US" w:eastAsia="zh-CN"/>
        </w:rPr>
      </w:pPr>
    </w:p>
    <w:p w14:paraId="094C154E" w14:textId="5BE4638A" w:rsidR="001D7B80" w:rsidRPr="0004385D" w:rsidRDefault="001D7B80" w:rsidP="00E84CD0">
      <w:pPr>
        <w:spacing w:line="240" w:lineRule="auto"/>
        <w:jc w:val="both"/>
        <w:rPr>
          <w:rFonts w:cs="Calibri"/>
          <w:b/>
          <w:color w:val="0070C0"/>
          <w:lang w:val="en-US"/>
        </w:rPr>
      </w:pPr>
      <w:r w:rsidRPr="0004385D">
        <w:rPr>
          <w:rFonts w:cs="Calibri"/>
          <w:b/>
          <w:color w:val="0070C0"/>
          <w:lang w:val="en-US"/>
        </w:rPr>
        <w:t xml:space="preserve">Activity 1: </w:t>
      </w:r>
      <w:r w:rsidR="00F769D0" w:rsidRPr="0004385D">
        <w:rPr>
          <w:rFonts w:cs="Calibri"/>
          <w:b/>
          <w:color w:val="0070C0"/>
          <w:lang w:val="en-US"/>
        </w:rPr>
        <w:t>Putting in place an effective data sharing arrangement</w:t>
      </w:r>
    </w:p>
    <w:p w14:paraId="46DA1585" w14:textId="77777777" w:rsidR="001D7B80" w:rsidRPr="008C761D" w:rsidRDefault="001D7B80" w:rsidP="00E84CD0">
      <w:pPr>
        <w:spacing w:line="240" w:lineRule="auto"/>
        <w:jc w:val="both"/>
        <w:rPr>
          <w:rFonts w:cs="Calibri"/>
          <w:lang w:val="en-US"/>
        </w:rPr>
      </w:pPr>
      <w:r w:rsidRPr="008C761D">
        <w:rPr>
          <w:rFonts w:cs="Calibri"/>
          <w:lang w:val="en-US"/>
        </w:rPr>
        <w:lastRenderedPageBreak/>
        <w:t>Within this activity, further actions will be implemented for the purpose of preparing bylaws and other acts arising from the provisions referred to in the Organic Budget Law. In cooperation with the international financial institutions (World Bank and EC), the best practices from the EU countries and the region in terms of the regulations related to the operations of the Fiscal Councils will be analysed.</w:t>
      </w:r>
    </w:p>
    <w:p w14:paraId="37787465" w14:textId="0C1FADA7" w:rsidR="005D0DCC" w:rsidRPr="0004385D" w:rsidRDefault="005D0DCC" w:rsidP="00E84CD0">
      <w:pPr>
        <w:spacing w:line="240" w:lineRule="auto"/>
        <w:jc w:val="both"/>
        <w:rPr>
          <w:rFonts w:cs="Calibri"/>
          <w:b/>
          <w:color w:val="0070C0"/>
          <w:lang w:val="en-US"/>
        </w:rPr>
      </w:pPr>
      <w:r w:rsidRPr="0004385D">
        <w:rPr>
          <w:rFonts w:cs="Calibri"/>
          <w:b/>
          <w:color w:val="0070C0"/>
          <w:lang w:val="en-US"/>
        </w:rPr>
        <w:t>Activity 2:</w:t>
      </w:r>
      <w:r w:rsidR="001A1532" w:rsidRPr="0004385D">
        <w:rPr>
          <w:rFonts w:cs="Calibri"/>
          <w:b/>
          <w:color w:val="0070C0"/>
          <w:lang w:val="en-US"/>
        </w:rPr>
        <w:t xml:space="preserve"> </w:t>
      </w:r>
      <w:r w:rsidRPr="0004385D">
        <w:rPr>
          <w:rFonts w:cs="Calibri"/>
          <w:b/>
          <w:color w:val="0070C0"/>
          <w:lang w:val="en-US"/>
        </w:rPr>
        <w:t>Building administrative capacity</w:t>
      </w:r>
    </w:p>
    <w:p w14:paraId="231621CE" w14:textId="77777777" w:rsidR="00F769D0" w:rsidRPr="008C761D" w:rsidRDefault="00F769D0" w:rsidP="00F769D0">
      <w:pPr>
        <w:spacing w:line="240" w:lineRule="auto"/>
        <w:jc w:val="both"/>
        <w:rPr>
          <w:lang w:val="en-US"/>
        </w:rPr>
      </w:pPr>
      <w:r w:rsidRPr="008C761D">
        <w:rPr>
          <w:rFonts w:cs="Calibri"/>
          <w:lang w:val="en-US"/>
        </w:rPr>
        <w:t>With the entry into force of the Organic Budget Law and the selection of the members of the Fiscal Council</w:t>
      </w:r>
      <w:r w:rsidRPr="008C761D">
        <w:rPr>
          <w:rFonts w:eastAsia="MS PGothic" w:cs="Calibri"/>
          <w:lang w:val="en-US" w:eastAsia="zh-CN"/>
        </w:rPr>
        <w:t xml:space="preserve">, it is necessary to start procedures for employment of </w:t>
      </w:r>
      <w:r w:rsidRPr="008C761D">
        <w:rPr>
          <w:lang w:val="en-US"/>
        </w:rPr>
        <w:t>the administrative staff to fully operationalize the work of the Fiscal Council.</w:t>
      </w:r>
      <w:r w:rsidRPr="008C761D">
        <w:rPr>
          <w:rFonts w:eastAsia="MS PGothic" w:cs="Calibri"/>
          <w:lang w:val="en-US" w:eastAsia="zh-CN"/>
        </w:rPr>
        <w:t xml:space="preserve"> Furthermore, it is necessary to work on b</w:t>
      </w:r>
      <w:r w:rsidRPr="008C761D">
        <w:rPr>
          <w:lang w:val="en-US"/>
        </w:rPr>
        <w:t>uilding the capacities of the Fiscal Council to carry out analyzes to monitor the implementation of the fiscal rules, including deviations from them, determining the form of the reports that will be prepared and the way in which the council's observations will be presented to the public.</w:t>
      </w:r>
    </w:p>
    <w:p w14:paraId="785D87CB" w14:textId="77777777" w:rsidR="00F769D0" w:rsidRPr="008C761D" w:rsidRDefault="00F769D0" w:rsidP="00F769D0">
      <w:pPr>
        <w:spacing w:line="240" w:lineRule="auto"/>
        <w:jc w:val="both"/>
        <w:rPr>
          <w:rFonts w:eastAsia="MS PGothic" w:cs="Calibri"/>
          <w:lang w:val="en-US" w:eastAsia="zh-CN"/>
        </w:rPr>
      </w:pPr>
      <w:r w:rsidRPr="008C761D">
        <w:rPr>
          <w:lang w:val="en-US"/>
        </w:rPr>
        <w:t>The technical support and trainings will be implemented with the support of the World Bank within the framework of the Project for strengthening fiscal management in the countries of the Western Balkans, for which an appropriate plan of activities has been adopted. Within the framework of the project of the World Bank, trainings for the employees of the Ministry of Finance are planned for building capacities for the preparation of ex-ante and ex-post analyzes and reports on the implementation of fiscal rules. In addition, it is planned to prepare procedure in the Ministry of Finance for monitoring and reporting on the compliance with the fiscal rules.</w:t>
      </w:r>
    </w:p>
    <w:p w14:paraId="3229E314" w14:textId="77777777" w:rsidR="005D0DCC" w:rsidRPr="008C761D" w:rsidRDefault="005D0DCC" w:rsidP="00E84CD0">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D0DCC" w:rsidRPr="008C761D" w14:paraId="1A219C76" w14:textId="77777777" w:rsidTr="00560316">
        <w:tc>
          <w:tcPr>
            <w:tcW w:w="2518" w:type="dxa"/>
            <w:tcBorders>
              <w:top w:val="nil"/>
              <w:bottom w:val="single" w:sz="4" w:space="0" w:color="FFFFFF"/>
            </w:tcBorders>
            <w:shd w:val="clear" w:color="auto" w:fill="2F5496"/>
          </w:tcPr>
          <w:p w14:paraId="0BF94432"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74B9E20A" w14:textId="455BE599" w:rsidR="005D0DCC" w:rsidRPr="008C761D" w:rsidRDefault="008A32E8" w:rsidP="008A32E8">
            <w:pPr>
              <w:spacing w:line="240" w:lineRule="auto"/>
              <w:jc w:val="both"/>
              <w:rPr>
                <w:rFonts w:cs="Calibri"/>
                <w:sz w:val="20"/>
                <w:szCs w:val="20"/>
                <w:lang w:val="en-US"/>
              </w:rPr>
            </w:pPr>
            <w:r w:rsidRPr="008C761D">
              <w:rPr>
                <w:rFonts w:cs="Calibri"/>
                <w:sz w:val="20"/>
                <w:szCs w:val="20"/>
                <w:lang w:val="en-US"/>
              </w:rPr>
              <w:t xml:space="preserve"> </w:t>
            </w:r>
            <w:r w:rsidR="005D0DCC" w:rsidRPr="008C761D">
              <w:rPr>
                <w:rFonts w:cs="Calibri"/>
                <w:sz w:val="20"/>
                <w:szCs w:val="20"/>
                <w:lang w:val="en-US"/>
              </w:rPr>
              <w:t>202</w:t>
            </w:r>
            <w:r w:rsidR="00F769D0" w:rsidRPr="008C761D">
              <w:rPr>
                <w:rFonts w:cs="Calibri"/>
                <w:sz w:val="20"/>
                <w:szCs w:val="20"/>
                <w:lang w:val="en-US"/>
              </w:rPr>
              <w:t>6</w:t>
            </w:r>
          </w:p>
        </w:tc>
      </w:tr>
      <w:tr w:rsidR="005D0DCC" w:rsidRPr="008C761D" w14:paraId="4E8B1242" w14:textId="77777777" w:rsidTr="00560316">
        <w:tc>
          <w:tcPr>
            <w:tcW w:w="2518" w:type="dxa"/>
            <w:tcBorders>
              <w:top w:val="single" w:sz="4" w:space="0" w:color="FFFFFF"/>
              <w:bottom w:val="single" w:sz="4" w:space="0" w:color="FFFFFF"/>
            </w:tcBorders>
            <w:shd w:val="clear" w:color="auto" w:fill="2F5496"/>
          </w:tcPr>
          <w:p w14:paraId="167C140A" w14:textId="77777777" w:rsidR="005D0DCC" w:rsidRPr="008C761D" w:rsidRDefault="005D0DCC" w:rsidP="00E84CD0">
            <w:pPr>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1198DD0"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Established body for expert and administrative and technical support of the Fiscal Council of the Fiscal Council;</w:t>
            </w:r>
          </w:p>
          <w:p w14:paraId="3C6237A9"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Data sharing protocol/s is/are signed and effectively implemented;</w:t>
            </w:r>
          </w:p>
          <w:p w14:paraId="1EFE12BB"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Prepared Work Program of the Fiscal Council and effectively implemented;</w:t>
            </w:r>
          </w:p>
          <w:p w14:paraId="14215C97"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Prepared Rulebook on the Internal Organization, the Number and the Description of the Jobs of the body for expert and administrative and technical support of the Fiscal Council and effectively implemented;</w:t>
            </w:r>
          </w:p>
          <w:p w14:paraId="5EE9B95C"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Capacity building of the Fiscal Council for preparation of analyses and opinions for implementation of fiscal rules and assessment of macroeconomic and fiscal projections and issues related to fiscal policy;</w:t>
            </w:r>
          </w:p>
          <w:p w14:paraId="66A12165" w14:textId="551BB121" w:rsidR="005D0DCC" w:rsidRPr="008C761D" w:rsidRDefault="00F769D0" w:rsidP="0004385D">
            <w:pPr>
              <w:numPr>
                <w:ilvl w:val="0"/>
                <w:numId w:val="42"/>
              </w:numPr>
              <w:spacing w:line="240" w:lineRule="auto"/>
              <w:ind w:left="183" w:hanging="177"/>
              <w:jc w:val="both"/>
              <w:rPr>
                <w:rFonts w:cs="Calibri"/>
                <w:sz w:val="20"/>
                <w:szCs w:val="20"/>
                <w:lang w:val="en-US"/>
              </w:rPr>
            </w:pPr>
            <w:r w:rsidRPr="008C761D">
              <w:rPr>
                <w:rFonts w:cs="Calibri"/>
                <w:sz w:val="20"/>
                <w:szCs w:val="20"/>
                <w:lang w:val="en-US"/>
              </w:rPr>
              <w:t>Strengthening the capacity of the staff of the Ministry of Finance to implement fiscal rules;</w:t>
            </w:r>
          </w:p>
        </w:tc>
      </w:tr>
      <w:tr w:rsidR="005D0DCC" w:rsidRPr="008C761D" w14:paraId="3D4DBE2B" w14:textId="77777777" w:rsidTr="00560316">
        <w:trPr>
          <w:trHeight w:val="134"/>
        </w:trPr>
        <w:tc>
          <w:tcPr>
            <w:tcW w:w="2518" w:type="dxa"/>
            <w:tcBorders>
              <w:top w:val="single" w:sz="4" w:space="0" w:color="FFFFFF"/>
              <w:bottom w:val="single" w:sz="4" w:space="0" w:color="FFFFFF"/>
            </w:tcBorders>
            <w:shd w:val="clear" w:color="auto" w:fill="2F5496"/>
          </w:tcPr>
          <w:p w14:paraId="48483D66"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6246" w:type="dxa"/>
            <w:tcBorders>
              <w:top w:val="single" w:sz="4" w:space="0" w:color="FFFFFF"/>
              <w:bottom w:val="single" w:sz="4" w:space="0" w:color="FFFFFF"/>
            </w:tcBorders>
            <w:shd w:val="clear" w:color="auto" w:fill="D9E2F3"/>
          </w:tcPr>
          <w:p w14:paraId="16686094" w14:textId="229D9F33"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EUR 3</w:t>
            </w:r>
            <w:r w:rsidR="005D7742" w:rsidRPr="008C761D">
              <w:rPr>
                <w:rFonts w:cs="Calibri"/>
                <w:sz w:val="20"/>
                <w:szCs w:val="20"/>
                <w:lang w:val="en-US"/>
              </w:rPr>
              <w:t>00</w:t>
            </w:r>
            <w:r w:rsidRPr="008C761D">
              <w:rPr>
                <w:rFonts w:cs="Calibri"/>
                <w:sz w:val="20"/>
                <w:szCs w:val="20"/>
                <w:lang w:val="en-US"/>
              </w:rPr>
              <w:t>,000</w:t>
            </w:r>
          </w:p>
        </w:tc>
      </w:tr>
      <w:tr w:rsidR="005D0DCC" w:rsidRPr="008C761D" w14:paraId="6E8B997F" w14:textId="77777777" w:rsidTr="00560316">
        <w:tc>
          <w:tcPr>
            <w:tcW w:w="2518" w:type="dxa"/>
            <w:tcBorders>
              <w:top w:val="single" w:sz="4" w:space="0" w:color="FFFFFF"/>
              <w:bottom w:val="single" w:sz="4" w:space="0" w:color="FFFFFF"/>
            </w:tcBorders>
            <w:shd w:val="clear" w:color="auto" w:fill="2F5496"/>
          </w:tcPr>
          <w:p w14:paraId="6A855E7F"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1987170A" w14:textId="77777777" w:rsidR="005D0DCC" w:rsidRPr="008C761D" w:rsidRDefault="005D0DCC" w:rsidP="00E84CD0">
            <w:pPr>
              <w:spacing w:line="240" w:lineRule="auto"/>
              <w:jc w:val="both"/>
              <w:rPr>
                <w:rFonts w:cs="Calibri"/>
                <w:sz w:val="20"/>
                <w:szCs w:val="20"/>
                <w:lang w:val="en-US"/>
              </w:rPr>
            </w:pPr>
            <w:r w:rsidRPr="008C761D">
              <w:rPr>
                <w:rFonts w:cs="Calibri"/>
                <w:sz w:val="20"/>
                <w:szCs w:val="20"/>
                <w:lang w:val="en-US"/>
              </w:rPr>
              <w:t>Ministry of Finance, Fiscal Council, Parliament of the Republic of North Macedonia</w:t>
            </w:r>
          </w:p>
        </w:tc>
      </w:tr>
      <w:tr w:rsidR="005D0DCC" w:rsidRPr="008C761D" w14:paraId="0B8656FB" w14:textId="77777777" w:rsidTr="00CA0BA6">
        <w:trPr>
          <w:trHeight w:val="350"/>
        </w:trPr>
        <w:tc>
          <w:tcPr>
            <w:tcW w:w="2518" w:type="dxa"/>
            <w:tcBorders>
              <w:top w:val="single" w:sz="4" w:space="0" w:color="FFFFFF"/>
              <w:bottom w:val="nil"/>
            </w:tcBorders>
            <w:shd w:val="clear" w:color="auto" w:fill="2F5496"/>
          </w:tcPr>
          <w:p w14:paraId="7C8C862F" w14:textId="77777777" w:rsidR="005D0DCC" w:rsidRPr="008C761D" w:rsidRDefault="005D0DCC"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3604AC64"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Difficulties in recruiting suitable staff, who will be able to participate in the operations of the Fiscal Council;</w:t>
            </w:r>
          </w:p>
          <w:p w14:paraId="6C5640C8" w14:textId="77777777" w:rsidR="00F769D0" w:rsidRPr="008C761D" w:rsidRDefault="00F769D0" w:rsidP="0004385D">
            <w:pPr>
              <w:numPr>
                <w:ilvl w:val="0"/>
                <w:numId w:val="41"/>
              </w:numPr>
              <w:spacing w:after="0" w:line="240" w:lineRule="auto"/>
              <w:ind w:left="183" w:hanging="177"/>
              <w:jc w:val="both"/>
              <w:rPr>
                <w:rFonts w:cs="Calibri"/>
                <w:sz w:val="20"/>
                <w:szCs w:val="20"/>
                <w:lang w:val="en-US"/>
              </w:rPr>
            </w:pPr>
            <w:r w:rsidRPr="008C761D">
              <w:rPr>
                <w:rFonts w:cs="Calibri"/>
                <w:sz w:val="20"/>
                <w:szCs w:val="20"/>
                <w:lang w:val="en-US"/>
              </w:rPr>
              <w:t>Lack of adequate capacity in the Ministry of Finance and the Fiscal Council to implement the activities for implementation of the fiscal rules as per the Law;</w:t>
            </w:r>
          </w:p>
          <w:p w14:paraId="245C7F24" w14:textId="75935442" w:rsidR="005D0DCC" w:rsidRPr="008C761D" w:rsidRDefault="00F769D0" w:rsidP="0004385D">
            <w:pPr>
              <w:numPr>
                <w:ilvl w:val="0"/>
                <w:numId w:val="46"/>
              </w:numPr>
              <w:spacing w:line="240" w:lineRule="auto"/>
              <w:ind w:left="183" w:hanging="177"/>
              <w:jc w:val="both"/>
              <w:rPr>
                <w:rFonts w:cs="Calibri"/>
                <w:sz w:val="20"/>
                <w:szCs w:val="20"/>
                <w:lang w:val="en-US"/>
              </w:rPr>
            </w:pPr>
            <w:r w:rsidRPr="008C761D">
              <w:rPr>
                <w:rFonts w:cs="Calibri"/>
                <w:sz w:val="20"/>
                <w:szCs w:val="20"/>
                <w:lang w:val="en-US"/>
              </w:rPr>
              <w:t>Inadequate and incomplete trainings of employees in MoF and the Fiscal Council</w:t>
            </w:r>
            <w:r w:rsidR="00D53B29">
              <w:rPr>
                <w:rFonts w:cs="Calibri"/>
                <w:sz w:val="20"/>
                <w:szCs w:val="20"/>
                <w:lang w:val="en-US"/>
              </w:rPr>
              <w:t xml:space="preserve"> </w:t>
            </w:r>
            <w:r w:rsidR="0079585A" w:rsidRPr="008C761D">
              <w:rPr>
                <w:rFonts w:cs="Calibri"/>
                <w:sz w:val="20"/>
                <w:szCs w:val="20"/>
                <w:lang w:val="en-US"/>
              </w:rPr>
              <w:t>in relation to fiscal rules implementation</w:t>
            </w:r>
            <w:r w:rsidRPr="008C761D">
              <w:rPr>
                <w:rFonts w:cs="Calibri"/>
                <w:sz w:val="20"/>
                <w:szCs w:val="20"/>
                <w:lang w:val="en-US"/>
              </w:rPr>
              <w:t>.</w:t>
            </w:r>
          </w:p>
        </w:tc>
      </w:tr>
    </w:tbl>
    <w:p w14:paraId="4EC69047" w14:textId="47053259" w:rsidR="00A64FD7" w:rsidRPr="005116C2" w:rsidRDefault="00A64FD7" w:rsidP="00E84CD0">
      <w:pPr>
        <w:pStyle w:val="Heading1"/>
        <w:spacing w:line="240" w:lineRule="auto"/>
        <w:jc w:val="both"/>
        <w:rPr>
          <w:rFonts w:ascii="Calibri" w:hAnsi="Calibri" w:cs="Calibri"/>
          <w:color w:val="2F5496"/>
          <w:sz w:val="28"/>
          <w:szCs w:val="28"/>
          <w:lang w:val="en-US"/>
        </w:rPr>
      </w:pPr>
      <w:bookmarkStart w:id="18" w:name="_Toc160611812"/>
      <w:r w:rsidRPr="005116C2">
        <w:rPr>
          <w:rFonts w:ascii="Calibri" w:hAnsi="Calibri" w:cs="Calibri"/>
          <w:color w:val="2F5496"/>
          <w:sz w:val="28"/>
          <w:szCs w:val="28"/>
          <w:lang w:val="en-US"/>
        </w:rPr>
        <w:lastRenderedPageBreak/>
        <w:t xml:space="preserve">Priority 3: </w:t>
      </w:r>
      <w:r w:rsidR="00CF0FEA" w:rsidRPr="005116C2">
        <w:rPr>
          <w:rFonts w:ascii="Calibri" w:hAnsi="Calibri" w:cs="Calibri"/>
          <w:color w:val="2F5496"/>
          <w:sz w:val="28"/>
          <w:szCs w:val="28"/>
          <w:lang w:val="en-US"/>
        </w:rPr>
        <w:t xml:space="preserve">Strengthening </w:t>
      </w:r>
      <w:r w:rsidRPr="005116C2">
        <w:rPr>
          <w:rFonts w:ascii="Calibri" w:hAnsi="Calibri" w:cs="Calibri"/>
          <w:color w:val="2F5496"/>
          <w:sz w:val="28"/>
          <w:szCs w:val="28"/>
          <w:lang w:val="en-US"/>
        </w:rPr>
        <w:t xml:space="preserve">Debt </w:t>
      </w:r>
      <w:r w:rsidR="003647C6" w:rsidRPr="005116C2">
        <w:rPr>
          <w:rFonts w:ascii="Calibri" w:hAnsi="Calibri" w:cs="Calibri"/>
          <w:color w:val="2F5496"/>
          <w:sz w:val="28"/>
          <w:szCs w:val="28"/>
          <w:lang w:val="en-US"/>
        </w:rPr>
        <w:t>Management</w:t>
      </w:r>
      <w:bookmarkEnd w:id="18"/>
    </w:p>
    <w:p w14:paraId="59CE8959"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Objective</w:t>
      </w:r>
    </w:p>
    <w:p w14:paraId="6377FF96" w14:textId="77777777" w:rsidR="00361D95" w:rsidRPr="008C761D" w:rsidRDefault="004E1E75" w:rsidP="004E1E75">
      <w:pPr>
        <w:pStyle w:val="NormalPFM1"/>
        <w:spacing w:line="240" w:lineRule="auto"/>
        <w:rPr>
          <w:rFonts w:cs="Calibri"/>
          <w:sz w:val="22"/>
          <w:szCs w:val="22"/>
          <w:lang w:val="en-US"/>
        </w:rPr>
      </w:pPr>
      <w:r w:rsidRPr="008C761D">
        <w:rPr>
          <w:rFonts w:cs="Calibri"/>
          <w:sz w:val="22"/>
          <w:szCs w:val="22"/>
          <w:lang w:val="en-US"/>
        </w:rPr>
        <w:t>Improving the quality of public debt management on medium and long term</w:t>
      </w:r>
      <w:r w:rsidR="00361D95" w:rsidRPr="008C761D">
        <w:rPr>
          <w:rFonts w:cs="Calibri"/>
          <w:sz w:val="22"/>
          <w:szCs w:val="22"/>
          <w:lang w:val="en-US"/>
        </w:rPr>
        <w:t>.</w:t>
      </w:r>
    </w:p>
    <w:p w14:paraId="2715073A" w14:textId="3655A07B" w:rsidR="0073528B" w:rsidRPr="008C761D" w:rsidRDefault="004E1E75" w:rsidP="00E84CD0">
      <w:pPr>
        <w:pStyle w:val="NormalPFM1"/>
        <w:spacing w:line="240" w:lineRule="auto"/>
        <w:rPr>
          <w:rFonts w:cs="Calibri"/>
          <w:sz w:val="22"/>
          <w:szCs w:val="22"/>
          <w:lang w:val="en-US"/>
        </w:rPr>
      </w:pPr>
      <w:r w:rsidRPr="008C761D">
        <w:rPr>
          <w:rFonts w:cs="Calibri"/>
          <w:sz w:val="22"/>
          <w:szCs w:val="22"/>
          <w:lang w:val="en-US"/>
        </w:rPr>
        <w:t>The objective of this priority will be achieved through the following measures and activities:</w:t>
      </w:r>
    </w:p>
    <w:p w14:paraId="0DBD1BEA" w14:textId="77777777" w:rsidR="0073528B" w:rsidRPr="008C761D" w:rsidRDefault="0073528B" w:rsidP="00E84CD0">
      <w:pPr>
        <w:pStyle w:val="NormalPFM1"/>
        <w:spacing w:line="240" w:lineRule="auto"/>
        <w:rPr>
          <w:rFonts w:cs="Calibri"/>
          <w:sz w:val="22"/>
          <w:szCs w:val="22"/>
          <w:lang w:val="en-US"/>
        </w:rPr>
      </w:pPr>
    </w:p>
    <w:tbl>
      <w:tblPr>
        <w:tblW w:w="8259" w:type="dxa"/>
        <w:tblInd w:w="548" w:type="dxa"/>
        <w:tblLook w:val="01E0" w:firstRow="1" w:lastRow="1" w:firstColumn="1" w:lastColumn="1" w:noHBand="0" w:noVBand="0"/>
      </w:tblPr>
      <w:tblGrid>
        <w:gridCol w:w="1453"/>
        <w:gridCol w:w="6806"/>
      </w:tblGrid>
      <w:tr w:rsidR="0073528B" w:rsidRPr="008C761D" w14:paraId="477F961C" w14:textId="77777777" w:rsidTr="00622767">
        <w:trPr>
          <w:trHeight w:val="263"/>
        </w:trPr>
        <w:tc>
          <w:tcPr>
            <w:tcW w:w="1453" w:type="dxa"/>
            <w:shd w:val="clear" w:color="auto" w:fill="auto"/>
          </w:tcPr>
          <w:p w14:paraId="2AE492E3" w14:textId="77777777" w:rsidR="0073528B" w:rsidRPr="008C761D" w:rsidRDefault="0073528B" w:rsidP="00E84CD0">
            <w:pPr>
              <w:spacing w:after="0" w:line="240" w:lineRule="auto"/>
              <w:jc w:val="both"/>
              <w:rPr>
                <w:rFonts w:cs="Calibri"/>
                <w:b/>
                <w:lang w:val="en-US"/>
              </w:rPr>
            </w:pPr>
            <w:r w:rsidRPr="008C761D">
              <w:rPr>
                <w:rFonts w:cs="Calibri"/>
                <w:b/>
                <w:lang w:val="en-US"/>
              </w:rPr>
              <w:t>Measure 1:</w:t>
            </w:r>
          </w:p>
        </w:tc>
        <w:tc>
          <w:tcPr>
            <w:tcW w:w="6806" w:type="dxa"/>
            <w:shd w:val="clear" w:color="auto" w:fill="auto"/>
          </w:tcPr>
          <w:p w14:paraId="1DE3CEC1" w14:textId="77777777" w:rsidR="0073528B" w:rsidRPr="008C761D" w:rsidRDefault="0073528B" w:rsidP="00E84CD0">
            <w:pPr>
              <w:spacing w:after="0" w:line="240" w:lineRule="auto"/>
              <w:ind w:left="-101"/>
              <w:jc w:val="both"/>
              <w:rPr>
                <w:rFonts w:cs="Calibri"/>
                <w:b/>
                <w:lang w:val="en-US"/>
              </w:rPr>
            </w:pPr>
            <w:r w:rsidRPr="008C761D">
              <w:rPr>
                <w:rFonts w:cs="Calibri"/>
                <w:b/>
                <w:lang w:val="en-US"/>
              </w:rPr>
              <w:t>Reducing operational risks at public debt management</w:t>
            </w:r>
          </w:p>
        </w:tc>
      </w:tr>
      <w:tr w:rsidR="0073528B" w:rsidRPr="008C761D" w14:paraId="665D778C" w14:textId="77777777" w:rsidTr="00622767">
        <w:trPr>
          <w:trHeight w:val="381"/>
        </w:trPr>
        <w:tc>
          <w:tcPr>
            <w:tcW w:w="1453" w:type="dxa"/>
            <w:shd w:val="clear" w:color="auto" w:fill="auto"/>
          </w:tcPr>
          <w:p w14:paraId="04AE7B67" w14:textId="77777777" w:rsidR="0073528B" w:rsidRPr="008C761D" w:rsidRDefault="0073528B" w:rsidP="00E84CD0">
            <w:pPr>
              <w:spacing w:before="120" w:after="0" w:line="240" w:lineRule="auto"/>
              <w:jc w:val="both"/>
              <w:rPr>
                <w:rFonts w:cs="Calibri"/>
                <w:b/>
                <w:color w:val="000000"/>
                <w:lang w:val="en-US"/>
              </w:rPr>
            </w:pPr>
            <w:r w:rsidRPr="008C761D">
              <w:rPr>
                <w:rFonts w:cs="Calibri"/>
                <w:color w:val="000000"/>
                <w:lang w:val="en-US"/>
              </w:rPr>
              <w:t>Activity 1:</w:t>
            </w:r>
          </w:p>
        </w:tc>
        <w:tc>
          <w:tcPr>
            <w:tcW w:w="6806" w:type="dxa"/>
            <w:shd w:val="clear" w:color="auto" w:fill="auto"/>
          </w:tcPr>
          <w:p w14:paraId="34C0DFFB" w14:textId="77777777" w:rsidR="0073528B" w:rsidRPr="008C761D" w:rsidRDefault="0073528B" w:rsidP="00622767">
            <w:pPr>
              <w:spacing w:before="120" w:after="0" w:line="240" w:lineRule="auto"/>
              <w:jc w:val="both"/>
              <w:rPr>
                <w:rFonts w:cs="Calibri"/>
                <w:lang w:val="en-US"/>
              </w:rPr>
            </w:pPr>
            <w:r w:rsidRPr="008C761D">
              <w:rPr>
                <w:rFonts w:cs="Calibri"/>
                <w:lang w:val="en-US"/>
              </w:rPr>
              <w:t>Introducing e-banking with NBRNM for external debt repayment</w:t>
            </w:r>
            <w:r w:rsidR="004B0866" w:rsidRPr="008C761D">
              <w:rPr>
                <w:rFonts w:cs="Calibri"/>
                <w:lang w:val="en-US"/>
              </w:rPr>
              <w:t>;</w:t>
            </w:r>
          </w:p>
        </w:tc>
      </w:tr>
      <w:tr w:rsidR="0073528B" w:rsidRPr="008C761D" w14:paraId="4B70F707" w14:textId="77777777" w:rsidTr="00622767">
        <w:trPr>
          <w:trHeight w:val="381"/>
        </w:trPr>
        <w:tc>
          <w:tcPr>
            <w:tcW w:w="1453" w:type="dxa"/>
            <w:shd w:val="clear" w:color="auto" w:fill="auto"/>
          </w:tcPr>
          <w:p w14:paraId="2AC02E1F" w14:textId="77777777" w:rsidR="0073528B" w:rsidRPr="008C761D" w:rsidRDefault="0073528B" w:rsidP="00E84CD0">
            <w:pPr>
              <w:spacing w:before="120" w:after="0" w:line="240" w:lineRule="auto"/>
              <w:jc w:val="both"/>
              <w:rPr>
                <w:rFonts w:cs="Calibri"/>
                <w:color w:val="000000"/>
                <w:lang w:val="en-US"/>
              </w:rPr>
            </w:pPr>
            <w:r w:rsidRPr="008C761D">
              <w:rPr>
                <w:rFonts w:cs="Calibri"/>
                <w:color w:val="000000"/>
                <w:lang w:val="en-US"/>
              </w:rPr>
              <w:t>Activity 2:</w:t>
            </w:r>
          </w:p>
        </w:tc>
        <w:tc>
          <w:tcPr>
            <w:tcW w:w="6806" w:type="dxa"/>
            <w:shd w:val="clear" w:color="auto" w:fill="auto"/>
          </w:tcPr>
          <w:p w14:paraId="29B62332" w14:textId="77777777" w:rsidR="0073528B" w:rsidRPr="008C761D" w:rsidRDefault="0073528B" w:rsidP="00622767">
            <w:pPr>
              <w:spacing w:before="120" w:after="0" w:line="240" w:lineRule="auto"/>
              <w:jc w:val="both"/>
              <w:rPr>
                <w:rFonts w:cs="Calibri"/>
                <w:lang w:val="en-US"/>
              </w:rPr>
            </w:pPr>
            <w:r w:rsidRPr="008C761D">
              <w:rPr>
                <w:rFonts w:cs="Calibri"/>
                <w:lang w:val="en-US"/>
              </w:rPr>
              <w:t>Strengthening public debt management capacities</w:t>
            </w:r>
            <w:r w:rsidR="004B0866" w:rsidRPr="008C761D">
              <w:rPr>
                <w:rFonts w:cs="Calibri"/>
                <w:lang w:val="en-US"/>
              </w:rPr>
              <w:t>;</w:t>
            </w:r>
          </w:p>
        </w:tc>
      </w:tr>
      <w:tr w:rsidR="0073528B" w:rsidRPr="008C761D" w14:paraId="6D8A0DBB" w14:textId="77777777" w:rsidTr="00622767">
        <w:trPr>
          <w:trHeight w:val="381"/>
        </w:trPr>
        <w:tc>
          <w:tcPr>
            <w:tcW w:w="1453" w:type="dxa"/>
            <w:shd w:val="clear" w:color="auto" w:fill="auto"/>
          </w:tcPr>
          <w:p w14:paraId="47C1946B" w14:textId="77777777" w:rsidR="0073528B" w:rsidRPr="008C761D" w:rsidRDefault="0073528B" w:rsidP="00E84CD0">
            <w:pPr>
              <w:spacing w:before="120" w:after="0" w:line="240" w:lineRule="auto"/>
              <w:jc w:val="both"/>
              <w:rPr>
                <w:rFonts w:cs="Calibri"/>
                <w:color w:val="000000"/>
                <w:lang w:val="en-US"/>
              </w:rPr>
            </w:pPr>
            <w:bookmarkStart w:id="19" w:name="_Hlk89258608"/>
            <w:r w:rsidRPr="008C761D">
              <w:rPr>
                <w:rFonts w:cs="Calibri"/>
                <w:color w:val="000000"/>
                <w:lang w:val="en-US"/>
              </w:rPr>
              <w:t>Activity 3:</w:t>
            </w:r>
          </w:p>
        </w:tc>
        <w:tc>
          <w:tcPr>
            <w:tcW w:w="6806" w:type="dxa"/>
            <w:shd w:val="clear" w:color="auto" w:fill="auto"/>
          </w:tcPr>
          <w:p w14:paraId="6867B4A5" w14:textId="77777777" w:rsidR="0073528B" w:rsidRPr="008C761D" w:rsidRDefault="0073528B" w:rsidP="00622767">
            <w:pPr>
              <w:spacing w:before="120" w:after="0" w:line="240" w:lineRule="auto"/>
              <w:jc w:val="both"/>
              <w:rPr>
                <w:rFonts w:cs="Calibri"/>
                <w:lang w:val="en-US"/>
              </w:rPr>
            </w:pPr>
            <w:r w:rsidRPr="008C761D">
              <w:rPr>
                <w:rFonts w:cs="Calibri"/>
                <w:lang w:val="en-US"/>
              </w:rPr>
              <w:t>Reconciling the debt stock with the creditors</w:t>
            </w:r>
            <w:r w:rsidR="004B0866" w:rsidRPr="008C761D">
              <w:rPr>
                <w:rFonts w:cs="Calibri"/>
                <w:lang w:val="en-US"/>
              </w:rPr>
              <w:t>;</w:t>
            </w:r>
          </w:p>
        </w:tc>
      </w:tr>
      <w:bookmarkEnd w:id="19"/>
      <w:tr w:rsidR="0073528B" w:rsidRPr="008C761D" w14:paraId="23A5FDCA" w14:textId="77777777" w:rsidTr="00622767">
        <w:trPr>
          <w:trHeight w:val="263"/>
        </w:trPr>
        <w:tc>
          <w:tcPr>
            <w:tcW w:w="1453" w:type="dxa"/>
            <w:shd w:val="clear" w:color="auto" w:fill="auto"/>
          </w:tcPr>
          <w:p w14:paraId="643DBF6F" w14:textId="77777777" w:rsidR="0073528B" w:rsidRPr="008C761D" w:rsidRDefault="0073528B" w:rsidP="00E84CD0">
            <w:pPr>
              <w:spacing w:after="0" w:line="240" w:lineRule="auto"/>
              <w:jc w:val="both"/>
              <w:rPr>
                <w:rFonts w:cs="Calibri"/>
                <w:color w:val="000000"/>
                <w:lang w:val="en-US"/>
              </w:rPr>
            </w:pPr>
          </w:p>
        </w:tc>
        <w:tc>
          <w:tcPr>
            <w:tcW w:w="6806" w:type="dxa"/>
            <w:shd w:val="clear" w:color="auto" w:fill="auto"/>
          </w:tcPr>
          <w:p w14:paraId="2FE5F2F2" w14:textId="77777777" w:rsidR="0073528B" w:rsidRPr="008C761D" w:rsidRDefault="0073528B" w:rsidP="00E84CD0">
            <w:pPr>
              <w:spacing w:after="0" w:line="240" w:lineRule="auto"/>
              <w:ind w:left="183"/>
              <w:jc w:val="both"/>
              <w:rPr>
                <w:rFonts w:cs="Calibri"/>
                <w:lang w:val="en-US"/>
              </w:rPr>
            </w:pPr>
          </w:p>
        </w:tc>
      </w:tr>
      <w:tr w:rsidR="0073528B" w:rsidRPr="008C761D" w14:paraId="77E77F66" w14:textId="77777777" w:rsidTr="00622767">
        <w:trPr>
          <w:trHeight w:val="249"/>
        </w:trPr>
        <w:tc>
          <w:tcPr>
            <w:tcW w:w="1453" w:type="dxa"/>
            <w:shd w:val="clear" w:color="auto" w:fill="auto"/>
          </w:tcPr>
          <w:p w14:paraId="3205F9FD" w14:textId="77777777" w:rsidR="0073528B" w:rsidRPr="008C761D" w:rsidRDefault="0073528B" w:rsidP="00E84CD0">
            <w:pPr>
              <w:spacing w:after="0" w:line="240" w:lineRule="auto"/>
              <w:jc w:val="both"/>
              <w:rPr>
                <w:rFonts w:cs="Calibri"/>
                <w:b/>
                <w:lang w:val="en-US"/>
              </w:rPr>
            </w:pPr>
            <w:r w:rsidRPr="008C761D">
              <w:rPr>
                <w:rFonts w:cs="Calibri"/>
                <w:b/>
                <w:lang w:val="en-US"/>
              </w:rPr>
              <w:t>Measure 2:</w:t>
            </w:r>
          </w:p>
        </w:tc>
        <w:tc>
          <w:tcPr>
            <w:tcW w:w="6806" w:type="dxa"/>
            <w:shd w:val="clear" w:color="auto" w:fill="auto"/>
          </w:tcPr>
          <w:p w14:paraId="2A541CF4" w14:textId="77777777" w:rsidR="0073528B" w:rsidRPr="008C761D" w:rsidRDefault="0073528B" w:rsidP="00E84CD0">
            <w:pPr>
              <w:tabs>
                <w:tab w:val="left" w:pos="1250"/>
              </w:tabs>
              <w:spacing w:after="0" w:line="240" w:lineRule="auto"/>
              <w:ind w:left="-101"/>
              <w:jc w:val="both"/>
              <w:rPr>
                <w:rFonts w:cs="Calibri"/>
                <w:b/>
                <w:lang w:val="en-US"/>
              </w:rPr>
            </w:pPr>
            <w:r w:rsidRPr="008C761D">
              <w:rPr>
                <w:rFonts w:cs="Calibri"/>
                <w:b/>
                <w:lang w:val="en-US"/>
              </w:rPr>
              <w:t>Increasing public debt transparency</w:t>
            </w:r>
          </w:p>
        </w:tc>
      </w:tr>
      <w:tr w:rsidR="0073528B" w:rsidRPr="008C761D" w14:paraId="6ED9854A" w14:textId="77777777" w:rsidTr="00622767">
        <w:trPr>
          <w:trHeight w:val="645"/>
        </w:trPr>
        <w:tc>
          <w:tcPr>
            <w:tcW w:w="1453" w:type="dxa"/>
            <w:shd w:val="clear" w:color="auto" w:fill="auto"/>
          </w:tcPr>
          <w:p w14:paraId="070F6631" w14:textId="77777777" w:rsidR="0073528B" w:rsidRPr="008C761D" w:rsidRDefault="0073528B" w:rsidP="00E84CD0">
            <w:pPr>
              <w:spacing w:before="120" w:after="0" w:line="240" w:lineRule="auto"/>
              <w:jc w:val="both"/>
              <w:rPr>
                <w:rFonts w:cs="Calibri"/>
                <w:color w:val="000000"/>
                <w:lang w:val="en-US"/>
              </w:rPr>
            </w:pPr>
            <w:bookmarkStart w:id="20" w:name="_Hlk89263209"/>
            <w:r w:rsidRPr="008C761D">
              <w:rPr>
                <w:rFonts w:cs="Calibri"/>
                <w:color w:val="000000"/>
                <w:lang w:val="en-US"/>
              </w:rPr>
              <w:t>Activity 1:</w:t>
            </w:r>
          </w:p>
        </w:tc>
        <w:tc>
          <w:tcPr>
            <w:tcW w:w="6806" w:type="dxa"/>
            <w:shd w:val="clear" w:color="auto" w:fill="auto"/>
            <w:vAlign w:val="center"/>
          </w:tcPr>
          <w:p w14:paraId="74D01C45" w14:textId="77777777" w:rsidR="0073528B" w:rsidRPr="008C761D" w:rsidRDefault="0073528B" w:rsidP="00622767">
            <w:pPr>
              <w:spacing w:before="120" w:after="0" w:line="240" w:lineRule="auto"/>
              <w:jc w:val="both"/>
              <w:rPr>
                <w:rFonts w:cs="Calibri"/>
                <w:lang w:val="en-US"/>
              </w:rPr>
            </w:pPr>
            <w:r w:rsidRPr="008C761D">
              <w:rPr>
                <w:rFonts w:cs="Calibri"/>
                <w:lang w:val="en-US"/>
              </w:rPr>
              <w:t>Modifications and amendments to Public Debt Law to the end of aligning the debt definition with the Maastricht Criteria</w:t>
            </w:r>
            <w:r w:rsidR="004B0866" w:rsidRPr="008C761D">
              <w:rPr>
                <w:rFonts w:cs="Calibri"/>
                <w:lang w:val="en-US"/>
              </w:rPr>
              <w:t>;</w:t>
            </w:r>
          </w:p>
        </w:tc>
      </w:tr>
      <w:bookmarkEnd w:id="20"/>
      <w:tr w:rsidR="0073528B" w:rsidRPr="008C761D" w14:paraId="6A013D34" w14:textId="77777777" w:rsidTr="00622767">
        <w:trPr>
          <w:trHeight w:val="1143"/>
        </w:trPr>
        <w:tc>
          <w:tcPr>
            <w:tcW w:w="1453" w:type="dxa"/>
            <w:shd w:val="clear" w:color="auto" w:fill="auto"/>
          </w:tcPr>
          <w:p w14:paraId="29DB5C66" w14:textId="77777777" w:rsidR="0073528B" w:rsidRPr="008C761D" w:rsidRDefault="0073528B" w:rsidP="00E84CD0">
            <w:pPr>
              <w:spacing w:before="120" w:after="0" w:line="240" w:lineRule="auto"/>
              <w:jc w:val="both"/>
              <w:rPr>
                <w:rFonts w:cs="Calibri"/>
                <w:lang w:val="en-US"/>
              </w:rPr>
            </w:pPr>
            <w:r w:rsidRPr="008C761D">
              <w:rPr>
                <w:rFonts w:cs="Calibri"/>
                <w:lang w:val="en-US"/>
              </w:rPr>
              <w:t>Activity 2:</w:t>
            </w:r>
          </w:p>
          <w:p w14:paraId="5F7479EA" w14:textId="77777777" w:rsidR="004E1E75" w:rsidRPr="008C761D" w:rsidRDefault="004E1E75" w:rsidP="00E84CD0">
            <w:pPr>
              <w:spacing w:before="120" w:after="0" w:line="240" w:lineRule="auto"/>
              <w:jc w:val="both"/>
              <w:rPr>
                <w:rFonts w:cs="Calibri"/>
                <w:lang w:val="en-US"/>
              </w:rPr>
            </w:pPr>
            <w:r w:rsidRPr="008C761D">
              <w:rPr>
                <w:rFonts w:cs="Calibri"/>
                <w:lang w:val="en-US"/>
              </w:rPr>
              <w:t>Activity 3</w:t>
            </w:r>
          </w:p>
          <w:p w14:paraId="1275DD14" w14:textId="77777777" w:rsidR="004E1E75" w:rsidRPr="008C761D" w:rsidRDefault="004E1E75" w:rsidP="00E84CD0">
            <w:pPr>
              <w:spacing w:before="120" w:after="0" w:line="240" w:lineRule="auto"/>
              <w:jc w:val="both"/>
              <w:rPr>
                <w:rFonts w:cs="Calibri"/>
                <w:lang w:val="en-US"/>
              </w:rPr>
            </w:pPr>
            <w:r w:rsidRPr="008C761D">
              <w:rPr>
                <w:rFonts w:cs="Calibri"/>
                <w:lang w:val="en-US"/>
              </w:rPr>
              <w:t>Activity 4</w:t>
            </w:r>
          </w:p>
        </w:tc>
        <w:tc>
          <w:tcPr>
            <w:tcW w:w="6806" w:type="dxa"/>
            <w:shd w:val="clear" w:color="auto" w:fill="auto"/>
          </w:tcPr>
          <w:p w14:paraId="4EAEFE4A" w14:textId="77777777" w:rsidR="0073528B" w:rsidRPr="008C761D" w:rsidRDefault="0073528B" w:rsidP="00622767">
            <w:pPr>
              <w:spacing w:before="120" w:after="0" w:line="240" w:lineRule="auto"/>
              <w:ind w:right="1384"/>
              <w:jc w:val="both"/>
              <w:rPr>
                <w:rFonts w:cs="Calibri"/>
                <w:lang w:val="en-US"/>
              </w:rPr>
            </w:pPr>
            <w:r w:rsidRPr="008C761D">
              <w:rPr>
                <w:rFonts w:cs="Calibri"/>
                <w:lang w:val="en-US"/>
              </w:rPr>
              <w:t>Incorporating debt data in the Budget document</w:t>
            </w:r>
            <w:r w:rsidR="004B0866" w:rsidRPr="008C761D">
              <w:rPr>
                <w:rFonts w:cs="Calibri"/>
                <w:lang w:val="en-US"/>
              </w:rPr>
              <w:t>;</w:t>
            </w:r>
          </w:p>
          <w:p w14:paraId="2A5E354D" w14:textId="77777777" w:rsidR="004E1E75" w:rsidRPr="008C761D" w:rsidRDefault="004E1E75" w:rsidP="00622767">
            <w:pPr>
              <w:spacing w:before="120" w:after="0" w:line="240" w:lineRule="auto"/>
              <w:ind w:right="1384"/>
              <w:jc w:val="both"/>
              <w:rPr>
                <w:rFonts w:cs="Calibri"/>
                <w:lang w:val="en-US"/>
              </w:rPr>
            </w:pPr>
            <w:r w:rsidRPr="008C761D">
              <w:rPr>
                <w:rFonts w:cs="Calibri"/>
                <w:lang w:val="en-US"/>
              </w:rPr>
              <w:t>Preparation Annual Borrowing Plan</w:t>
            </w:r>
          </w:p>
          <w:p w14:paraId="7B2F8B55" w14:textId="77777777" w:rsidR="004E1E75" w:rsidRPr="008C761D" w:rsidRDefault="004E1E75" w:rsidP="00622767">
            <w:pPr>
              <w:spacing w:before="120" w:after="0" w:line="240" w:lineRule="auto"/>
              <w:ind w:right="1384"/>
              <w:jc w:val="both"/>
              <w:rPr>
                <w:rFonts w:cs="Calibri"/>
                <w:lang w:val="en-US"/>
              </w:rPr>
            </w:pPr>
            <w:r w:rsidRPr="008C761D">
              <w:rPr>
                <w:rFonts w:cs="Calibri"/>
                <w:lang w:val="en-US"/>
              </w:rPr>
              <w:t>Improving Debt Reporting</w:t>
            </w:r>
          </w:p>
        </w:tc>
      </w:tr>
      <w:tr w:rsidR="0073528B" w:rsidRPr="008C761D" w14:paraId="6E7856D5" w14:textId="77777777" w:rsidTr="00622767">
        <w:trPr>
          <w:trHeight w:val="263"/>
        </w:trPr>
        <w:tc>
          <w:tcPr>
            <w:tcW w:w="1453" w:type="dxa"/>
            <w:shd w:val="clear" w:color="auto" w:fill="auto"/>
          </w:tcPr>
          <w:p w14:paraId="4C95E183" w14:textId="77777777" w:rsidR="0073528B" w:rsidRPr="008C761D" w:rsidRDefault="0073528B" w:rsidP="00E84CD0">
            <w:pPr>
              <w:spacing w:after="0" w:line="240" w:lineRule="auto"/>
              <w:jc w:val="both"/>
              <w:rPr>
                <w:rFonts w:cs="Calibri"/>
                <w:lang w:val="en-US"/>
              </w:rPr>
            </w:pPr>
          </w:p>
        </w:tc>
        <w:tc>
          <w:tcPr>
            <w:tcW w:w="6806" w:type="dxa"/>
            <w:shd w:val="clear" w:color="auto" w:fill="auto"/>
          </w:tcPr>
          <w:p w14:paraId="2CF92E77" w14:textId="77777777" w:rsidR="0073528B" w:rsidRPr="008C761D" w:rsidRDefault="0073528B" w:rsidP="00E84CD0">
            <w:pPr>
              <w:spacing w:after="0" w:line="240" w:lineRule="auto"/>
              <w:ind w:left="183"/>
              <w:jc w:val="both"/>
              <w:rPr>
                <w:rFonts w:cs="Calibri"/>
                <w:lang w:val="en-US"/>
              </w:rPr>
            </w:pPr>
          </w:p>
        </w:tc>
      </w:tr>
      <w:tr w:rsidR="0073528B" w:rsidRPr="008C761D" w14:paraId="40AFBE6D" w14:textId="77777777" w:rsidTr="00622767">
        <w:trPr>
          <w:trHeight w:val="422"/>
        </w:trPr>
        <w:tc>
          <w:tcPr>
            <w:tcW w:w="1453" w:type="dxa"/>
            <w:shd w:val="clear" w:color="auto" w:fill="auto"/>
          </w:tcPr>
          <w:p w14:paraId="19A80DC9" w14:textId="77777777" w:rsidR="0073528B" w:rsidRPr="008C761D" w:rsidRDefault="0073528B" w:rsidP="00E84CD0">
            <w:pPr>
              <w:spacing w:after="0" w:line="240" w:lineRule="auto"/>
              <w:jc w:val="both"/>
              <w:rPr>
                <w:rFonts w:cs="Calibri"/>
                <w:b/>
                <w:lang w:val="en-US"/>
              </w:rPr>
            </w:pPr>
            <w:r w:rsidRPr="008C761D">
              <w:rPr>
                <w:rFonts w:cs="Calibri"/>
                <w:b/>
                <w:lang w:val="en-US"/>
              </w:rPr>
              <w:t>Measure 3:</w:t>
            </w:r>
          </w:p>
        </w:tc>
        <w:tc>
          <w:tcPr>
            <w:tcW w:w="6806" w:type="dxa"/>
            <w:shd w:val="clear" w:color="auto" w:fill="auto"/>
          </w:tcPr>
          <w:p w14:paraId="5F259AC7" w14:textId="1AB3B40F" w:rsidR="00A077F9" w:rsidRPr="008C761D" w:rsidRDefault="0073528B" w:rsidP="00A077F9">
            <w:pPr>
              <w:tabs>
                <w:tab w:val="left" w:pos="1250"/>
              </w:tabs>
              <w:spacing w:after="0" w:line="240" w:lineRule="auto"/>
              <w:ind w:left="-101"/>
              <w:jc w:val="both"/>
              <w:rPr>
                <w:rFonts w:cs="Calibri"/>
                <w:b/>
                <w:lang w:val="en-US"/>
              </w:rPr>
            </w:pPr>
            <w:r w:rsidRPr="008C761D">
              <w:rPr>
                <w:rFonts w:cs="Calibri"/>
                <w:b/>
                <w:lang w:val="en-US"/>
              </w:rPr>
              <w:t>Introducing new debt instruments</w:t>
            </w:r>
          </w:p>
        </w:tc>
      </w:tr>
      <w:tr w:rsidR="0073528B" w:rsidRPr="008C761D" w14:paraId="4968466E" w14:textId="77777777" w:rsidTr="004B25EB">
        <w:trPr>
          <w:trHeight w:val="974"/>
        </w:trPr>
        <w:tc>
          <w:tcPr>
            <w:tcW w:w="1453" w:type="dxa"/>
            <w:shd w:val="clear" w:color="auto" w:fill="auto"/>
          </w:tcPr>
          <w:p w14:paraId="15611673" w14:textId="200C60C2" w:rsidR="00B5445D" w:rsidRPr="008C761D" w:rsidRDefault="0073528B" w:rsidP="00E84CD0">
            <w:pPr>
              <w:spacing w:before="120" w:after="0" w:line="240" w:lineRule="auto"/>
              <w:jc w:val="both"/>
              <w:rPr>
                <w:rFonts w:cs="Calibri"/>
                <w:lang w:val="en-US"/>
              </w:rPr>
            </w:pPr>
            <w:r w:rsidRPr="008C761D">
              <w:rPr>
                <w:rFonts w:cs="Calibri"/>
                <w:lang w:val="en-US"/>
              </w:rPr>
              <w:t>Activity 1:</w:t>
            </w:r>
          </w:p>
          <w:p w14:paraId="465EAE7E" w14:textId="3B19077F" w:rsidR="004E1E75" w:rsidRPr="008C761D" w:rsidRDefault="00B5445D" w:rsidP="00E84CD0">
            <w:pPr>
              <w:spacing w:before="120" w:after="0" w:line="240" w:lineRule="auto"/>
              <w:jc w:val="both"/>
              <w:rPr>
                <w:rFonts w:cs="Calibri"/>
                <w:lang w:val="en-US"/>
              </w:rPr>
            </w:pPr>
            <w:r w:rsidRPr="008C761D">
              <w:rPr>
                <w:rFonts w:cs="Calibri"/>
                <w:lang w:val="en-US"/>
              </w:rPr>
              <w:t>Activity 2</w:t>
            </w:r>
            <w:r w:rsidR="00622767" w:rsidRPr="008C761D">
              <w:rPr>
                <w:rFonts w:cs="Calibri"/>
                <w:lang w:val="en-US"/>
              </w:rPr>
              <w:t>:</w:t>
            </w:r>
          </w:p>
        </w:tc>
        <w:tc>
          <w:tcPr>
            <w:tcW w:w="6806" w:type="dxa"/>
            <w:shd w:val="clear" w:color="auto" w:fill="auto"/>
          </w:tcPr>
          <w:p w14:paraId="5FC5FC2D" w14:textId="516944CA" w:rsidR="003C20E4" w:rsidRPr="008C761D" w:rsidRDefault="001733BE" w:rsidP="00CE2DF4">
            <w:pPr>
              <w:rPr>
                <w:rFonts w:cs="Calibri"/>
                <w:lang w:val="en-US"/>
              </w:rPr>
            </w:pPr>
            <w:r w:rsidRPr="008208F0">
              <w:rPr>
                <w:rFonts w:cs="Calibri"/>
                <w:lang w:val="en-US"/>
              </w:rPr>
              <w:t xml:space="preserve">Issuing of Development bond for citizens </w:t>
            </w:r>
            <w:r w:rsidR="006A55CA" w:rsidRPr="008C761D">
              <w:rPr>
                <w:rFonts w:cs="Calibri"/>
                <w:lang w:val="en-US"/>
              </w:rPr>
              <w:t>Issuing of Green bonds on domestic market</w:t>
            </w:r>
          </w:p>
        </w:tc>
      </w:tr>
    </w:tbl>
    <w:p w14:paraId="6809A184"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Outcome</w:t>
      </w:r>
    </w:p>
    <w:p w14:paraId="548625AF" w14:textId="77777777" w:rsidR="004E1E75" w:rsidRPr="008C761D" w:rsidRDefault="004E1E75" w:rsidP="003A338C">
      <w:pPr>
        <w:numPr>
          <w:ilvl w:val="0"/>
          <w:numId w:val="80"/>
        </w:numPr>
        <w:spacing w:line="240" w:lineRule="auto"/>
        <w:rPr>
          <w:rFonts w:cs="Calibri"/>
          <w:lang w:val="en-US"/>
        </w:rPr>
      </w:pPr>
      <w:r w:rsidRPr="008C761D">
        <w:rPr>
          <w:rFonts w:cs="Calibri"/>
          <w:lang w:val="en-US"/>
        </w:rPr>
        <w:t>Improved quality of the reports for public debt.</w:t>
      </w:r>
    </w:p>
    <w:p w14:paraId="39609785" w14:textId="77777777" w:rsidR="004E1E75" w:rsidRPr="008C761D" w:rsidRDefault="004E1E75" w:rsidP="003A338C">
      <w:pPr>
        <w:numPr>
          <w:ilvl w:val="0"/>
          <w:numId w:val="80"/>
        </w:numPr>
        <w:spacing w:line="240" w:lineRule="auto"/>
        <w:rPr>
          <w:rFonts w:eastAsia="MS PGothic" w:cs="Calibri"/>
          <w:lang w:val="en-US" w:eastAsia="zh-CN"/>
        </w:rPr>
      </w:pPr>
      <w:r w:rsidRPr="008C761D">
        <w:rPr>
          <w:rFonts w:eastAsia="MS PGothic" w:cs="Calibri"/>
          <w:lang w:val="en-US" w:eastAsia="zh-CN"/>
        </w:rPr>
        <w:t>Strengthened Public debt management Strategy.</w:t>
      </w:r>
    </w:p>
    <w:p w14:paraId="49A1A734" w14:textId="77777777" w:rsidR="004E1E75" w:rsidRPr="008C761D" w:rsidRDefault="004E1E75" w:rsidP="003A338C">
      <w:pPr>
        <w:numPr>
          <w:ilvl w:val="0"/>
          <w:numId w:val="80"/>
        </w:numPr>
        <w:spacing w:line="240" w:lineRule="auto"/>
        <w:rPr>
          <w:rFonts w:eastAsia="MS PGothic" w:cs="Calibri"/>
          <w:lang w:val="en-US" w:eastAsia="zh-CN"/>
        </w:rPr>
      </w:pPr>
      <w:r w:rsidRPr="008C761D">
        <w:rPr>
          <w:rFonts w:eastAsia="MS PGothic" w:cs="Calibri"/>
          <w:lang w:val="en-US" w:eastAsia="zh-CN"/>
        </w:rPr>
        <w:t>Diversification of the investor base</w:t>
      </w:r>
    </w:p>
    <w:p w14:paraId="59984038" w14:textId="77777777" w:rsidR="0073528B" w:rsidRPr="008C761D" w:rsidRDefault="0073528B" w:rsidP="00E84CD0">
      <w:pPr>
        <w:pStyle w:val="normalPFMIoutcomes"/>
        <w:tabs>
          <w:tab w:val="left" w:pos="851"/>
        </w:tabs>
        <w:spacing w:line="240" w:lineRule="auto"/>
        <w:ind w:left="1843" w:hanging="992"/>
        <w:rPr>
          <w:rFonts w:cs="Calibri"/>
          <w:color w:val="FF0000"/>
          <w:sz w:val="22"/>
          <w:szCs w:val="22"/>
          <w:lang w:val="en-US"/>
        </w:rPr>
      </w:pPr>
    </w:p>
    <w:p w14:paraId="40E48560"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Outcome indicators</w:t>
      </w:r>
    </w:p>
    <w:p w14:paraId="1E6B832C" w14:textId="77777777" w:rsidR="00EC011C" w:rsidRPr="008C761D" w:rsidRDefault="00EC011C" w:rsidP="003A338C">
      <w:pPr>
        <w:numPr>
          <w:ilvl w:val="0"/>
          <w:numId w:val="25"/>
        </w:numPr>
        <w:spacing w:line="240" w:lineRule="auto"/>
        <w:jc w:val="both"/>
        <w:rPr>
          <w:rFonts w:cs="Calibri"/>
          <w:color w:val="000000"/>
          <w:lang w:val="en-US"/>
        </w:rPr>
      </w:pPr>
      <w:bookmarkStart w:id="21" w:name="_Toc501441602"/>
      <w:r w:rsidRPr="008C761D">
        <w:rPr>
          <w:rFonts w:cs="Calibri"/>
          <w:color w:val="000000"/>
          <w:lang w:val="en-US"/>
        </w:rPr>
        <w:t>Increased grade for the i</w:t>
      </w:r>
      <w:r w:rsidRPr="008C761D">
        <w:rPr>
          <w:lang w:val="en-US"/>
        </w:rPr>
        <w:t>ndicator 6.4.1 - Quality of public debt management</w:t>
      </w:r>
      <w:r w:rsidRPr="008C761D">
        <w:rPr>
          <w:rFonts w:cs="Calibri"/>
          <w:color w:val="000000"/>
          <w:lang w:val="en-US"/>
        </w:rPr>
        <w:t xml:space="preserve"> in SIGMA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4B54FF7E" w14:textId="77777777" w:rsidTr="002B77A4">
        <w:trPr>
          <w:trHeight w:val="395"/>
        </w:trPr>
        <w:tc>
          <w:tcPr>
            <w:tcW w:w="4608" w:type="dxa"/>
            <w:shd w:val="clear" w:color="auto" w:fill="E8E8E8"/>
          </w:tcPr>
          <w:p w14:paraId="64DD0847"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0E937DFD"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73FFE0E0" w14:textId="77777777" w:rsidTr="002B77A4">
        <w:trPr>
          <w:trHeight w:val="278"/>
        </w:trPr>
        <w:tc>
          <w:tcPr>
            <w:tcW w:w="4608" w:type="dxa"/>
            <w:shd w:val="clear" w:color="auto" w:fill="E8E8E8"/>
          </w:tcPr>
          <w:p w14:paraId="16DA618A" w14:textId="2C797036" w:rsidR="00F004A4" w:rsidRPr="008C761D" w:rsidRDefault="00EC011C" w:rsidP="002B77A4">
            <w:pPr>
              <w:tabs>
                <w:tab w:val="left" w:pos="1390"/>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SIGMA grade for quality of public debt management is 3</w:t>
            </w:r>
          </w:p>
        </w:tc>
        <w:tc>
          <w:tcPr>
            <w:tcW w:w="4608" w:type="dxa"/>
            <w:shd w:val="clear" w:color="auto" w:fill="E8E8E8"/>
          </w:tcPr>
          <w:p w14:paraId="52DC99AA" w14:textId="2B8B07A0" w:rsidR="00F004A4" w:rsidRPr="008C761D" w:rsidRDefault="00EC011C"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Improvement of the indicator in the SIGMA report for risk mitigation in the stock of public debt</w:t>
            </w:r>
          </w:p>
        </w:tc>
      </w:tr>
    </w:tbl>
    <w:p w14:paraId="3A62F493" w14:textId="77777777" w:rsidR="00F004A4" w:rsidRPr="008C761D" w:rsidRDefault="00F004A4" w:rsidP="00F004A4">
      <w:pPr>
        <w:spacing w:line="240" w:lineRule="auto"/>
        <w:ind w:left="720"/>
        <w:jc w:val="both"/>
        <w:rPr>
          <w:rFonts w:cs="Calibri"/>
          <w:color w:val="000000"/>
          <w:lang w:val="en-US"/>
        </w:rPr>
      </w:pPr>
    </w:p>
    <w:p w14:paraId="014D8758" w14:textId="3565F596" w:rsidR="0073528B" w:rsidRPr="008C761D" w:rsidRDefault="0073528B" w:rsidP="00E84CD0">
      <w:pPr>
        <w:spacing w:before="360" w:line="240" w:lineRule="auto"/>
        <w:jc w:val="both"/>
        <w:rPr>
          <w:rFonts w:cs="Calibri"/>
          <w:b/>
          <w:color w:val="0070C0"/>
          <w:sz w:val="24"/>
          <w:szCs w:val="24"/>
          <w:lang w:val="en-US"/>
        </w:rPr>
      </w:pPr>
      <w:r w:rsidRPr="008C761D">
        <w:rPr>
          <w:rFonts w:cs="Calibri"/>
          <w:b/>
          <w:color w:val="0070C0"/>
          <w:sz w:val="24"/>
          <w:szCs w:val="24"/>
          <w:lang w:val="en-US"/>
        </w:rPr>
        <w:t>M</w:t>
      </w:r>
      <w:r w:rsidR="009036A5" w:rsidRPr="008C761D">
        <w:rPr>
          <w:rFonts w:cs="Calibri"/>
          <w:b/>
          <w:color w:val="0070C0"/>
          <w:sz w:val="24"/>
          <w:szCs w:val="24"/>
          <w:lang w:val="en-US"/>
        </w:rPr>
        <w:t>easure</w:t>
      </w:r>
      <w:r w:rsidR="00696C29" w:rsidRPr="008C761D">
        <w:rPr>
          <w:rFonts w:cs="Calibri"/>
          <w:b/>
          <w:color w:val="0070C0"/>
          <w:sz w:val="24"/>
          <w:szCs w:val="24"/>
          <w:lang w:val="en-US"/>
        </w:rPr>
        <w:t xml:space="preserve"> </w:t>
      </w:r>
      <w:r w:rsidRPr="008C761D">
        <w:rPr>
          <w:rFonts w:cs="Calibri"/>
          <w:b/>
          <w:color w:val="0070C0"/>
          <w:sz w:val="24"/>
          <w:szCs w:val="24"/>
          <w:lang w:val="en-US"/>
        </w:rPr>
        <w:t>1:</w:t>
      </w:r>
      <w:r w:rsidRPr="008C761D">
        <w:rPr>
          <w:rFonts w:cs="Calibri"/>
          <w:b/>
          <w:color w:val="0070C0"/>
          <w:sz w:val="24"/>
          <w:szCs w:val="24"/>
          <w:lang w:val="en-US"/>
        </w:rPr>
        <w:tab/>
      </w:r>
      <w:bookmarkEnd w:id="21"/>
      <w:r w:rsidRPr="008C761D">
        <w:rPr>
          <w:rFonts w:cs="Calibri"/>
          <w:b/>
          <w:color w:val="0070C0"/>
          <w:sz w:val="24"/>
          <w:szCs w:val="24"/>
          <w:lang w:val="en-US"/>
        </w:rPr>
        <w:t>Reducing operational risks at public debt management</w:t>
      </w:r>
    </w:p>
    <w:p w14:paraId="164DE994"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Measure objective</w:t>
      </w:r>
    </w:p>
    <w:p w14:paraId="4606857E" w14:textId="77777777" w:rsidR="0073528B" w:rsidRPr="008C761D" w:rsidRDefault="0073528B" w:rsidP="00E84CD0">
      <w:pPr>
        <w:spacing w:line="240" w:lineRule="auto"/>
        <w:jc w:val="both"/>
        <w:rPr>
          <w:rFonts w:cs="Calibri"/>
          <w:lang w:val="en-US"/>
        </w:rPr>
      </w:pPr>
      <w:r w:rsidRPr="008C761D">
        <w:rPr>
          <w:rFonts w:cs="Calibri"/>
          <w:lang w:val="en-US"/>
        </w:rPr>
        <w:t>More efficient public debt management by optimizing risks which public debt portfolio is susceptible to.</w:t>
      </w:r>
    </w:p>
    <w:p w14:paraId="033C16FE"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lastRenderedPageBreak/>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1E0" w:firstRow="1" w:lastRow="1" w:firstColumn="1" w:lastColumn="1" w:noHBand="0" w:noVBand="0"/>
      </w:tblPr>
      <w:tblGrid>
        <w:gridCol w:w="1240"/>
        <w:gridCol w:w="7832"/>
      </w:tblGrid>
      <w:tr w:rsidR="0073528B" w:rsidRPr="008C761D" w14:paraId="2A949D57" w14:textId="77777777" w:rsidTr="00C640AE">
        <w:tc>
          <w:tcPr>
            <w:tcW w:w="1240" w:type="dxa"/>
            <w:shd w:val="clear" w:color="auto" w:fill="DDDDDD"/>
          </w:tcPr>
          <w:p w14:paraId="334AD2C2" w14:textId="77777777" w:rsidR="0073528B" w:rsidRPr="008C761D" w:rsidRDefault="0073528B" w:rsidP="00E84CD0">
            <w:pPr>
              <w:spacing w:before="80" w:after="0" w:line="240" w:lineRule="auto"/>
              <w:jc w:val="both"/>
              <w:rPr>
                <w:rFonts w:cs="Calibri"/>
                <w:b/>
                <w:sz w:val="20"/>
                <w:szCs w:val="20"/>
                <w:lang w:val="en-US"/>
              </w:rPr>
            </w:pPr>
            <w:r w:rsidRPr="008C761D">
              <w:rPr>
                <w:rFonts w:cs="Calibri"/>
                <w:b/>
                <w:sz w:val="20"/>
                <w:szCs w:val="20"/>
                <w:lang w:val="en-US"/>
              </w:rPr>
              <w:t>PEFA</w:t>
            </w:r>
            <w:r w:rsidR="00B94C83" w:rsidRPr="008C761D">
              <w:rPr>
                <w:rFonts w:cs="Calibri"/>
                <w:b/>
                <w:sz w:val="20"/>
                <w:szCs w:val="20"/>
                <w:lang w:val="en-US"/>
              </w:rPr>
              <w:t xml:space="preserve"> 2021:</w:t>
            </w:r>
          </w:p>
        </w:tc>
        <w:tc>
          <w:tcPr>
            <w:tcW w:w="7832" w:type="dxa"/>
            <w:shd w:val="clear" w:color="auto" w:fill="DDDDDD"/>
          </w:tcPr>
          <w:p w14:paraId="58843711" w14:textId="175E9CCB" w:rsidR="0073528B" w:rsidRPr="008C761D" w:rsidRDefault="0073528B" w:rsidP="00E84CD0">
            <w:pPr>
              <w:tabs>
                <w:tab w:val="left" w:pos="851"/>
              </w:tabs>
              <w:spacing w:before="120" w:line="240" w:lineRule="auto"/>
              <w:jc w:val="both"/>
              <w:rPr>
                <w:rFonts w:cs="Calibri"/>
                <w:sz w:val="20"/>
                <w:szCs w:val="20"/>
                <w:lang w:val="en-US"/>
              </w:rPr>
            </w:pPr>
            <w:r w:rsidRPr="008C761D">
              <w:rPr>
                <w:rFonts w:cs="Calibri"/>
                <w:sz w:val="20"/>
                <w:szCs w:val="20"/>
                <w:lang w:val="en-US"/>
              </w:rPr>
              <w:t>PEFA 2021 Assessment Report contains several indicators as regards public debt management on the basis of which the assessment is made.</w:t>
            </w:r>
            <w:r w:rsidR="00D53B29">
              <w:rPr>
                <w:rFonts w:cs="Calibri"/>
                <w:sz w:val="20"/>
                <w:szCs w:val="20"/>
                <w:lang w:val="en-US"/>
              </w:rPr>
              <w:t xml:space="preserve"> </w:t>
            </w:r>
            <w:r w:rsidRPr="008C761D">
              <w:rPr>
                <w:rFonts w:cs="Calibri"/>
                <w:sz w:val="20"/>
                <w:szCs w:val="20"/>
                <w:lang w:val="en-US"/>
              </w:rPr>
              <w:t>Following findings are listed in the latest Report:</w:t>
            </w:r>
          </w:p>
          <w:p w14:paraId="634168CE" w14:textId="77777777" w:rsidR="0073528B" w:rsidRPr="008C761D" w:rsidRDefault="0073528B" w:rsidP="003A338C">
            <w:pPr>
              <w:pStyle w:val="ListParagraph"/>
              <w:numPr>
                <w:ilvl w:val="0"/>
                <w:numId w:val="18"/>
              </w:numPr>
              <w:tabs>
                <w:tab w:val="left" w:pos="851"/>
              </w:tabs>
              <w:spacing w:before="120" w:line="240" w:lineRule="auto"/>
              <w:rPr>
                <w:rFonts w:cs="Calibri"/>
                <w:sz w:val="20"/>
                <w:szCs w:val="20"/>
                <w:lang w:val="en-US"/>
              </w:rPr>
            </w:pPr>
            <w:r w:rsidRPr="008C761D">
              <w:rPr>
                <w:rFonts w:cs="Calibri"/>
                <w:sz w:val="20"/>
                <w:szCs w:val="20"/>
                <w:lang w:val="en-US"/>
              </w:rPr>
              <w:t>The data is registered in the DMIS by the IFRDMD without delays.</w:t>
            </w:r>
          </w:p>
          <w:p w14:paraId="5F5E9AAC" w14:textId="77777777" w:rsidR="0073528B" w:rsidRPr="008C761D" w:rsidRDefault="0073528B" w:rsidP="003A338C">
            <w:pPr>
              <w:pStyle w:val="ListParagraph"/>
              <w:numPr>
                <w:ilvl w:val="0"/>
                <w:numId w:val="18"/>
              </w:numPr>
              <w:tabs>
                <w:tab w:val="left" w:pos="851"/>
              </w:tabs>
              <w:spacing w:before="120" w:line="240" w:lineRule="auto"/>
              <w:rPr>
                <w:rFonts w:cs="Calibri"/>
                <w:sz w:val="20"/>
                <w:szCs w:val="20"/>
                <w:lang w:val="en-US"/>
              </w:rPr>
            </w:pPr>
            <w:r w:rsidRPr="008C761D">
              <w:rPr>
                <w:rFonts w:cs="Calibri"/>
                <w:sz w:val="20"/>
                <w:szCs w:val="20"/>
                <w:lang w:val="en-US"/>
              </w:rPr>
              <w:t xml:space="preserve">Formal reconciliation with creditors is carried out </w:t>
            </w:r>
            <w:r w:rsidR="00DD20CD" w:rsidRPr="008C761D">
              <w:rPr>
                <w:rFonts w:cs="Calibri"/>
                <w:sz w:val="20"/>
                <w:szCs w:val="20"/>
                <w:lang w:val="en-US"/>
              </w:rPr>
              <w:t>quarterly or monthly</w:t>
            </w:r>
            <w:r w:rsidRPr="008C761D">
              <w:rPr>
                <w:rFonts w:cs="Calibri"/>
                <w:sz w:val="20"/>
                <w:szCs w:val="20"/>
                <w:lang w:val="en-US"/>
              </w:rPr>
              <w:t>, however, assessment findings explicitly suggests reconciliation practices could be more frequent.</w:t>
            </w:r>
          </w:p>
          <w:p w14:paraId="4B60B1A5" w14:textId="64F32BCC" w:rsidR="0073528B" w:rsidRPr="008C761D" w:rsidRDefault="0073528B" w:rsidP="00E84CD0">
            <w:pPr>
              <w:tabs>
                <w:tab w:val="left" w:pos="851"/>
              </w:tabs>
              <w:spacing w:before="120" w:line="240" w:lineRule="auto"/>
              <w:jc w:val="both"/>
              <w:rPr>
                <w:rFonts w:cs="Calibri"/>
                <w:sz w:val="20"/>
                <w:szCs w:val="20"/>
                <w:lang w:val="en-US"/>
              </w:rPr>
            </w:pPr>
            <w:r w:rsidRPr="008C761D">
              <w:rPr>
                <w:rFonts w:cs="Calibri"/>
                <w:sz w:val="20"/>
                <w:szCs w:val="20"/>
                <w:lang w:val="en-US"/>
              </w:rPr>
              <w:t xml:space="preserve">Total score for public debt management indicator is A, with the ratings for the dimensions within </w:t>
            </w:r>
            <w:proofErr w:type="gramStart"/>
            <w:r w:rsidRPr="008C761D">
              <w:rPr>
                <w:rFonts w:cs="Calibri"/>
                <w:sz w:val="20"/>
                <w:szCs w:val="20"/>
                <w:lang w:val="en-US"/>
              </w:rPr>
              <w:t>this indicators</w:t>
            </w:r>
            <w:proofErr w:type="gramEnd"/>
            <w:r w:rsidRPr="008C761D">
              <w:rPr>
                <w:rFonts w:cs="Calibri"/>
                <w:sz w:val="20"/>
                <w:szCs w:val="20"/>
                <w:lang w:val="en-US"/>
              </w:rPr>
              <w:t xml:space="preserve"> being the following:</w:t>
            </w:r>
            <w:r w:rsidR="00D53B29">
              <w:rPr>
                <w:rFonts w:cs="Calibri"/>
                <w:sz w:val="20"/>
                <w:szCs w:val="20"/>
                <w:lang w:val="en-US"/>
              </w:rPr>
              <w:t xml:space="preserve"> </w:t>
            </w:r>
            <w:r w:rsidRPr="008C761D">
              <w:rPr>
                <w:rFonts w:cs="Calibri"/>
                <w:sz w:val="20"/>
                <w:szCs w:val="20"/>
                <w:lang w:val="en-US"/>
              </w:rPr>
              <w:t>debt recording and reporting - B, approval of debt and guarantees - A and Public Debt Management Strategy - A.</w:t>
            </w:r>
          </w:p>
          <w:p w14:paraId="578BD5C4" w14:textId="77777777" w:rsidR="0073528B" w:rsidRPr="008C761D" w:rsidRDefault="0073528B" w:rsidP="00E84CD0">
            <w:pPr>
              <w:tabs>
                <w:tab w:val="left" w:pos="851"/>
              </w:tabs>
              <w:spacing w:before="120" w:line="240" w:lineRule="auto"/>
              <w:jc w:val="both"/>
              <w:rPr>
                <w:rFonts w:cs="Calibri"/>
                <w:sz w:val="20"/>
                <w:szCs w:val="20"/>
                <w:lang w:val="en-US"/>
              </w:rPr>
            </w:pPr>
            <w:r w:rsidRPr="008C761D">
              <w:rPr>
                <w:rFonts w:cs="Calibri"/>
                <w:sz w:val="20"/>
                <w:szCs w:val="20"/>
                <w:lang w:val="en-US"/>
              </w:rPr>
              <w:t>Respective activities are to be undertaken in the coming period on the basis of these ratings, all to the end of improving public debt management.</w:t>
            </w:r>
          </w:p>
        </w:tc>
      </w:tr>
      <w:tr w:rsidR="0073528B" w:rsidRPr="008C761D" w14:paraId="7C5010EB" w14:textId="77777777" w:rsidTr="00C640AE">
        <w:tc>
          <w:tcPr>
            <w:tcW w:w="1240" w:type="dxa"/>
            <w:shd w:val="clear" w:color="auto" w:fill="DDDDDD"/>
          </w:tcPr>
          <w:p w14:paraId="2264E3FB" w14:textId="77777777" w:rsidR="0073528B" w:rsidRPr="008C761D" w:rsidRDefault="0073528B" w:rsidP="00E84CD0">
            <w:pPr>
              <w:spacing w:before="80" w:after="0" w:line="240" w:lineRule="auto"/>
              <w:jc w:val="both"/>
              <w:rPr>
                <w:rFonts w:cs="Calibri"/>
                <w:b/>
                <w:sz w:val="20"/>
                <w:szCs w:val="20"/>
                <w:lang w:val="en-US"/>
              </w:rPr>
            </w:pPr>
            <w:r w:rsidRPr="008C761D">
              <w:rPr>
                <w:rFonts w:cs="Calibri"/>
                <w:b/>
                <w:sz w:val="20"/>
                <w:szCs w:val="20"/>
                <w:lang w:val="en-US"/>
              </w:rPr>
              <w:t>SIGMA:</w:t>
            </w:r>
          </w:p>
        </w:tc>
        <w:tc>
          <w:tcPr>
            <w:tcW w:w="7832" w:type="dxa"/>
            <w:shd w:val="clear" w:color="auto" w:fill="DDDDDD"/>
          </w:tcPr>
          <w:p w14:paraId="138AD1B4" w14:textId="77777777" w:rsidR="0073528B" w:rsidRPr="008C761D" w:rsidRDefault="0073528B" w:rsidP="00E84CD0">
            <w:pPr>
              <w:pStyle w:val="ListParagraph"/>
              <w:tabs>
                <w:tab w:val="left" w:pos="212"/>
              </w:tabs>
              <w:spacing w:after="0" w:line="240" w:lineRule="auto"/>
              <w:ind w:left="0"/>
              <w:rPr>
                <w:rFonts w:cs="Calibri"/>
                <w:sz w:val="20"/>
                <w:szCs w:val="20"/>
                <w:lang w:val="en-US"/>
              </w:rPr>
            </w:pPr>
            <w:r w:rsidRPr="008C761D">
              <w:rPr>
                <w:rFonts w:cs="Calibri"/>
                <w:sz w:val="20"/>
                <w:szCs w:val="20"/>
                <w:lang w:val="en-US"/>
              </w:rPr>
              <w:t>Recent Report notes improvement in public debt management with the upgrading of the Public Debt Management Strategy to an independent document, separate from the Fiscal Strategy, providing data about the debt developments in the past several years, as well as targets for debt management in the medium term.</w:t>
            </w:r>
          </w:p>
          <w:p w14:paraId="4F9B9EBC" w14:textId="77777777" w:rsidR="0073528B" w:rsidRPr="008C761D" w:rsidRDefault="0073528B" w:rsidP="00E84CD0">
            <w:pPr>
              <w:pStyle w:val="ListParagraph"/>
              <w:tabs>
                <w:tab w:val="left" w:pos="122"/>
                <w:tab w:val="left" w:pos="4219"/>
              </w:tabs>
              <w:spacing w:before="120" w:line="240" w:lineRule="auto"/>
              <w:ind w:left="0"/>
              <w:rPr>
                <w:rFonts w:cs="Calibri"/>
                <w:sz w:val="20"/>
                <w:szCs w:val="20"/>
                <w:lang w:val="en-US"/>
              </w:rPr>
            </w:pPr>
            <w:r w:rsidRPr="008C761D">
              <w:rPr>
                <w:rFonts w:cs="Calibri"/>
                <w:sz w:val="20"/>
                <w:szCs w:val="20"/>
                <w:lang w:val="en-US"/>
              </w:rPr>
              <w:t>It is also stated that Annual Report on Public Debt Management is published.</w:t>
            </w:r>
          </w:p>
          <w:p w14:paraId="202582EB" w14:textId="5B1FF897" w:rsidR="0073528B" w:rsidRPr="008C761D" w:rsidRDefault="0073528B" w:rsidP="00E84CD0">
            <w:pPr>
              <w:tabs>
                <w:tab w:val="left" w:pos="851"/>
              </w:tabs>
              <w:spacing w:before="120" w:line="240" w:lineRule="auto"/>
              <w:jc w:val="both"/>
              <w:rPr>
                <w:rFonts w:cs="Calibri"/>
                <w:sz w:val="20"/>
                <w:szCs w:val="20"/>
                <w:lang w:val="en-US"/>
              </w:rPr>
            </w:pPr>
            <w:r w:rsidRPr="008C761D">
              <w:rPr>
                <w:rFonts w:cs="Calibri"/>
                <w:color w:val="000000"/>
                <w:sz w:val="20"/>
                <w:szCs w:val="20"/>
                <w:shd w:val="clear" w:color="auto" w:fill="D9D9D9"/>
                <w:lang w:val="en-US"/>
              </w:rPr>
              <w:t>Although the risk profile of the debt portfolio has improved, it is still high.</w:t>
            </w:r>
            <w:r w:rsidR="00D53B29">
              <w:rPr>
                <w:rFonts w:cs="Calibri"/>
                <w:color w:val="000000"/>
                <w:sz w:val="20"/>
                <w:szCs w:val="20"/>
                <w:shd w:val="clear" w:color="auto" w:fill="D9D9D9"/>
                <w:lang w:val="en-US"/>
              </w:rPr>
              <w:t xml:space="preserve"> </w:t>
            </w:r>
            <w:r w:rsidRPr="008C761D">
              <w:rPr>
                <w:rFonts w:cs="Calibri"/>
                <w:sz w:val="20"/>
                <w:szCs w:val="20"/>
                <w:lang w:val="en-US"/>
              </w:rPr>
              <w:t>Considering that total level of public debt has reached the maximum limit of 60% of GDP, measures to reduce the debt rate and the risk profile are called for.</w:t>
            </w:r>
          </w:p>
          <w:p w14:paraId="5A1C2512" w14:textId="77777777" w:rsidR="0073528B" w:rsidRPr="008C761D" w:rsidRDefault="0073528B" w:rsidP="00E84CD0">
            <w:pPr>
              <w:tabs>
                <w:tab w:val="left" w:pos="851"/>
              </w:tabs>
              <w:spacing w:line="240" w:lineRule="auto"/>
              <w:jc w:val="both"/>
              <w:rPr>
                <w:rFonts w:cs="Calibri"/>
                <w:sz w:val="20"/>
                <w:szCs w:val="20"/>
                <w:lang w:val="en-US"/>
              </w:rPr>
            </w:pPr>
            <w:r w:rsidRPr="008C761D">
              <w:rPr>
                <w:rFonts w:cs="Calibri"/>
                <w:sz w:val="20"/>
                <w:szCs w:val="20"/>
                <w:lang w:val="en-US"/>
              </w:rPr>
              <w:t>Within 2021 SIGMA assessment as regards public debt management, values for this indicator are as follows:</w:t>
            </w:r>
          </w:p>
          <w:p w14:paraId="04C70A1F" w14:textId="77777777" w:rsidR="0073528B" w:rsidRPr="008C761D" w:rsidRDefault="0073528B" w:rsidP="00E84CD0">
            <w:pPr>
              <w:tabs>
                <w:tab w:val="left" w:pos="851"/>
              </w:tabs>
              <w:spacing w:after="0" w:line="240" w:lineRule="auto"/>
              <w:jc w:val="both"/>
              <w:rPr>
                <w:rFonts w:cs="Calibri"/>
                <w:sz w:val="20"/>
                <w:szCs w:val="20"/>
                <w:lang w:val="en-US"/>
              </w:rPr>
            </w:pPr>
            <w:r w:rsidRPr="008C761D">
              <w:rPr>
                <w:rFonts w:cs="Calibri"/>
                <w:sz w:val="20"/>
                <w:szCs w:val="20"/>
                <w:lang w:val="en-US"/>
              </w:rPr>
              <w:t xml:space="preserve">1. </w:t>
            </w:r>
            <w:r w:rsidRPr="008C761D">
              <w:rPr>
                <w:rFonts w:cs="Calibri"/>
                <w:color w:val="000000"/>
                <w:sz w:val="20"/>
                <w:szCs w:val="20"/>
                <w:shd w:val="clear" w:color="auto" w:fill="D9D9D9"/>
                <w:lang w:val="en-US"/>
              </w:rPr>
              <w:t>Existence of requirements and limitations for borrowing in the legal framework 3/3</w:t>
            </w:r>
          </w:p>
          <w:p w14:paraId="62DBEDEC" w14:textId="77777777" w:rsidR="0073528B" w:rsidRPr="008C761D" w:rsidRDefault="0073528B" w:rsidP="00E84CD0">
            <w:pPr>
              <w:tabs>
                <w:tab w:val="left" w:pos="851"/>
              </w:tabs>
              <w:spacing w:after="0" w:line="240" w:lineRule="auto"/>
              <w:jc w:val="both"/>
              <w:rPr>
                <w:rFonts w:cs="Calibri"/>
                <w:sz w:val="20"/>
                <w:szCs w:val="20"/>
                <w:lang w:val="en-US"/>
              </w:rPr>
            </w:pPr>
            <w:r w:rsidRPr="008C761D">
              <w:rPr>
                <w:rFonts w:cs="Calibri"/>
                <w:sz w:val="20"/>
                <w:szCs w:val="20"/>
                <w:lang w:val="en-US"/>
              </w:rPr>
              <w:t xml:space="preserve">2. </w:t>
            </w:r>
            <w:r w:rsidRPr="008C761D">
              <w:rPr>
                <w:rFonts w:cs="Calibri"/>
                <w:color w:val="000000"/>
                <w:sz w:val="20"/>
                <w:szCs w:val="20"/>
                <w:shd w:val="clear" w:color="auto" w:fill="D9D9D9"/>
                <w:lang w:val="en-US"/>
              </w:rPr>
              <w:t>Existence and minimum content of a public debt management strategy 4/4</w:t>
            </w:r>
          </w:p>
          <w:p w14:paraId="2A436C73" w14:textId="77777777" w:rsidR="0073528B" w:rsidRPr="008C761D" w:rsidRDefault="0073528B" w:rsidP="00E84CD0">
            <w:pPr>
              <w:shd w:val="clear" w:color="auto" w:fill="D9D9D9"/>
              <w:tabs>
                <w:tab w:val="left" w:pos="851"/>
              </w:tabs>
              <w:spacing w:after="0" w:line="240" w:lineRule="auto"/>
              <w:jc w:val="both"/>
              <w:rPr>
                <w:rFonts w:cs="Calibri"/>
                <w:sz w:val="20"/>
                <w:szCs w:val="20"/>
                <w:lang w:val="en-US"/>
              </w:rPr>
            </w:pPr>
            <w:r w:rsidRPr="008C761D">
              <w:rPr>
                <w:rFonts w:cs="Calibri"/>
                <w:sz w:val="20"/>
                <w:szCs w:val="20"/>
                <w:lang w:val="en-US"/>
              </w:rPr>
              <w:t xml:space="preserve">3. </w:t>
            </w:r>
            <w:r w:rsidRPr="008C761D">
              <w:rPr>
                <w:rFonts w:cs="Calibri"/>
                <w:color w:val="000000"/>
                <w:sz w:val="20"/>
                <w:szCs w:val="20"/>
                <w:shd w:val="clear" w:color="auto" w:fill="D9D9D9"/>
                <w:lang w:val="en-US"/>
              </w:rPr>
              <w:t>Clarity of reporting on public debt 3/4</w:t>
            </w:r>
          </w:p>
          <w:p w14:paraId="77A438F6" w14:textId="77777777" w:rsidR="0073528B" w:rsidRPr="008C761D" w:rsidRDefault="0073528B" w:rsidP="00E84CD0">
            <w:pPr>
              <w:shd w:val="clear" w:color="auto" w:fill="D9D9D9"/>
              <w:tabs>
                <w:tab w:val="left" w:pos="851"/>
              </w:tabs>
              <w:spacing w:after="0" w:line="240" w:lineRule="auto"/>
              <w:jc w:val="both"/>
              <w:rPr>
                <w:rFonts w:cs="Calibri"/>
                <w:sz w:val="20"/>
                <w:szCs w:val="20"/>
                <w:lang w:val="en-US"/>
              </w:rPr>
            </w:pPr>
            <w:r w:rsidRPr="008C761D">
              <w:rPr>
                <w:rFonts w:cs="Calibri"/>
                <w:sz w:val="20"/>
                <w:szCs w:val="20"/>
                <w:lang w:val="en-US"/>
              </w:rPr>
              <w:t xml:space="preserve">4. </w:t>
            </w:r>
            <w:r w:rsidRPr="008C761D">
              <w:rPr>
                <w:rFonts w:cs="Calibri"/>
                <w:color w:val="000000"/>
                <w:sz w:val="20"/>
                <w:szCs w:val="20"/>
                <w:shd w:val="clear" w:color="auto" w:fill="D9D9D9"/>
                <w:lang w:val="en-US"/>
              </w:rPr>
              <w:t>Risk mitigation in the stock of public debt 1/6</w:t>
            </w:r>
          </w:p>
          <w:p w14:paraId="722A369E" w14:textId="77777777" w:rsidR="004A5321" w:rsidRPr="008C761D" w:rsidRDefault="0073528B" w:rsidP="00E84CD0">
            <w:pPr>
              <w:shd w:val="clear" w:color="auto" w:fill="D9D9D9"/>
              <w:tabs>
                <w:tab w:val="left" w:pos="851"/>
              </w:tabs>
              <w:spacing w:after="0" w:line="240" w:lineRule="auto"/>
              <w:jc w:val="both"/>
              <w:rPr>
                <w:rFonts w:cs="Calibri"/>
                <w:sz w:val="20"/>
                <w:szCs w:val="20"/>
                <w:lang w:val="en-US"/>
              </w:rPr>
            </w:pPr>
            <w:r w:rsidRPr="008C761D">
              <w:rPr>
                <w:rFonts w:cs="Calibri"/>
                <w:sz w:val="20"/>
                <w:szCs w:val="20"/>
                <w:lang w:val="en-US"/>
              </w:rPr>
              <w:t xml:space="preserve">5. </w:t>
            </w:r>
            <w:r w:rsidRPr="008C761D">
              <w:rPr>
                <w:rFonts w:cs="Calibri"/>
                <w:color w:val="000000"/>
                <w:sz w:val="20"/>
                <w:szCs w:val="20"/>
                <w:shd w:val="clear" w:color="auto" w:fill="D9D9D9"/>
                <w:lang w:val="en-US"/>
              </w:rPr>
              <w:t>Difference between public sector debt outturn from target (%) 3/3</w:t>
            </w:r>
          </w:p>
          <w:p w14:paraId="587E31F9" w14:textId="77777777" w:rsidR="0073528B" w:rsidRPr="008C761D" w:rsidRDefault="0073528B" w:rsidP="00E84CD0">
            <w:pPr>
              <w:shd w:val="clear" w:color="auto" w:fill="D9D9D9"/>
              <w:tabs>
                <w:tab w:val="left" w:pos="851"/>
              </w:tabs>
              <w:spacing w:after="0" w:line="240" w:lineRule="auto"/>
              <w:jc w:val="both"/>
              <w:rPr>
                <w:rFonts w:cs="Calibri"/>
                <w:sz w:val="20"/>
                <w:szCs w:val="20"/>
                <w:lang w:val="en-US"/>
              </w:rPr>
            </w:pPr>
            <w:r w:rsidRPr="008C761D">
              <w:rPr>
                <w:rFonts w:cs="Calibri"/>
                <w:sz w:val="20"/>
                <w:szCs w:val="20"/>
                <w:lang w:val="en-US"/>
              </w:rPr>
              <w:t xml:space="preserve">6. </w:t>
            </w:r>
            <w:r w:rsidRPr="008C761D">
              <w:rPr>
                <w:rFonts w:cs="Calibri"/>
                <w:color w:val="000000"/>
                <w:sz w:val="20"/>
                <w:szCs w:val="20"/>
                <w:shd w:val="clear" w:color="auto" w:fill="D9D9D9"/>
                <w:lang w:val="en-US"/>
              </w:rPr>
              <w:t>Public debt as a share of GDP (%) 2/2</w:t>
            </w:r>
          </w:p>
        </w:tc>
      </w:tr>
    </w:tbl>
    <w:p w14:paraId="49F64A27"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Context/Background</w:t>
      </w:r>
    </w:p>
    <w:p w14:paraId="0887956F" w14:textId="251C7A9E" w:rsidR="0073528B" w:rsidRPr="008C761D" w:rsidRDefault="0073528B" w:rsidP="00E84CD0">
      <w:pPr>
        <w:pStyle w:val="NormalPFM1"/>
        <w:spacing w:line="240" w:lineRule="auto"/>
        <w:rPr>
          <w:rFonts w:cs="Calibri"/>
          <w:bCs/>
          <w:iCs/>
          <w:color w:val="000000"/>
          <w:sz w:val="22"/>
          <w:szCs w:val="22"/>
          <w:lang w:val="en-US"/>
        </w:rPr>
      </w:pPr>
      <w:r w:rsidRPr="008C761D">
        <w:rPr>
          <w:rFonts w:cs="Calibri"/>
          <w:bCs/>
          <w:iCs/>
          <w:color w:val="000000"/>
          <w:sz w:val="22"/>
          <w:szCs w:val="22"/>
          <w:lang w:val="en-US"/>
        </w:rPr>
        <w:t>Risk management policy is of crucial importance for public debt management, being the main link between the proposing, designing, adopting and implementing the Public Debt Management Strategy.</w:t>
      </w:r>
      <w:r w:rsidR="00D53B29">
        <w:rPr>
          <w:rFonts w:cs="Calibri"/>
          <w:bCs/>
          <w:iCs/>
          <w:color w:val="000000"/>
          <w:sz w:val="22"/>
          <w:szCs w:val="22"/>
          <w:lang w:val="en-US"/>
        </w:rPr>
        <w:t xml:space="preserve"> </w:t>
      </w:r>
      <w:r w:rsidRPr="008C761D">
        <w:rPr>
          <w:rFonts w:cs="Calibri"/>
          <w:bCs/>
          <w:iCs/>
          <w:color w:val="000000"/>
          <w:sz w:val="22"/>
          <w:szCs w:val="22"/>
          <w:lang w:val="en-US"/>
        </w:rPr>
        <w:t>Settlement risk occurs if numerous non-automated activities are used during data processing, while error risk is closely related to the manner of segregating the tasks related to execution of transactions and their settlement across the units within the institution in charge of debt management.</w:t>
      </w:r>
      <w:r w:rsidR="00D53B29">
        <w:rPr>
          <w:rFonts w:cs="Calibri"/>
          <w:bCs/>
          <w:iCs/>
          <w:color w:val="000000"/>
          <w:sz w:val="22"/>
          <w:szCs w:val="22"/>
          <w:lang w:val="en-US"/>
        </w:rPr>
        <w:t xml:space="preserve"> </w:t>
      </w:r>
      <w:r w:rsidRPr="008C761D">
        <w:rPr>
          <w:rFonts w:cs="Calibri"/>
          <w:bCs/>
          <w:iCs/>
          <w:color w:val="000000"/>
          <w:sz w:val="22"/>
          <w:szCs w:val="22"/>
          <w:lang w:val="en-US"/>
        </w:rPr>
        <w:t>Public debt management is carried out by an IT system and adequate software platform, thus significantly reducing the risk of human errors.</w:t>
      </w:r>
    </w:p>
    <w:p w14:paraId="547C7FF1" w14:textId="77777777" w:rsidR="0073528B" w:rsidRPr="008C761D" w:rsidRDefault="0073528B" w:rsidP="00E84CD0">
      <w:pPr>
        <w:pStyle w:val="NormalPFM1"/>
        <w:spacing w:line="240" w:lineRule="auto"/>
        <w:rPr>
          <w:rFonts w:cs="Calibri"/>
          <w:bCs/>
          <w:iCs/>
          <w:color w:val="000000"/>
          <w:sz w:val="22"/>
          <w:szCs w:val="22"/>
          <w:lang w:val="en-US"/>
        </w:rPr>
      </w:pPr>
      <w:r w:rsidRPr="008C761D">
        <w:rPr>
          <w:rFonts w:cs="Calibri"/>
          <w:bCs/>
          <w:iCs/>
          <w:color w:val="000000"/>
          <w:sz w:val="22"/>
          <w:szCs w:val="22"/>
          <w:lang w:val="en-US"/>
        </w:rPr>
        <w:t>Moreover, under the WB Debt Management Performance Assessment, indicators for assessment of the Strategy recommend for an annual plan on borrowing to be prepared as part of the budget process, which is to be aligned with the Public Debt Management Strategy, which is a medium-term document.</w:t>
      </w:r>
    </w:p>
    <w:p w14:paraId="4745185E" w14:textId="500A88D5" w:rsidR="0073528B" w:rsidRPr="008C761D" w:rsidRDefault="0073528B" w:rsidP="00E84CD0">
      <w:pPr>
        <w:pStyle w:val="NormalPFM1"/>
        <w:spacing w:line="240" w:lineRule="auto"/>
        <w:rPr>
          <w:rFonts w:cs="Calibri"/>
          <w:sz w:val="22"/>
          <w:szCs w:val="22"/>
          <w:lang w:val="en-US"/>
        </w:rPr>
      </w:pPr>
      <w:r w:rsidRPr="008C761D">
        <w:rPr>
          <w:rFonts w:cs="Calibri"/>
          <w:sz w:val="22"/>
          <w:szCs w:val="22"/>
          <w:lang w:val="en-US"/>
        </w:rPr>
        <w:t>It is necessary to reduce the operational risk of payment.</w:t>
      </w:r>
      <w:r w:rsidR="00D53B29">
        <w:rPr>
          <w:rFonts w:cs="Calibri"/>
          <w:sz w:val="22"/>
          <w:szCs w:val="22"/>
          <w:lang w:val="en-US"/>
        </w:rPr>
        <w:t xml:space="preserve"> </w:t>
      </w:r>
      <w:r w:rsidRPr="008C761D">
        <w:rPr>
          <w:rFonts w:cs="Calibri"/>
          <w:sz w:val="22"/>
          <w:szCs w:val="22"/>
          <w:lang w:val="en-US"/>
        </w:rPr>
        <w:t>This need has become even greater with the entry into force of pandemic prevention measures, with the remote working making the process digitalization all the more important.</w:t>
      </w:r>
      <w:r w:rsidR="00D53B29">
        <w:rPr>
          <w:rFonts w:cs="Calibri"/>
          <w:sz w:val="22"/>
          <w:szCs w:val="22"/>
          <w:lang w:val="en-US"/>
        </w:rPr>
        <w:t xml:space="preserve"> </w:t>
      </w:r>
      <w:r w:rsidRPr="008C761D">
        <w:rPr>
          <w:rFonts w:cs="Calibri"/>
          <w:sz w:val="22"/>
          <w:szCs w:val="22"/>
          <w:lang w:val="en-US"/>
        </w:rPr>
        <w:t>Furthermore, it is required to improve the planning process in the field of public debt management, i.e. to present the time frame in which the government plans to borrow.</w:t>
      </w:r>
      <w:r w:rsidR="00D53B29">
        <w:rPr>
          <w:rFonts w:cs="Calibri"/>
          <w:sz w:val="22"/>
          <w:szCs w:val="22"/>
          <w:lang w:val="en-US"/>
        </w:rPr>
        <w:t xml:space="preserve"> </w:t>
      </w:r>
      <w:r w:rsidRPr="008C761D">
        <w:rPr>
          <w:rFonts w:cs="Calibri"/>
          <w:sz w:val="22"/>
          <w:szCs w:val="22"/>
          <w:lang w:val="en-US"/>
        </w:rPr>
        <w:t>In addition, risk</w:t>
      </w:r>
      <w:r w:rsidR="00D53B29">
        <w:rPr>
          <w:rFonts w:cs="Calibri"/>
          <w:sz w:val="22"/>
          <w:szCs w:val="22"/>
          <w:lang w:val="en-US"/>
        </w:rPr>
        <w:t xml:space="preserve"> </w:t>
      </w:r>
      <w:r w:rsidRPr="008C761D">
        <w:rPr>
          <w:rFonts w:cs="Calibri"/>
          <w:sz w:val="22"/>
          <w:szCs w:val="22"/>
          <w:lang w:val="en-US"/>
        </w:rPr>
        <w:t>of uninterrupted processes is perceived in the Ministry of Finance due to outflow of staff.</w:t>
      </w:r>
    </w:p>
    <w:p w14:paraId="40C4A37E" w14:textId="23FE9CD0" w:rsidR="0073528B" w:rsidRPr="000A5366" w:rsidRDefault="0073528B" w:rsidP="007E06BA">
      <w:pPr>
        <w:spacing w:line="240" w:lineRule="auto"/>
        <w:jc w:val="both"/>
        <w:rPr>
          <w:rFonts w:eastAsia="MS PGothic" w:cs="Calibri"/>
          <w:b/>
          <w:bCs/>
          <w:iCs/>
          <w:color w:val="0070C0"/>
          <w:lang w:val="en-US" w:eastAsia="zh-CN"/>
        </w:rPr>
      </w:pPr>
      <w:r w:rsidRPr="000A5366">
        <w:rPr>
          <w:rFonts w:eastAsia="MS PGothic" w:cs="Calibri"/>
          <w:b/>
          <w:bCs/>
          <w:iCs/>
          <w:color w:val="0070C0"/>
          <w:lang w:val="en-US" w:eastAsia="zh-CN"/>
        </w:rPr>
        <w:t>Activity 1:</w:t>
      </w:r>
      <w:r w:rsidR="00CA0BA6" w:rsidRPr="000A5366">
        <w:rPr>
          <w:rFonts w:eastAsia="MS PGothic" w:cs="Calibri"/>
          <w:b/>
          <w:bCs/>
          <w:iCs/>
          <w:color w:val="0070C0"/>
          <w:lang w:val="en-US" w:eastAsia="zh-CN"/>
        </w:rPr>
        <w:t xml:space="preserve"> </w:t>
      </w:r>
      <w:r w:rsidRPr="000A5366">
        <w:rPr>
          <w:rFonts w:eastAsia="MS PGothic" w:cs="Calibri"/>
          <w:b/>
          <w:bCs/>
          <w:iCs/>
          <w:color w:val="0070C0"/>
          <w:lang w:val="en-US" w:eastAsia="zh-CN"/>
        </w:rPr>
        <w:t>Introducing e-banking with NBRNM for external debt repayment</w:t>
      </w:r>
    </w:p>
    <w:p w14:paraId="52C0EE57" w14:textId="77777777" w:rsidR="004E1E75" w:rsidRPr="008C761D" w:rsidRDefault="004E1E75" w:rsidP="004E1E75">
      <w:pPr>
        <w:spacing w:line="240" w:lineRule="auto"/>
        <w:jc w:val="both"/>
        <w:rPr>
          <w:rFonts w:cs="Calibri"/>
          <w:lang w:val="en-US"/>
        </w:rPr>
      </w:pPr>
      <w:r w:rsidRPr="008C761D">
        <w:rPr>
          <w:rFonts w:cs="Calibri"/>
          <w:lang w:val="en-US"/>
        </w:rPr>
        <w:lastRenderedPageBreak/>
        <w:t>Recording and monitoring debt management transactions are essential for ensuring accuracy of debt records and for detecting error and fraud. Payments processes must also include safeguards to ensure that they are timely and accurate. For reducing the operational risks, and by following the digitalization trends of foreign payment operations, it is necessary to introduce digitalized payments towards foreign creditors, by introducing electronic banking with NBRNM, through which repayments to foreign creditors are being made.</w:t>
      </w:r>
    </w:p>
    <w:p w14:paraId="4E846A14" w14:textId="2200D8B2" w:rsidR="0073528B" w:rsidRPr="000A5366" w:rsidRDefault="0073528B" w:rsidP="000A5366">
      <w:pPr>
        <w:spacing w:line="240" w:lineRule="auto"/>
        <w:jc w:val="both"/>
        <w:rPr>
          <w:rFonts w:eastAsia="MS PGothic" w:cs="Calibri"/>
          <w:b/>
          <w:bCs/>
          <w:iCs/>
          <w:color w:val="0070C0"/>
          <w:lang w:val="en-US" w:eastAsia="zh-CN"/>
        </w:rPr>
      </w:pPr>
      <w:r w:rsidRPr="000A5366">
        <w:rPr>
          <w:rFonts w:eastAsia="MS PGothic" w:cs="Calibri"/>
          <w:b/>
          <w:bCs/>
          <w:iCs/>
          <w:color w:val="0070C0"/>
          <w:lang w:val="en-US" w:eastAsia="zh-CN"/>
        </w:rPr>
        <w:t>Activity 2:</w:t>
      </w:r>
      <w:r w:rsidR="00CA0BA6" w:rsidRPr="000A5366">
        <w:rPr>
          <w:rFonts w:eastAsia="MS PGothic" w:cs="Calibri"/>
          <w:b/>
          <w:bCs/>
          <w:iCs/>
          <w:color w:val="0070C0"/>
          <w:lang w:val="en-US" w:eastAsia="zh-CN"/>
        </w:rPr>
        <w:t xml:space="preserve"> </w:t>
      </w:r>
      <w:r w:rsidRPr="000A5366">
        <w:rPr>
          <w:rFonts w:eastAsia="MS PGothic" w:cs="Calibri"/>
          <w:b/>
          <w:bCs/>
          <w:iCs/>
          <w:color w:val="0070C0"/>
          <w:lang w:val="en-US" w:eastAsia="zh-CN"/>
        </w:rPr>
        <w:t>Strengthening public debt management capacities</w:t>
      </w:r>
    </w:p>
    <w:p w14:paraId="48E65F60" w14:textId="1353E46F" w:rsidR="00CB0BA7" w:rsidRPr="008C761D" w:rsidRDefault="0073528B" w:rsidP="00E84CD0">
      <w:pPr>
        <w:spacing w:line="240" w:lineRule="auto"/>
        <w:jc w:val="both"/>
        <w:rPr>
          <w:rFonts w:cs="Calibri"/>
          <w:lang w:val="en-US"/>
        </w:rPr>
      </w:pPr>
      <w:r w:rsidRPr="008C761D">
        <w:rPr>
          <w:rFonts w:cs="Calibri"/>
          <w:lang w:val="en-US"/>
        </w:rPr>
        <w:t>To the end of strengthening public debt management, Ministry of Finance needs to strengthen the public debt capacities by employing, as well as training the existing staff.</w:t>
      </w:r>
      <w:r w:rsidR="00D53B29">
        <w:rPr>
          <w:rFonts w:cs="Calibri"/>
          <w:lang w:val="en-US"/>
        </w:rPr>
        <w:t xml:space="preserve"> </w:t>
      </w:r>
      <w:r w:rsidRPr="008C761D">
        <w:rPr>
          <w:rFonts w:cs="Calibri"/>
          <w:lang w:val="en-US"/>
        </w:rPr>
        <w:t>Operational risk will be reduced only through a sustainable human resources framework, i.e. the risk of untimely completion of tasks will be avoided.</w:t>
      </w:r>
    </w:p>
    <w:p w14:paraId="48E5C51C" w14:textId="4F5679FC" w:rsidR="0073528B" w:rsidRPr="000A5366" w:rsidRDefault="0073528B" w:rsidP="000A5366">
      <w:pPr>
        <w:spacing w:line="240" w:lineRule="auto"/>
        <w:jc w:val="both"/>
        <w:rPr>
          <w:rFonts w:eastAsia="MS PGothic" w:cs="Calibri"/>
          <w:b/>
          <w:bCs/>
          <w:iCs/>
          <w:color w:val="0070C0"/>
          <w:lang w:val="en-US" w:eastAsia="zh-CN"/>
        </w:rPr>
      </w:pPr>
      <w:r w:rsidRPr="000A5366">
        <w:rPr>
          <w:rFonts w:eastAsia="MS PGothic" w:cs="Calibri"/>
          <w:b/>
          <w:bCs/>
          <w:iCs/>
          <w:color w:val="0070C0"/>
          <w:lang w:val="en-US" w:eastAsia="zh-CN"/>
        </w:rPr>
        <w:t>Activity 3:</w:t>
      </w:r>
      <w:r w:rsidR="00CA0BA6" w:rsidRPr="000A5366">
        <w:rPr>
          <w:rFonts w:eastAsia="MS PGothic" w:cs="Calibri"/>
          <w:b/>
          <w:bCs/>
          <w:iCs/>
          <w:color w:val="0070C0"/>
          <w:lang w:val="en-US" w:eastAsia="zh-CN"/>
        </w:rPr>
        <w:t xml:space="preserve"> </w:t>
      </w:r>
      <w:r w:rsidRPr="000A5366">
        <w:rPr>
          <w:rFonts w:eastAsia="MS PGothic" w:cs="Calibri"/>
          <w:b/>
          <w:bCs/>
          <w:iCs/>
          <w:color w:val="0070C0"/>
          <w:lang w:val="en-US" w:eastAsia="zh-CN"/>
        </w:rPr>
        <w:t>Reconciling the debt stock with the creditors</w:t>
      </w:r>
    </w:p>
    <w:p w14:paraId="31C797D8" w14:textId="017742DC" w:rsidR="0073528B" w:rsidRPr="008C761D" w:rsidRDefault="0073528B" w:rsidP="00E84CD0">
      <w:pPr>
        <w:spacing w:before="120" w:line="240" w:lineRule="auto"/>
        <w:jc w:val="both"/>
        <w:rPr>
          <w:rFonts w:cs="Calibri"/>
          <w:lang w:val="en-US"/>
        </w:rPr>
      </w:pPr>
      <w:r w:rsidRPr="008C761D">
        <w:rPr>
          <w:rFonts w:cs="Calibri"/>
          <w:lang w:val="en-US"/>
        </w:rPr>
        <w:t>Ministry of Finance will develop a procedure that will formally regulate the process of reconciling the debt stock with the creditors. Reconciliation with creditors is carried out</w:t>
      </w:r>
      <w:r w:rsidR="00D53B29">
        <w:rPr>
          <w:rFonts w:cs="Calibri"/>
          <w:lang w:val="en-US"/>
        </w:rPr>
        <w:t xml:space="preserve"> </w:t>
      </w:r>
      <w:r w:rsidR="004B4957" w:rsidRPr="008C761D">
        <w:rPr>
          <w:rFonts w:cs="Calibri"/>
          <w:lang w:val="en-US"/>
        </w:rPr>
        <w:t>quarterly or monthly</w:t>
      </w:r>
      <w:r w:rsidRPr="008C761D">
        <w:rPr>
          <w:rFonts w:cs="Calibri"/>
          <w:lang w:val="en-US"/>
        </w:rPr>
        <w:t>, but it is necessary to design a procedure for a more frequent reconciliation of the debt stock with the creditors.</w:t>
      </w:r>
    </w:p>
    <w:p w14:paraId="5118F6AF"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8C761D" w14:paraId="34FDA6B0" w14:textId="77777777" w:rsidTr="00F87FA1">
        <w:tc>
          <w:tcPr>
            <w:tcW w:w="2518" w:type="dxa"/>
            <w:tcBorders>
              <w:top w:val="nil"/>
              <w:bottom w:val="single" w:sz="4" w:space="0" w:color="FFFFFF"/>
            </w:tcBorders>
            <w:shd w:val="clear" w:color="auto" w:fill="2F5496"/>
          </w:tcPr>
          <w:p w14:paraId="45BC80C6" w14:textId="77777777" w:rsidR="0073528B" w:rsidRPr="008C761D" w:rsidRDefault="0073528B" w:rsidP="00E84CD0">
            <w:pPr>
              <w:tabs>
                <w:tab w:val="left" w:pos="1526"/>
              </w:tabs>
              <w:spacing w:after="0" w:line="240" w:lineRule="auto"/>
              <w:jc w:val="both"/>
              <w:rPr>
                <w:rFonts w:cs="Calibri"/>
                <w:b/>
                <w:color w:val="FFFFFF"/>
                <w:sz w:val="20"/>
                <w:szCs w:val="20"/>
                <w:lang w:val="en-US"/>
              </w:rPr>
            </w:pPr>
            <w:r w:rsidRPr="008C761D">
              <w:rPr>
                <w:rFonts w:cs="Calibri"/>
                <w:b/>
                <w:color w:val="FFFFFF"/>
                <w:sz w:val="20"/>
                <w:szCs w:val="20"/>
                <w:lang w:val="en-US"/>
              </w:rPr>
              <w:t>Completed in year:</w:t>
            </w:r>
            <w:r w:rsidRPr="008C761D">
              <w:rPr>
                <w:rFonts w:cs="Calibri"/>
                <w:b/>
                <w:color w:val="FFFFFF"/>
                <w:sz w:val="20"/>
                <w:szCs w:val="20"/>
                <w:lang w:val="en-US"/>
              </w:rPr>
              <w:tab/>
            </w:r>
          </w:p>
        </w:tc>
        <w:tc>
          <w:tcPr>
            <w:tcW w:w="6246" w:type="dxa"/>
            <w:tcBorders>
              <w:top w:val="nil"/>
              <w:bottom w:val="single" w:sz="4" w:space="0" w:color="FFFFFF"/>
            </w:tcBorders>
            <w:shd w:val="clear" w:color="auto" w:fill="D9E2F3"/>
          </w:tcPr>
          <w:p w14:paraId="6BA506AA" w14:textId="33DF6958" w:rsidR="0073528B" w:rsidRPr="008C761D" w:rsidRDefault="0073528B"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696C29" w:rsidRPr="008C761D">
              <w:rPr>
                <w:rFonts w:cs="Calibri"/>
                <w:sz w:val="20"/>
                <w:szCs w:val="20"/>
                <w:lang w:val="en-US"/>
              </w:rPr>
              <w:t>7</w:t>
            </w:r>
          </w:p>
        </w:tc>
      </w:tr>
      <w:tr w:rsidR="0073528B" w:rsidRPr="008C761D" w14:paraId="14A6A35F" w14:textId="77777777" w:rsidTr="00F87FA1">
        <w:tc>
          <w:tcPr>
            <w:tcW w:w="2518" w:type="dxa"/>
            <w:tcBorders>
              <w:top w:val="single" w:sz="4" w:space="0" w:color="FFFFFF"/>
              <w:bottom w:val="single" w:sz="4" w:space="0" w:color="FFFFFF"/>
            </w:tcBorders>
            <w:shd w:val="clear" w:color="auto" w:fill="2F5496"/>
          </w:tcPr>
          <w:p w14:paraId="01F07C64"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01E0C2A0" w14:textId="77777777" w:rsidR="0073528B" w:rsidRPr="008C761D" w:rsidRDefault="0073528B" w:rsidP="0004385D">
            <w:pPr>
              <w:pStyle w:val="ListParagraph"/>
              <w:numPr>
                <w:ilvl w:val="0"/>
                <w:numId w:val="20"/>
              </w:numPr>
              <w:spacing w:after="0" w:line="240" w:lineRule="auto"/>
              <w:ind w:left="183" w:hanging="226"/>
              <w:rPr>
                <w:rFonts w:cs="Calibri"/>
                <w:sz w:val="20"/>
                <w:szCs w:val="20"/>
                <w:lang w:val="en-US"/>
              </w:rPr>
            </w:pPr>
            <w:r w:rsidRPr="008C761D">
              <w:rPr>
                <w:rFonts w:cs="Calibri"/>
                <w:sz w:val="20"/>
                <w:szCs w:val="20"/>
                <w:lang w:val="en-US"/>
              </w:rPr>
              <w:t>Increased number of external debt orders paid electronically</w:t>
            </w:r>
            <w:r w:rsidR="00775A75" w:rsidRPr="008C761D">
              <w:rPr>
                <w:rFonts w:cs="Calibri"/>
                <w:sz w:val="20"/>
                <w:szCs w:val="20"/>
                <w:lang w:val="en-US"/>
              </w:rPr>
              <w:t>;</w:t>
            </w:r>
          </w:p>
          <w:p w14:paraId="269733BE" w14:textId="77777777" w:rsidR="0073528B" w:rsidRPr="008C761D" w:rsidRDefault="0073528B" w:rsidP="0004385D">
            <w:pPr>
              <w:pStyle w:val="ListParagraph"/>
              <w:numPr>
                <w:ilvl w:val="0"/>
                <w:numId w:val="20"/>
              </w:numPr>
              <w:spacing w:after="0" w:line="240" w:lineRule="auto"/>
              <w:ind w:left="183" w:hanging="226"/>
              <w:rPr>
                <w:rFonts w:cs="Calibri"/>
                <w:sz w:val="20"/>
                <w:szCs w:val="20"/>
                <w:lang w:val="en-US"/>
              </w:rPr>
            </w:pPr>
            <w:r w:rsidRPr="008C761D">
              <w:rPr>
                <w:rFonts w:cs="Calibri"/>
                <w:sz w:val="20"/>
                <w:szCs w:val="20"/>
                <w:lang w:val="en-US"/>
              </w:rPr>
              <w:t>Increase</w:t>
            </w:r>
            <w:r w:rsidR="00775A75" w:rsidRPr="008C761D">
              <w:rPr>
                <w:rFonts w:cs="Calibri"/>
                <w:sz w:val="20"/>
                <w:szCs w:val="20"/>
                <w:lang w:val="en-US"/>
              </w:rPr>
              <w:t>d</w:t>
            </w:r>
            <w:r w:rsidRPr="008C761D">
              <w:rPr>
                <w:rFonts w:cs="Calibri"/>
                <w:sz w:val="20"/>
                <w:szCs w:val="20"/>
                <w:lang w:val="en-US"/>
              </w:rPr>
              <w:t xml:space="preserve"> number of employees in the Department</w:t>
            </w:r>
            <w:r w:rsidR="00775A75" w:rsidRPr="008C761D">
              <w:rPr>
                <w:rFonts w:cs="Calibri"/>
                <w:sz w:val="20"/>
                <w:szCs w:val="20"/>
                <w:lang w:val="en-US"/>
              </w:rPr>
              <w:t>;</w:t>
            </w:r>
          </w:p>
          <w:p w14:paraId="11A8D2AB" w14:textId="77777777" w:rsidR="0073528B" w:rsidRPr="008C761D" w:rsidRDefault="0073528B" w:rsidP="0004385D">
            <w:pPr>
              <w:pStyle w:val="ListParagraph"/>
              <w:numPr>
                <w:ilvl w:val="0"/>
                <w:numId w:val="20"/>
              </w:numPr>
              <w:spacing w:after="0" w:line="240" w:lineRule="auto"/>
              <w:ind w:left="183" w:hanging="226"/>
              <w:rPr>
                <w:rFonts w:cs="Calibri"/>
                <w:sz w:val="20"/>
                <w:szCs w:val="20"/>
                <w:lang w:val="en-US"/>
              </w:rPr>
            </w:pPr>
            <w:r w:rsidRPr="008C761D">
              <w:rPr>
                <w:rFonts w:cs="Calibri"/>
                <w:sz w:val="20"/>
                <w:szCs w:val="20"/>
                <w:lang w:val="en-US"/>
              </w:rPr>
              <w:t>Prepared procedure for quarterly reconciliation of the debt with the foreign creditors</w:t>
            </w:r>
            <w:r w:rsidR="00775A75" w:rsidRPr="008C761D">
              <w:rPr>
                <w:rFonts w:cs="Calibri"/>
                <w:sz w:val="20"/>
                <w:szCs w:val="20"/>
                <w:lang w:val="en-US"/>
              </w:rPr>
              <w:t>;</w:t>
            </w:r>
          </w:p>
        </w:tc>
      </w:tr>
      <w:tr w:rsidR="0073528B" w:rsidRPr="008C761D" w14:paraId="779CF733" w14:textId="77777777" w:rsidTr="00F87FA1">
        <w:tc>
          <w:tcPr>
            <w:tcW w:w="2518" w:type="dxa"/>
            <w:tcBorders>
              <w:top w:val="single" w:sz="4" w:space="0" w:color="FFFFFF"/>
              <w:bottom w:val="single" w:sz="4" w:space="0" w:color="FFFFFF"/>
            </w:tcBorders>
            <w:shd w:val="clear" w:color="auto" w:fill="2F5496"/>
          </w:tcPr>
          <w:p w14:paraId="57D61E4B"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b/>
                <w:color w:val="FFFFFF"/>
                <w:sz w:val="20"/>
                <w:szCs w:val="20"/>
                <w:lang w:val="en-US"/>
              </w:rPr>
              <w:tab/>
            </w:r>
          </w:p>
        </w:tc>
        <w:tc>
          <w:tcPr>
            <w:tcW w:w="6246" w:type="dxa"/>
            <w:tcBorders>
              <w:top w:val="single" w:sz="4" w:space="0" w:color="FFFFFF"/>
              <w:bottom w:val="single" w:sz="4" w:space="0" w:color="FFFFFF"/>
            </w:tcBorders>
            <w:shd w:val="clear" w:color="auto" w:fill="D9E2F3"/>
          </w:tcPr>
          <w:p w14:paraId="4C551895" w14:textId="77777777" w:rsidR="0073528B" w:rsidRPr="008C761D" w:rsidRDefault="00A9690C" w:rsidP="0004385D">
            <w:pPr>
              <w:tabs>
                <w:tab w:val="left" w:pos="1526"/>
              </w:tabs>
              <w:spacing w:after="0" w:line="240" w:lineRule="auto"/>
              <w:ind w:left="183" w:hanging="226"/>
              <w:jc w:val="both"/>
              <w:rPr>
                <w:rFonts w:cs="Calibri"/>
                <w:sz w:val="20"/>
                <w:szCs w:val="20"/>
                <w:lang w:val="en-US"/>
              </w:rPr>
            </w:pPr>
            <w:r w:rsidRPr="008C761D">
              <w:rPr>
                <w:rFonts w:cs="Calibri"/>
                <w:sz w:val="20"/>
                <w:szCs w:val="20"/>
                <w:lang w:val="en-US"/>
              </w:rPr>
              <w:t xml:space="preserve">EUR </w:t>
            </w:r>
            <w:r w:rsidR="00775A75" w:rsidRPr="008C761D">
              <w:rPr>
                <w:rFonts w:cs="Calibri"/>
                <w:sz w:val="20"/>
                <w:szCs w:val="20"/>
                <w:lang w:val="en-US"/>
              </w:rPr>
              <w:t xml:space="preserve">124,000 </w:t>
            </w:r>
          </w:p>
        </w:tc>
      </w:tr>
      <w:tr w:rsidR="0073528B" w:rsidRPr="008C761D" w14:paraId="61DF8814" w14:textId="77777777" w:rsidTr="00F87FA1">
        <w:tc>
          <w:tcPr>
            <w:tcW w:w="2518" w:type="dxa"/>
            <w:tcBorders>
              <w:top w:val="single" w:sz="4" w:space="0" w:color="FFFFFF"/>
              <w:bottom w:val="single" w:sz="4" w:space="0" w:color="FFFFFF"/>
            </w:tcBorders>
            <w:shd w:val="clear" w:color="auto" w:fill="2F5496"/>
          </w:tcPr>
          <w:p w14:paraId="5BC44F05"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15185773" w14:textId="59C4B2DE" w:rsidR="0073528B" w:rsidRPr="008C761D" w:rsidRDefault="00FA0745" w:rsidP="0004385D">
            <w:pPr>
              <w:tabs>
                <w:tab w:val="left" w:pos="4219"/>
              </w:tabs>
              <w:spacing w:after="0" w:line="240" w:lineRule="auto"/>
              <w:ind w:left="183" w:hanging="226"/>
              <w:jc w:val="both"/>
              <w:rPr>
                <w:rFonts w:cs="Calibri"/>
                <w:sz w:val="20"/>
                <w:szCs w:val="20"/>
                <w:lang w:val="en-US"/>
              </w:rPr>
            </w:pPr>
            <w:r>
              <w:rPr>
                <w:rFonts w:cs="Calibri"/>
                <w:sz w:val="20"/>
                <w:szCs w:val="20"/>
                <w:lang w:val="en-US"/>
              </w:rPr>
              <w:t xml:space="preserve">- Mof </w:t>
            </w:r>
            <w:r w:rsidR="0073528B" w:rsidRPr="008C761D">
              <w:rPr>
                <w:rFonts w:cs="Calibri"/>
                <w:sz w:val="20"/>
                <w:szCs w:val="20"/>
                <w:lang w:val="en-US"/>
              </w:rPr>
              <w:t>Public Debt Management Department</w:t>
            </w:r>
          </w:p>
        </w:tc>
      </w:tr>
      <w:tr w:rsidR="0073528B" w:rsidRPr="008C761D" w14:paraId="686F1AE4" w14:textId="77777777" w:rsidTr="00F87FA1">
        <w:tc>
          <w:tcPr>
            <w:tcW w:w="2518" w:type="dxa"/>
            <w:tcBorders>
              <w:top w:val="single" w:sz="4" w:space="0" w:color="FFFFFF"/>
              <w:bottom w:val="nil"/>
            </w:tcBorders>
            <w:shd w:val="clear" w:color="auto" w:fill="2F5496"/>
          </w:tcPr>
          <w:p w14:paraId="57745509"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24EF1815" w14:textId="77777777" w:rsidR="0073528B" w:rsidRPr="008C761D" w:rsidRDefault="0073528B" w:rsidP="0004385D">
            <w:pPr>
              <w:pStyle w:val="ListParagraph"/>
              <w:numPr>
                <w:ilvl w:val="0"/>
                <w:numId w:val="21"/>
              </w:numPr>
              <w:tabs>
                <w:tab w:val="left" w:pos="0"/>
              </w:tabs>
              <w:spacing w:after="0" w:line="240" w:lineRule="auto"/>
              <w:ind w:left="183" w:hanging="226"/>
              <w:rPr>
                <w:rFonts w:cs="Calibri"/>
                <w:sz w:val="20"/>
                <w:szCs w:val="20"/>
                <w:lang w:val="en-US"/>
              </w:rPr>
            </w:pPr>
            <w:r w:rsidRPr="008C761D">
              <w:rPr>
                <w:rFonts w:cs="Calibri"/>
                <w:sz w:val="20"/>
                <w:szCs w:val="20"/>
                <w:lang w:val="en-US"/>
              </w:rPr>
              <w:t>Externalities which can cause a deterioration of the international standing of the Government’s debt</w:t>
            </w:r>
            <w:r w:rsidR="00775A75" w:rsidRPr="008C761D">
              <w:rPr>
                <w:rFonts w:cs="Calibri"/>
                <w:sz w:val="20"/>
                <w:szCs w:val="20"/>
                <w:lang w:val="en-US"/>
              </w:rPr>
              <w:t>;</w:t>
            </w:r>
          </w:p>
          <w:p w14:paraId="037BA0FE" w14:textId="4DE62DD3" w:rsidR="0073528B" w:rsidRPr="008C761D" w:rsidRDefault="00D53B29" w:rsidP="0004385D">
            <w:pPr>
              <w:pStyle w:val="ListParagraph"/>
              <w:numPr>
                <w:ilvl w:val="0"/>
                <w:numId w:val="21"/>
              </w:numPr>
              <w:tabs>
                <w:tab w:val="left" w:pos="0"/>
              </w:tabs>
              <w:spacing w:after="0" w:line="240" w:lineRule="auto"/>
              <w:ind w:left="183" w:hanging="226"/>
              <w:rPr>
                <w:rFonts w:cs="Calibri"/>
                <w:sz w:val="20"/>
                <w:szCs w:val="20"/>
                <w:lang w:val="en-US"/>
              </w:rPr>
            </w:pPr>
            <w:r w:rsidRPr="008C761D">
              <w:rPr>
                <w:rFonts w:cs="Calibri"/>
                <w:sz w:val="20"/>
                <w:szCs w:val="20"/>
                <w:lang w:val="en-US"/>
              </w:rPr>
              <w:t>Insufficient</w:t>
            </w:r>
            <w:r w:rsidR="0073528B" w:rsidRPr="008C761D">
              <w:rPr>
                <w:rFonts w:cs="Calibri"/>
                <w:sz w:val="20"/>
                <w:szCs w:val="20"/>
                <w:lang w:val="en-US"/>
              </w:rPr>
              <w:t xml:space="preserve"> human capacity to carry out the activity</w:t>
            </w:r>
            <w:r w:rsidR="00775A75" w:rsidRPr="008C761D">
              <w:rPr>
                <w:rFonts w:cs="Calibri"/>
                <w:sz w:val="20"/>
                <w:szCs w:val="20"/>
                <w:lang w:val="en-US"/>
              </w:rPr>
              <w:t>;</w:t>
            </w:r>
          </w:p>
          <w:p w14:paraId="38DBEF10" w14:textId="77777777" w:rsidR="0073528B" w:rsidRPr="008C761D" w:rsidRDefault="0073528B" w:rsidP="0004385D">
            <w:pPr>
              <w:pStyle w:val="ListParagraph"/>
              <w:numPr>
                <w:ilvl w:val="0"/>
                <w:numId w:val="21"/>
              </w:numPr>
              <w:tabs>
                <w:tab w:val="left" w:pos="0"/>
              </w:tabs>
              <w:spacing w:after="0" w:line="240" w:lineRule="auto"/>
              <w:ind w:left="183" w:hanging="226"/>
              <w:rPr>
                <w:rFonts w:cs="Calibri"/>
                <w:sz w:val="20"/>
                <w:szCs w:val="20"/>
                <w:lang w:val="en-US"/>
              </w:rPr>
            </w:pPr>
            <w:r w:rsidRPr="008C761D">
              <w:rPr>
                <w:rFonts w:cs="Calibri"/>
                <w:sz w:val="20"/>
                <w:szCs w:val="20"/>
                <w:lang w:val="en-US"/>
              </w:rPr>
              <w:t>Outflow of educated staff</w:t>
            </w:r>
            <w:r w:rsidR="00657DD0" w:rsidRPr="008C761D">
              <w:rPr>
                <w:rFonts w:cs="Calibri"/>
                <w:sz w:val="20"/>
                <w:szCs w:val="20"/>
                <w:lang w:val="en-US"/>
              </w:rPr>
              <w:t>.</w:t>
            </w:r>
          </w:p>
        </w:tc>
      </w:tr>
    </w:tbl>
    <w:p w14:paraId="6024939F" w14:textId="77777777" w:rsidR="00CE0F6C" w:rsidRPr="008C761D" w:rsidRDefault="00CE0F6C" w:rsidP="00E84CD0">
      <w:pPr>
        <w:spacing w:line="240" w:lineRule="auto"/>
        <w:jc w:val="both"/>
        <w:rPr>
          <w:rFonts w:cs="Calibri"/>
          <w:b/>
          <w:color w:val="0070C0"/>
          <w:sz w:val="24"/>
          <w:szCs w:val="24"/>
          <w:lang w:val="en-US"/>
        </w:rPr>
      </w:pPr>
    </w:p>
    <w:p w14:paraId="65A9FCF7" w14:textId="69F26708" w:rsidR="0073528B" w:rsidRPr="008C761D" w:rsidRDefault="0073528B" w:rsidP="00E84CD0">
      <w:pPr>
        <w:spacing w:line="240" w:lineRule="auto"/>
        <w:jc w:val="both"/>
        <w:rPr>
          <w:rFonts w:cs="Calibri"/>
          <w:b/>
          <w:color w:val="0070C0"/>
          <w:sz w:val="24"/>
          <w:szCs w:val="24"/>
          <w:lang w:val="en-US"/>
        </w:rPr>
      </w:pPr>
      <w:r w:rsidRPr="008C761D">
        <w:rPr>
          <w:rFonts w:cs="Calibri"/>
          <w:b/>
          <w:color w:val="0070C0"/>
          <w:sz w:val="24"/>
          <w:szCs w:val="24"/>
          <w:lang w:val="en-US"/>
        </w:rPr>
        <w:t>M</w:t>
      </w:r>
      <w:r w:rsidR="009036A5" w:rsidRPr="008C761D">
        <w:rPr>
          <w:rFonts w:cs="Calibri"/>
          <w:b/>
          <w:color w:val="0070C0"/>
          <w:sz w:val="24"/>
          <w:szCs w:val="24"/>
          <w:lang w:val="en-US"/>
        </w:rPr>
        <w:t xml:space="preserve">easure </w:t>
      </w:r>
      <w:r w:rsidRPr="008C761D">
        <w:rPr>
          <w:rFonts w:cs="Calibri"/>
          <w:b/>
          <w:color w:val="0070C0"/>
          <w:sz w:val="24"/>
          <w:szCs w:val="24"/>
          <w:lang w:val="en-US"/>
        </w:rPr>
        <w:t>2:</w:t>
      </w:r>
      <w:r w:rsidR="00CA0BA6">
        <w:rPr>
          <w:rFonts w:cs="Calibri"/>
          <w:b/>
          <w:color w:val="0070C0"/>
          <w:sz w:val="24"/>
          <w:szCs w:val="24"/>
          <w:lang w:val="en-US"/>
        </w:rPr>
        <w:t xml:space="preserve"> </w:t>
      </w:r>
      <w:r w:rsidRPr="008C761D">
        <w:rPr>
          <w:rFonts w:cs="Calibri"/>
          <w:b/>
          <w:color w:val="0070C0"/>
          <w:sz w:val="24"/>
          <w:szCs w:val="24"/>
          <w:lang w:val="en-US"/>
        </w:rPr>
        <w:t>Increasing public debt transparency</w:t>
      </w:r>
    </w:p>
    <w:p w14:paraId="455A872B"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Measure objective</w:t>
      </w:r>
    </w:p>
    <w:p w14:paraId="3D0044A1" w14:textId="77777777" w:rsidR="0073528B" w:rsidRPr="008C761D" w:rsidDel="000C4E23" w:rsidRDefault="0073528B" w:rsidP="00E84CD0">
      <w:pPr>
        <w:spacing w:line="240" w:lineRule="auto"/>
        <w:jc w:val="both"/>
        <w:rPr>
          <w:rFonts w:cs="Calibri"/>
          <w:lang w:val="en-US"/>
        </w:rPr>
      </w:pPr>
      <w:r w:rsidRPr="008C761D">
        <w:rPr>
          <w:rFonts w:cs="Calibri"/>
          <w:lang w:val="en-US"/>
        </w:rPr>
        <w:t>Transparent presentation of public debt in line with international methodologies and standards</w:t>
      </w:r>
      <w:r w:rsidR="00E00980" w:rsidRPr="008C761D">
        <w:rPr>
          <w:rFonts w:cs="Calibri"/>
          <w:lang w:val="en-US"/>
        </w:rPr>
        <w:t>.</w:t>
      </w:r>
    </w:p>
    <w:p w14:paraId="4E559D51"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Reference to findings from external assessments:</w:t>
      </w:r>
    </w:p>
    <w:tbl>
      <w:tblPr>
        <w:tblW w:w="84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40"/>
      </w:tblGrid>
      <w:tr w:rsidR="0073528B" w:rsidRPr="008C761D" w14:paraId="009C2538" w14:textId="77777777" w:rsidTr="00CA41E4">
        <w:tc>
          <w:tcPr>
            <w:tcW w:w="1098" w:type="dxa"/>
            <w:shd w:val="clear" w:color="auto" w:fill="DDDDDD"/>
          </w:tcPr>
          <w:p w14:paraId="45811B8B" w14:textId="77777777" w:rsidR="0073528B" w:rsidRPr="008C761D" w:rsidRDefault="0073528B" w:rsidP="00E84CD0">
            <w:pPr>
              <w:spacing w:before="80" w:after="0" w:line="240" w:lineRule="auto"/>
              <w:jc w:val="both"/>
              <w:rPr>
                <w:rFonts w:cs="Calibri"/>
                <w:sz w:val="20"/>
                <w:szCs w:val="20"/>
                <w:lang w:val="en-US"/>
              </w:rPr>
            </w:pPr>
            <w:r w:rsidRPr="008C761D">
              <w:rPr>
                <w:rFonts w:cs="Calibri"/>
                <w:sz w:val="20"/>
                <w:szCs w:val="20"/>
                <w:lang w:val="en-US"/>
              </w:rPr>
              <w:t>IMF:</w:t>
            </w:r>
          </w:p>
        </w:tc>
        <w:tc>
          <w:tcPr>
            <w:tcW w:w="7340" w:type="dxa"/>
            <w:shd w:val="clear" w:color="auto" w:fill="DDDDDD"/>
          </w:tcPr>
          <w:p w14:paraId="050A8BA6" w14:textId="3C658171" w:rsidR="0073528B" w:rsidRPr="008C761D" w:rsidRDefault="0073528B" w:rsidP="00E84CD0">
            <w:pPr>
              <w:autoSpaceDE w:val="0"/>
              <w:autoSpaceDN w:val="0"/>
              <w:adjustRightInd w:val="0"/>
              <w:spacing w:after="0" w:line="240" w:lineRule="auto"/>
              <w:jc w:val="both"/>
              <w:rPr>
                <w:rFonts w:cs="Calibri"/>
                <w:sz w:val="20"/>
                <w:szCs w:val="20"/>
                <w:lang w:val="en-US"/>
              </w:rPr>
            </w:pPr>
            <w:r w:rsidRPr="008C761D">
              <w:rPr>
                <w:rFonts w:cs="Calibri"/>
                <w:sz w:val="20"/>
                <w:szCs w:val="20"/>
                <w:lang w:val="en-US"/>
              </w:rPr>
              <w:t>North Macedonia’s debt is assessed as sustainable in the current baseline.</w:t>
            </w:r>
            <w:r w:rsidR="00D53B29">
              <w:rPr>
                <w:rFonts w:cs="Calibri"/>
                <w:sz w:val="20"/>
                <w:szCs w:val="20"/>
                <w:lang w:val="en-US"/>
              </w:rPr>
              <w:t xml:space="preserve"> </w:t>
            </w:r>
            <w:r w:rsidRPr="008C761D">
              <w:rPr>
                <w:rFonts w:cs="Calibri"/>
                <w:sz w:val="20"/>
                <w:szCs w:val="20"/>
                <w:lang w:val="en-US"/>
              </w:rPr>
              <w:t>However, from a liquidity perspective, financing needs exceed the high-risk threshold in the baseline scenario.</w:t>
            </w:r>
          </w:p>
        </w:tc>
      </w:tr>
    </w:tbl>
    <w:p w14:paraId="014C7485"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Context/Background</w:t>
      </w:r>
    </w:p>
    <w:p w14:paraId="6D1EB502" w14:textId="13677EA4" w:rsidR="004E1E75" w:rsidRPr="008C761D" w:rsidRDefault="004E1E75" w:rsidP="004E1E75">
      <w:pPr>
        <w:pStyle w:val="NormalPFM1"/>
        <w:spacing w:line="240" w:lineRule="auto"/>
        <w:rPr>
          <w:rFonts w:cs="Calibri"/>
          <w:sz w:val="22"/>
          <w:szCs w:val="22"/>
          <w:lang w:val="en-US"/>
        </w:rPr>
      </w:pPr>
      <w:r w:rsidRPr="008C761D">
        <w:rPr>
          <w:rFonts w:cs="Calibri"/>
          <w:sz w:val="22"/>
          <w:szCs w:val="22"/>
          <w:lang w:val="en-US"/>
        </w:rPr>
        <w:t>Adoption of new Organic Budget Law, coupled with measures and activities undertaken by the Ministry of Finance to improve the legal and the strategic framework for public financial management, provides a framework for more efficient PFM.</w:t>
      </w:r>
      <w:r w:rsidR="00CA0BA6">
        <w:rPr>
          <w:rFonts w:cs="Calibri"/>
          <w:sz w:val="22"/>
          <w:szCs w:val="22"/>
          <w:lang w:val="en-US"/>
        </w:rPr>
        <w:t xml:space="preserve"> </w:t>
      </w:r>
      <w:r w:rsidRPr="008C761D">
        <w:rPr>
          <w:rFonts w:cs="Calibri"/>
          <w:sz w:val="22"/>
          <w:szCs w:val="22"/>
          <w:lang w:val="en-US"/>
        </w:rPr>
        <w:t>In addition, in order to improve the Open Budget Index, it is necessary, within the budget process, to supplement the Budget with debt data in order to present more detailed data on debt amount and structure at the end of the year for which the Budget is adopted.</w:t>
      </w:r>
      <w:r w:rsidR="00D53B29">
        <w:rPr>
          <w:rFonts w:cs="Calibri"/>
          <w:sz w:val="22"/>
          <w:szCs w:val="22"/>
          <w:lang w:val="en-US"/>
        </w:rPr>
        <w:t xml:space="preserve"> </w:t>
      </w:r>
      <w:r w:rsidRPr="008C761D">
        <w:rPr>
          <w:rFonts w:cs="Calibri"/>
          <w:sz w:val="22"/>
          <w:szCs w:val="22"/>
          <w:lang w:val="en-US"/>
        </w:rPr>
        <w:t>In 2019, Republic of North Macedonia accessed the highest statistical data dissemination standard of the IMF - SDDS Plus, confirming the quality of the statistical system.</w:t>
      </w:r>
      <w:r w:rsidR="00D53B29">
        <w:rPr>
          <w:rFonts w:cs="Calibri"/>
          <w:sz w:val="22"/>
          <w:szCs w:val="22"/>
          <w:lang w:val="en-US"/>
        </w:rPr>
        <w:t xml:space="preserve"> </w:t>
      </w:r>
      <w:r w:rsidRPr="008C761D">
        <w:rPr>
          <w:rFonts w:cs="Calibri"/>
          <w:sz w:val="22"/>
          <w:szCs w:val="22"/>
          <w:lang w:val="en-US"/>
        </w:rPr>
        <w:t xml:space="preserve">This will contribute to greater confidence at the international financial organizations, credit rating </w:t>
      </w:r>
      <w:r w:rsidRPr="008C761D">
        <w:rPr>
          <w:rFonts w:cs="Calibri"/>
          <w:sz w:val="22"/>
          <w:szCs w:val="22"/>
          <w:lang w:val="en-US"/>
        </w:rPr>
        <w:lastRenderedPageBreak/>
        <w:t>agencies and, most importantly, at the investors.</w:t>
      </w:r>
      <w:r w:rsidR="00D53B29">
        <w:rPr>
          <w:rFonts w:cs="Calibri"/>
          <w:sz w:val="22"/>
          <w:szCs w:val="22"/>
          <w:lang w:val="en-US"/>
        </w:rPr>
        <w:t xml:space="preserve"> </w:t>
      </w:r>
      <w:r w:rsidRPr="008C761D">
        <w:rPr>
          <w:rFonts w:cs="Calibri"/>
          <w:sz w:val="22"/>
          <w:szCs w:val="22"/>
          <w:lang w:val="en-US"/>
        </w:rPr>
        <w:t>Fulfilment of the SDDS Plus requirements implies preparation of nine new categories of data, among which the public debt data.</w:t>
      </w:r>
      <w:r w:rsidR="00D53B29">
        <w:rPr>
          <w:rFonts w:cs="Calibri"/>
          <w:sz w:val="22"/>
          <w:szCs w:val="22"/>
          <w:lang w:val="en-US"/>
        </w:rPr>
        <w:t xml:space="preserve"> </w:t>
      </w:r>
      <w:r w:rsidRPr="008C761D">
        <w:rPr>
          <w:rFonts w:cs="Calibri"/>
          <w:sz w:val="22"/>
          <w:szCs w:val="22"/>
          <w:lang w:val="en-US"/>
        </w:rPr>
        <w:t>Ministry of Finance has a 5-year transition period to align the data with this standard, producing public debt data in line with the SDDS Plus by 2024.</w:t>
      </w:r>
    </w:p>
    <w:p w14:paraId="4E12F6E3" w14:textId="3E5C6D14" w:rsidR="004E1E75" w:rsidRPr="008C761D" w:rsidRDefault="004E1E75" w:rsidP="004E1E75">
      <w:pPr>
        <w:pStyle w:val="NormalPFM1"/>
        <w:spacing w:line="240" w:lineRule="auto"/>
        <w:rPr>
          <w:rFonts w:cs="Calibri"/>
          <w:sz w:val="22"/>
          <w:szCs w:val="22"/>
          <w:lang w:val="en-US"/>
        </w:rPr>
      </w:pPr>
      <w:r w:rsidRPr="008C761D">
        <w:rPr>
          <w:rFonts w:cs="Calibri"/>
          <w:sz w:val="22"/>
          <w:szCs w:val="22"/>
          <w:lang w:val="en-US"/>
        </w:rPr>
        <w:t xml:space="preserve">Pursuant to </w:t>
      </w:r>
      <w:proofErr w:type="gramStart"/>
      <w:r w:rsidRPr="008C761D">
        <w:rPr>
          <w:rFonts w:cs="Calibri"/>
          <w:sz w:val="22"/>
          <w:szCs w:val="22"/>
          <w:lang w:val="en-US"/>
        </w:rPr>
        <w:t>the  Organic</w:t>
      </w:r>
      <w:proofErr w:type="gramEnd"/>
      <w:r w:rsidRPr="008C761D">
        <w:rPr>
          <w:rFonts w:cs="Calibri"/>
          <w:sz w:val="22"/>
          <w:szCs w:val="22"/>
          <w:lang w:val="en-US"/>
        </w:rPr>
        <w:t xml:space="preserve"> Budget Law, it is envisaged for the general government definition to be changed, and accordingly general government debt will have a scope different from the one envisaged under the Public Debt Law.</w:t>
      </w:r>
      <w:r w:rsidR="00D53B29">
        <w:rPr>
          <w:rFonts w:cs="Calibri"/>
          <w:sz w:val="22"/>
          <w:szCs w:val="22"/>
          <w:lang w:val="en-US"/>
        </w:rPr>
        <w:t xml:space="preserve"> </w:t>
      </w:r>
      <w:r w:rsidRPr="008C761D">
        <w:rPr>
          <w:rFonts w:cs="Calibri"/>
          <w:sz w:val="22"/>
          <w:szCs w:val="22"/>
          <w:lang w:val="en-US"/>
        </w:rPr>
        <w:t>Therefore, Public Debt Law needs to be accordingly amended, with the definition aligned with the Organic Budget Law and the Maastricht Criteria.</w:t>
      </w:r>
    </w:p>
    <w:p w14:paraId="48963602" w14:textId="77777777" w:rsidR="0073528B" w:rsidRPr="000A5366" w:rsidRDefault="0073528B" w:rsidP="00E84CD0">
      <w:pPr>
        <w:spacing w:before="240" w:after="0" w:line="240" w:lineRule="auto"/>
        <w:jc w:val="both"/>
        <w:rPr>
          <w:rFonts w:cs="Calibri"/>
          <w:b/>
          <w:bCs/>
          <w:iCs/>
          <w:color w:val="0070C0"/>
          <w:lang w:val="en-US"/>
        </w:rPr>
      </w:pPr>
      <w:r w:rsidRPr="000A5366">
        <w:rPr>
          <w:rFonts w:cs="Calibri"/>
          <w:b/>
          <w:bCs/>
          <w:iCs/>
          <w:color w:val="0070C0"/>
          <w:lang w:val="en-US"/>
        </w:rPr>
        <w:t>Activity 1: Modifications and amendments to Public Debt Law to the end of aligning the debt definition with the Maastricht Criteria</w:t>
      </w:r>
    </w:p>
    <w:p w14:paraId="45A2D8DF" w14:textId="77777777" w:rsidR="0073528B" w:rsidRPr="008C761D" w:rsidRDefault="0073528B" w:rsidP="00E84CD0">
      <w:pPr>
        <w:pStyle w:val="NormalPFM1"/>
        <w:spacing w:line="240" w:lineRule="auto"/>
        <w:rPr>
          <w:rFonts w:cs="Calibri"/>
          <w:sz w:val="22"/>
          <w:szCs w:val="22"/>
          <w:lang w:val="en-US"/>
        </w:rPr>
      </w:pPr>
      <w:r w:rsidRPr="008C761D">
        <w:rPr>
          <w:rFonts w:cs="Calibri"/>
          <w:sz w:val="22"/>
          <w:szCs w:val="22"/>
          <w:lang w:val="en-US"/>
        </w:rPr>
        <w:t xml:space="preserve">For the purpose of more efficient public debt management, it is necessary for government debt definition in the Public Debt Law to be aligned with the draft Organic Budget Law, which should belong to the General Government Sector as per the latest statistical methodologies and the </w:t>
      </w:r>
      <w:r w:rsidRPr="008C761D">
        <w:rPr>
          <w:rFonts w:cs="Calibri"/>
          <w:bCs/>
          <w:iCs/>
          <w:sz w:val="22"/>
          <w:szCs w:val="22"/>
          <w:lang w:val="en-US"/>
        </w:rPr>
        <w:t>Maastricht Criteria.</w:t>
      </w:r>
    </w:p>
    <w:p w14:paraId="1366BD4E" w14:textId="3C500EDF" w:rsidR="0073528B" w:rsidRPr="000A5366" w:rsidRDefault="0073528B" w:rsidP="00E84CD0">
      <w:pPr>
        <w:pStyle w:val="Heading4"/>
        <w:spacing w:line="240" w:lineRule="auto"/>
        <w:rPr>
          <w:rFonts w:cs="Calibri"/>
          <w:i w:val="0"/>
          <w:color w:val="0070C0"/>
          <w:sz w:val="22"/>
          <w:szCs w:val="22"/>
          <w:lang w:val="en-US"/>
        </w:rPr>
      </w:pPr>
      <w:r w:rsidRPr="000A5366">
        <w:rPr>
          <w:rFonts w:cs="Calibri"/>
          <w:i w:val="0"/>
          <w:color w:val="0070C0"/>
          <w:sz w:val="22"/>
          <w:szCs w:val="22"/>
          <w:lang w:val="en-US"/>
        </w:rPr>
        <w:t>Activity 2:</w:t>
      </w:r>
      <w:r w:rsidR="00622767" w:rsidRPr="000A5366">
        <w:rPr>
          <w:rFonts w:cs="Calibri"/>
          <w:i w:val="0"/>
          <w:color w:val="0070C0"/>
          <w:sz w:val="22"/>
          <w:szCs w:val="22"/>
          <w:lang w:val="en-US"/>
        </w:rPr>
        <w:t xml:space="preserve"> </w:t>
      </w:r>
      <w:r w:rsidRPr="000A5366">
        <w:rPr>
          <w:rFonts w:cs="Calibri"/>
          <w:i w:val="0"/>
          <w:color w:val="0070C0"/>
          <w:sz w:val="22"/>
          <w:szCs w:val="22"/>
          <w:lang w:val="en-US"/>
        </w:rPr>
        <w:t>Incorporating debt data in the Budget document</w:t>
      </w:r>
    </w:p>
    <w:p w14:paraId="67790817" w14:textId="7DF9850F" w:rsidR="004E1E75" w:rsidRDefault="004E1E75" w:rsidP="004E1E75">
      <w:pPr>
        <w:tabs>
          <w:tab w:val="left" w:pos="851"/>
        </w:tabs>
        <w:spacing w:before="120" w:line="240" w:lineRule="auto"/>
        <w:jc w:val="both"/>
        <w:rPr>
          <w:lang w:val="en-US"/>
        </w:rPr>
      </w:pPr>
      <w:r w:rsidRPr="008C761D">
        <w:rPr>
          <w:rFonts w:cs="Calibri"/>
          <w:lang w:val="en-US"/>
        </w:rPr>
        <w:t xml:space="preserve">It is necessary, within the budget process, to supplement the Budget with debt data so as to present more detailed data on debt amount and structure at the end of the year for which the Budget is adopted, i.e in </w:t>
      </w:r>
      <w:r w:rsidRPr="008C761D">
        <w:rPr>
          <w:lang w:val="en-US"/>
        </w:rPr>
        <w:t>Budget</w:t>
      </w:r>
      <w:r w:rsidR="00622767" w:rsidRPr="008C761D">
        <w:rPr>
          <w:lang w:val="en-US"/>
        </w:rPr>
        <w:t xml:space="preserve"> </w:t>
      </w:r>
      <w:r w:rsidRPr="008C761D">
        <w:rPr>
          <w:lang w:val="en-US"/>
        </w:rPr>
        <w:t>Proposal</w:t>
      </w:r>
      <w:r w:rsidR="00622767" w:rsidRPr="008C761D">
        <w:rPr>
          <w:lang w:val="en-US"/>
        </w:rPr>
        <w:t xml:space="preserve"> </w:t>
      </w:r>
      <w:r w:rsidRPr="008C761D">
        <w:rPr>
          <w:lang w:val="en-US"/>
        </w:rPr>
        <w:t>or</w:t>
      </w:r>
      <w:r w:rsidR="00622767" w:rsidRPr="008C761D">
        <w:rPr>
          <w:lang w:val="en-US"/>
        </w:rPr>
        <w:t xml:space="preserve"> </w:t>
      </w:r>
      <w:r w:rsidRPr="008C761D">
        <w:rPr>
          <w:lang w:val="en-US"/>
        </w:rPr>
        <w:t>any</w:t>
      </w:r>
      <w:r w:rsidR="00622767" w:rsidRPr="008C761D">
        <w:rPr>
          <w:lang w:val="en-US"/>
        </w:rPr>
        <w:t xml:space="preserve"> </w:t>
      </w:r>
      <w:r w:rsidRPr="008C761D">
        <w:rPr>
          <w:lang w:val="en-US"/>
        </w:rPr>
        <w:t>supporting</w:t>
      </w:r>
      <w:r w:rsidR="00622767" w:rsidRPr="008C761D">
        <w:rPr>
          <w:lang w:val="en-US"/>
        </w:rPr>
        <w:t xml:space="preserve"> </w:t>
      </w:r>
      <w:r w:rsidRPr="008C761D">
        <w:rPr>
          <w:lang w:val="en-US"/>
        </w:rPr>
        <w:t>budget</w:t>
      </w:r>
      <w:r w:rsidR="00622767" w:rsidRPr="008C761D">
        <w:rPr>
          <w:lang w:val="en-US"/>
        </w:rPr>
        <w:t xml:space="preserve"> </w:t>
      </w:r>
      <w:r w:rsidRPr="008C761D">
        <w:rPr>
          <w:lang w:val="en-US"/>
        </w:rPr>
        <w:t>documentation</w:t>
      </w:r>
      <w:r w:rsidR="00622767" w:rsidRPr="008C761D">
        <w:rPr>
          <w:lang w:val="en-US"/>
        </w:rPr>
        <w:t xml:space="preserve"> </w:t>
      </w:r>
      <w:r w:rsidRPr="008C761D">
        <w:rPr>
          <w:lang w:val="en-US"/>
        </w:rPr>
        <w:t>to present</w:t>
      </w:r>
      <w:r w:rsidR="00622767" w:rsidRPr="008C761D">
        <w:rPr>
          <w:lang w:val="en-US"/>
        </w:rPr>
        <w:t xml:space="preserve"> </w:t>
      </w:r>
      <w:r w:rsidRPr="008C761D">
        <w:rPr>
          <w:lang w:val="en-US"/>
        </w:rPr>
        <w:t>estimates</w:t>
      </w:r>
      <w:r w:rsidR="00622767" w:rsidRPr="008C761D">
        <w:rPr>
          <w:lang w:val="en-US"/>
        </w:rPr>
        <w:t xml:space="preserve"> </w:t>
      </w:r>
      <w:r w:rsidRPr="008C761D">
        <w:rPr>
          <w:lang w:val="en-US"/>
        </w:rPr>
        <w:t>related</w:t>
      </w:r>
      <w:r w:rsidR="00622767" w:rsidRPr="008C761D">
        <w:rPr>
          <w:lang w:val="en-US"/>
        </w:rPr>
        <w:t xml:space="preserve"> </w:t>
      </w:r>
      <w:r w:rsidRPr="008C761D">
        <w:rPr>
          <w:lang w:val="en-US"/>
        </w:rPr>
        <w:t>to</w:t>
      </w:r>
      <w:r w:rsidR="00622767" w:rsidRPr="008C761D">
        <w:rPr>
          <w:lang w:val="en-US"/>
        </w:rPr>
        <w:t xml:space="preserve"> </w:t>
      </w:r>
      <w:r w:rsidRPr="008C761D">
        <w:rPr>
          <w:lang w:val="en-US"/>
        </w:rPr>
        <w:t>government</w:t>
      </w:r>
      <w:r w:rsidR="00622767" w:rsidRPr="008C761D">
        <w:rPr>
          <w:lang w:val="en-US"/>
        </w:rPr>
        <w:t xml:space="preserve"> </w:t>
      </w:r>
      <w:r w:rsidRPr="008C761D">
        <w:rPr>
          <w:lang w:val="en-US"/>
        </w:rPr>
        <w:t>borrowing</w:t>
      </w:r>
      <w:r w:rsidR="00622767" w:rsidRPr="008C761D">
        <w:rPr>
          <w:lang w:val="en-US"/>
        </w:rPr>
        <w:t xml:space="preserve"> </w:t>
      </w:r>
      <w:r w:rsidRPr="008C761D">
        <w:rPr>
          <w:lang w:val="en-US"/>
        </w:rPr>
        <w:t>and</w:t>
      </w:r>
      <w:r w:rsidR="00622767" w:rsidRPr="008C761D">
        <w:rPr>
          <w:lang w:val="en-US"/>
        </w:rPr>
        <w:t xml:space="preserve"> </w:t>
      </w:r>
      <w:r w:rsidRPr="008C761D">
        <w:rPr>
          <w:lang w:val="en-US"/>
        </w:rPr>
        <w:t>debt: the</w:t>
      </w:r>
      <w:r w:rsidR="00622767" w:rsidRPr="008C761D">
        <w:rPr>
          <w:lang w:val="en-US"/>
        </w:rPr>
        <w:t xml:space="preserve"> </w:t>
      </w:r>
      <w:r w:rsidRPr="008C761D">
        <w:rPr>
          <w:lang w:val="en-US"/>
        </w:rPr>
        <w:t>amount</w:t>
      </w:r>
      <w:r w:rsidR="00622767" w:rsidRPr="008C761D">
        <w:rPr>
          <w:lang w:val="en-US"/>
        </w:rPr>
        <w:t xml:space="preserve"> </w:t>
      </w:r>
      <w:r w:rsidRPr="008C761D">
        <w:rPr>
          <w:lang w:val="en-US"/>
        </w:rPr>
        <w:t>of</w:t>
      </w:r>
      <w:r w:rsidR="00622767" w:rsidRPr="008C761D">
        <w:rPr>
          <w:lang w:val="en-US"/>
        </w:rPr>
        <w:t xml:space="preserve"> </w:t>
      </w:r>
      <w:r w:rsidRPr="008C761D">
        <w:rPr>
          <w:lang w:val="en-US"/>
        </w:rPr>
        <w:t>net</w:t>
      </w:r>
      <w:r w:rsidR="00622767" w:rsidRPr="008C761D">
        <w:rPr>
          <w:lang w:val="en-US"/>
        </w:rPr>
        <w:t xml:space="preserve"> </w:t>
      </w:r>
      <w:r w:rsidRPr="008C761D">
        <w:rPr>
          <w:lang w:val="en-US"/>
        </w:rPr>
        <w:t>new</w:t>
      </w:r>
      <w:r w:rsidR="00622767" w:rsidRPr="008C761D">
        <w:rPr>
          <w:lang w:val="en-US"/>
        </w:rPr>
        <w:t xml:space="preserve"> </w:t>
      </w:r>
      <w:r w:rsidRPr="008C761D">
        <w:rPr>
          <w:lang w:val="en-US"/>
        </w:rPr>
        <w:t>borrowing</w:t>
      </w:r>
      <w:r w:rsidR="00622767" w:rsidRPr="008C761D">
        <w:rPr>
          <w:lang w:val="en-US"/>
        </w:rPr>
        <w:t xml:space="preserve"> </w:t>
      </w:r>
      <w:r w:rsidRPr="008C761D">
        <w:rPr>
          <w:lang w:val="en-US"/>
        </w:rPr>
        <w:t>required</w:t>
      </w:r>
      <w:r w:rsidR="00622767" w:rsidRPr="008C761D">
        <w:rPr>
          <w:lang w:val="en-US"/>
        </w:rPr>
        <w:t xml:space="preserve"> </w:t>
      </w:r>
      <w:r w:rsidRPr="008C761D">
        <w:rPr>
          <w:lang w:val="en-US"/>
        </w:rPr>
        <w:t>during</w:t>
      </w:r>
      <w:r w:rsidR="00181839" w:rsidRPr="008C761D">
        <w:rPr>
          <w:lang w:val="en-US"/>
        </w:rPr>
        <w:t xml:space="preserve"> </w:t>
      </w:r>
      <w:r w:rsidRPr="008C761D">
        <w:rPr>
          <w:lang w:val="en-US"/>
        </w:rPr>
        <w:t>the</w:t>
      </w:r>
      <w:r w:rsidR="00181839" w:rsidRPr="008C761D">
        <w:rPr>
          <w:lang w:val="en-US"/>
        </w:rPr>
        <w:t xml:space="preserve"> </w:t>
      </w:r>
      <w:r w:rsidRPr="008C761D">
        <w:rPr>
          <w:lang w:val="en-US"/>
        </w:rPr>
        <w:t>budget</w:t>
      </w:r>
      <w:r w:rsidR="00181839" w:rsidRPr="008C761D">
        <w:rPr>
          <w:lang w:val="en-US"/>
        </w:rPr>
        <w:t xml:space="preserve"> </w:t>
      </w:r>
      <w:r w:rsidRPr="008C761D">
        <w:rPr>
          <w:lang w:val="en-US"/>
        </w:rPr>
        <w:t>year; the</w:t>
      </w:r>
      <w:r w:rsidR="00181839" w:rsidRPr="008C761D">
        <w:rPr>
          <w:lang w:val="en-US"/>
        </w:rPr>
        <w:t xml:space="preserve"> </w:t>
      </w:r>
      <w:r w:rsidRPr="008C761D">
        <w:rPr>
          <w:lang w:val="en-US"/>
        </w:rPr>
        <w:t>total</w:t>
      </w:r>
      <w:r w:rsidR="00181839" w:rsidRPr="008C761D">
        <w:rPr>
          <w:lang w:val="en-US"/>
        </w:rPr>
        <w:t xml:space="preserve"> </w:t>
      </w:r>
      <w:r w:rsidRPr="008C761D">
        <w:rPr>
          <w:lang w:val="en-US"/>
        </w:rPr>
        <w:t>debt</w:t>
      </w:r>
      <w:r w:rsidR="00181839" w:rsidRPr="008C761D">
        <w:rPr>
          <w:lang w:val="en-US"/>
        </w:rPr>
        <w:t xml:space="preserve"> </w:t>
      </w:r>
      <w:r w:rsidRPr="008C761D">
        <w:rPr>
          <w:lang w:val="en-US"/>
        </w:rPr>
        <w:t>outstanding</w:t>
      </w:r>
      <w:r w:rsidR="00181839" w:rsidRPr="008C761D">
        <w:rPr>
          <w:lang w:val="en-US"/>
        </w:rPr>
        <w:t xml:space="preserve"> </w:t>
      </w:r>
      <w:r w:rsidRPr="008C761D">
        <w:rPr>
          <w:lang w:val="en-US"/>
        </w:rPr>
        <w:t>at</w:t>
      </w:r>
      <w:r w:rsidR="00181839" w:rsidRPr="008C761D">
        <w:rPr>
          <w:lang w:val="en-US"/>
        </w:rPr>
        <w:t xml:space="preserve"> </w:t>
      </w:r>
      <w:r w:rsidRPr="008C761D">
        <w:rPr>
          <w:lang w:val="en-US"/>
        </w:rPr>
        <w:t>the</w:t>
      </w:r>
      <w:r w:rsidR="00181839" w:rsidRPr="008C761D">
        <w:rPr>
          <w:lang w:val="en-US"/>
        </w:rPr>
        <w:t xml:space="preserve"> </w:t>
      </w:r>
      <w:r w:rsidRPr="008C761D">
        <w:rPr>
          <w:lang w:val="en-US"/>
        </w:rPr>
        <w:t>end</w:t>
      </w:r>
      <w:r w:rsidR="00181839" w:rsidRPr="008C761D">
        <w:rPr>
          <w:lang w:val="en-US"/>
        </w:rPr>
        <w:t xml:space="preserve"> </w:t>
      </w:r>
      <w:r w:rsidRPr="008C761D">
        <w:rPr>
          <w:lang w:val="en-US"/>
        </w:rPr>
        <w:t>of</w:t>
      </w:r>
      <w:r w:rsidR="00181839" w:rsidRPr="008C761D">
        <w:rPr>
          <w:lang w:val="en-US"/>
        </w:rPr>
        <w:t xml:space="preserve"> </w:t>
      </w:r>
      <w:r w:rsidRPr="008C761D">
        <w:rPr>
          <w:lang w:val="en-US"/>
        </w:rPr>
        <w:t>the</w:t>
      </w:r>
      <w:r w:rsidR="00181839" w:rsidRPr="008C761D">
        <w:rPr>
          <w:lang w:val="en-US"/>
        </w:rPr>
        <w:t xml:space="preserve"> </w:t>
      </w:r>
      <w:r w:rsidRPr="008C761D">
        <w:rPr>
          <w:lang w:val="en-US"/>
        </w:rPr>
        <w:t>budget</w:t>
      </w:r>
      <w:r w:rsidR="00181839" w:rsidRPr="008C761D">
        <w:rPr>
          <w:lang w:val="en-US"/>
        </w:rPr>
        <w:t xml:space="preserve"> </w:t>
      </w:r>
      <w:r w:rsidRPr="008C761D">
        <w:rPr>
          <w:lang w:val="en-US"/>
        </w:rPr>
        <w:t>year</w:t>
      </w:r>
      <w:r w:rsidR="00181839" w:rsidRPr="008C761D">
        <w:rPr>
          <w:lang w:val="en-US"/>
        </w:rPr>
        <w:t xml:space="preserve"> </w:t>
      </w:r>
      <w:r w:rsidRPr="008C761D">
        <w:rPr>
          <w:lang w:val="en-US"/>
        </w:rPr>
        <w:t>and</w:t>
      </w:r>
      <w:r w:rsidR="00181839" w:rsidRPr="008C761D">
        <w:rPr>
          <w:lang w:val="en-US"/>
        </w:rPr>
        <w:t xml:space="preserve"> </w:t>
      </w:r>
      <w:r w:rsidRPr="008C761D">
        <w:rPr>
          <w:lang w:val="en-US"/>
        </w:rPr>
        <w:t>interest</w:t>
      </w:r>
      <w:r w:rsidR="00181839" w:rsidRPr="008C761D">
        <w:rPr>
          <w:lang w:val="en-US"/>
        </w:rPr>
        <w:t xml:space="preserve"> </w:t>
      </w:r>
      <w:r w:rsidRPr="008C761D">
        <w:rPr>
          <w:lang w:val="en-US"/>
        </w:rPr>
        <w:t>payments</w:t>
      </w:r>
      <w:r w:rsidR="00181839" w:rsidRPr="008C761D">
        <w:rPr>
          <w:lang w:val="en-US"/>
        </w:rPr>
        <w:t xml:space="preserve"> </w:t>
      </w:r>
      <w:r w:rsidRPr="008C761D">
        <w:rPr>
          <w:lang w:val="en-US"/>
        </w:rPr>
        <w:t>on</w:t>
      </w:r>
      <w:r w:rsidR="00181839" w:rsidRPr="008C761D">
        <w:rPr>
          <w:lang w:val="en-US"/>
        </w:rPr>
        <w:t xml:space="preserve"> </w:t>
      </w:r>
      <w:r w:rsidRPr="008C761D">
        <w:rPr>
          <w:lang w:val="en-US"/>
        </w:rPr>
        <w:t>the</w:t>
      </w:r>
      <w:r w:rsidR="00181839" w:rsidRPr="008C761D">
        <w:rPr>
          <w:lang w:val="en-US"/>
        </w:rPr>
        <w:t xml:space="preserve"> </w:t>
      </w:r>
      <w:r w:rsidRPr="008C761D">
        <w:rPr>
          <w:lang w:val="en-US"/>
        </w:rPr>
        <w:t>debt</w:t>
      </w:r>
      <w:r w:rsidR="00181839" w:rsidRPr="008C761D">
        <w:rPr>
          <w:lang w:val="en-US"/>
        </w:rPr>
        <w:t xml:space="preserve"> </w:t>
      </w:r>
      <w:r w:rsidRPr="008C761D">
        <w:rPr>
          <w:lang w:val="en-US"/>
        </w:rPr>
        <w:t>for</w:t>
      </w:r>
      <w:r w:rsidR="00181839" w:rsidRPr="008C761D">
        <w:rPr>
          <w:lang w:val="en-US"/>
        </w:rPr>
        <w:t xml:space="preserve"> </w:t>
      </w:r>
      <w:r w:rsidRPr="008C761D">
        <w:rPr>
          <w:lang w:val="en-US"/>
        </w:rPr>
        <w:t>the</w:t>
      </w:r>
      <w:r w:rsidR="00181839" w:rsidRPr="008C761D">
        <w:rPr>
          <w:lang w:val="en-US"/>
        </w:rPr>
        <w:t xml:space="preserve"> </w:t>
      </w:r>
      <w:r w:rsidRPr="008C761D">
        <w:rPr>
          <w:lang w:val="en-US"/>
        </w:rPr>
        <w:t>budget</w:t>
      </w:r>
      <w:r w:rsidR="00181839" w:rsidRPr="008C761D">
        <w:rPr>
          <w:lang w:val="en-US"/>
        </w:rPr>
        <w:t xml:space="preserve"> </w:t>
      </w:r>
      <w:r w:rsidRPr="008C761D">
        <w:rPr>
          <w:lang w:val="en-US"/>
        </w:rPr>
        <w:t>year.</w:t>
      </w:r>
    </w:p>
    <w:p w14:paraId="687296CB" w14:textId="66FB638E" w:rsidR="000A5366" w:rsidRPr="000A5366" w:rsidRDefault="000A5366" w:rsidP="000A5366">
      <w:pPr>
        <w:pStyle w:val="Heading4"/>
        <w:spacing w:line="240" w:lineRule="auto"/>
        <w:rPr>
          <w:rFonts w:cs="Calibri"/>
          <w:i w:val="0"/>
          <w:color w:val="0070C0"/>
          <w:sz w:val="22"/>
          <w:szCs w:val="22"/>
          <w:lang w:val="en-US"/>
        </w:rPr>
      </w:pPr>
      <w:r w:rsidRPr="000A5366">
        <w:rPr>
          <w:rFonts w:cs="Calibri"/>
          <w:i w:val="0"/>
          <w:color w:val="0070C0"/>
          <w:sz w:val="22"/>
          <w:szCs w:val="22"/>
          <w:lang w:val="en-US"/>
        </w:rPr>
        <w:t>Activity 3:</w:t>
      </w:r>
      <w:r>
        <w:rPr>
          <w:rFonts w:cs="Calibri"/>
          <w:i w:val="0"/>
          <w:color w:val="0070C0"/>
          <w:sz w:val="22"/>
          <w:szCs w:val="22"/>
          <w:lang w:val="en-US"/>
        </w:rPr>
        <w:t xml:space="preserve"> </w:t>
      </w:r>
      <w:r w:rsidRPr="000A5366">
        <w:rPr>
          <w:rFonts w:cs="Calibri"/>
          <w:i w:val="0"/>
          <w:color w:val="0070C0"/>
          <w:sz w:val="22"/>
          <w:szCs w:val="22"/>
          <w:lang w:val="en-US"/>
        </w:rPr>
        <w:t>Publishing Annual Borrowing Plan</w:t>
      </w:r>
    </w:p>
    <w:p w14:paraId="4C1A8F4C" w14:textId="77777777" w:rsidR="00236ABA" w:rsidRPr="008C761D" w:rsidRDefault="00236ABA" w:rsidP="00D30E64">
      <w:pPr>
        <w:tabs>
          <w:tab w:val="left" w:pos="851"/>
        </w:tabs>
        <w:spacing w:before="120" w:line="240" w:lineRule="auto"/>
        <w:jc w:val="both"/>
        <w:rPr>
          <w:lang w:val="en-US"/>
        </w:rPr>
      </w:pPr>
      <w:r w:rsidRPr="008C761D">
        <w:rPr>
          <w:lang w:val="en-US"/>
        </w:rPr>
        <w:t>Currently, the Ministry of Finance is preparing a plan for borrowing on the domestic and foreign financial markets. At the domestic market, a calendar for the issuance of government securities is published, but for the external financing plan, there are only internal documents.</w:t>
      </w:r>
    </w:p>
    <w:p w14:paraId="31F844E8" w14:textId="2E08B005" w:rsidR="00236ABA" w:rsidRDefault="00236ABA" w:rsidP="00236ABA">
      <w:pPr>
        <w:tabs>
          <w:tab w:val="left" w:pos="851"/>
        </w:tabs>
        <w:spacing w:before="120" w:line="240" w:lineRule="auto"/>
        <w:jc w:val="both"/>
        <w:rPr>
          <w:lang w:val="en-US"/>
        </w:rPr>
      </w:pPr>
      <w:r w:rsidRPr="008C761D">
        <w:rPr>
          <w:lang w:val="en-US"/>
        </w:rPr>
        <w:t>In the medium term, it is planned to improve the transparency in this segment, in order to strengthen the quality of the calendar of domestic government securities, as well as the announcement of a borrowing plan.</w:t>
      </w:r>
    </w:p>
    <w:p w14:paraId="1E557BB9" w14:textId="6C4C11C0" w:rsidR="000A5366" w:rsidRPr="000A5366" w:rsidRDefault="000A5366" w:rsidP="000A5366">
      <w:pPr>
        <w:pStyle w:val="Heading4"/>
        <w:spacing w:line="240" w:lineRule="auto"/>
        <w:rPr>
          <w:rFonts w:cs="Calibri"/>
          <w:i w:val="0"/>
          <w:color w:val="0070C0"/>
          <w:sz w:val="22"/>
          <w:szCs w:val="22"/>
          <w:lang w:val="en-US"/>
        </w:rPr>
      </w:pPr>
      <w:r w:rsidRPr="000A5366">
        <w:rPr>
          <w:rFonts w:cs="Calibri"/>
          <w:i w:val="0"/>
          <w:color w:val="0070C0"/>
          <w:sz w:val="22"/>
          <w:szCs w:val="22"/>
          <w:lang w:val="en-US"/>
        </w:rPr>
        <w:t>Activity 4: Improving Debt Reporting</w:t>
      </w:r>
    </w:p>
    <w:p w14:paraId="68D7CD51" w14:textId="2DC35E34" w:rsidR="00236ABA" w:rsidRPr="008C761D" w:rsidRDefault="00236ABA" w:rsidP="0037730E">
      <w:pPr>
        <w:spacing w:before="120"/>
        <w:jc w:val="both"/>
        <w:rPr>
          <w:lang w:val="en-US"/>
        </w:rPr>
      </w:pPr>
      <w:r w:rsidRPr="008C761D">
        <w:rPr>
          <w:lang w:val="en-US"/>
        </w:rPr>
        <w:t>According to the DEMPA methodology of the World Bank, the transparency of public debt data publication can be improved in the segment of data contained in the annual debt structure report by increasing the breadth of reported debt statistics, such as: ., % of the debt maturing in the next 12 months, breakdown of the stock of guarantees by currency or residency and maturity profile of government debt i.e., further information needed on the composition of debt and flows, maturity profile, risk indicators.</w:t>
      </w:r>
    </w:p>
    <w:p w14:paraId="135DC782"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8C761D" w14:paraId="2D64AC9F" w14:textId="77777777" w:rsidTr="00F87FA1">
        <w:tc>
          <w:tcPr>
            <w:tcW w:w="2518" w:type="dxa"/>
            <w:tcBorders>
              <w:top w:val="nil"/>
              <w:bottom w:val="single" w:sz="4" w:space="0" w:color="FFFFFF"/>
            </w:tcBorders>
            <w:shd w:val="clear" w:color="auto" w:fill="2F5496"/>
          </w:tcPr>
          <w:p w14:paraId="0FBB6F24" w14:textId="77777777" w:rsidR="0073528B" w:rsidRPr="008C761D" w:rsidRDefault="0073528B"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24A3724D" w14:textId="77777777" w:rsidR="0073528B" w:rsidRPr="008C761D" w:rsidRDefault="0073528B"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4E1E75" w:rsidRPr="008C761D">
              <w:rPr>
                <w:rFonts w:cs="Calibri"/>
                <w:sz w:val="20"/>
                <w:szCs w:val="20"/>
                <w:lang w:val="en-US"/>
              </w:rPr>
              <w:t>7</w:t>
            </w:r>
          </w:p>
        </w:tc>
      </w:tr>
      <w:tr w:rsidR="0073528B" w:rsidRPr="008C761D" w14:paraId="320B9D22" w14:textId="77777777" w:rsidTr="00F87FA1">
        <w:tc>
          <w:tcPr>
            <w:tcW w:w="2518" w:type="dxa"/>
            <w:tcBorders>
              <w:top w:val="single" w:sz="4" w:space="0" w:color="FFFFFF"/>
              <w:bottom w:val="single" w:sz="4" w:space="0" w:color="FFFFFF"/>
            </w:tcBorders>
            <w:shd w:val="clear" w:color="auto" w:fill="2F5496"/>
          </w:tcPr>
          <w:p w14:paraId="0A3F0F88" w14:textId="77777777" w:rsidR="0073528B" w:rsidRPr="008C761D" w:rsidRDefault="0073528B"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04377A0" w14:textId="77777777" w:rsidR="004E1E75" w:rsidRPr="008C761D" w:rsidRDefault="004E1E75" w:rsidP="0004385D">
            <w:pPr>
              <w:pStyle w:val="ListParagraph"/>
              <w:numPr>
                <w:ilvl w:val="0"/>
                <w:numId w:val="22"/>
              </w:numPr>
              <w:tabs>
                <w:tab w:val="left" w:pos="363"/>
              </w:tabs>
              <w:spacing w:after="0" w:line="240" w:lineRule="auto"/>
              <w:ind w:left="459" w:hanging="283"/>
              <w:rPr>
                <w:rFonts w:cs="Calibri"/>
                <w:sz w:val="20"/>
                <w:szCs w:val="20"/>
                <w:lang w:val="en-US"/>
              </w:rPr>
            </w:pPr>
            <w:r w:rsidRPr="008C761D">
              <w:rPr>
                <w:rFonts w:cs="Calibri"/>
                <w:sz w:val="20"/>
                <w:szCs w:val="20"/>
                <w:lang w:val="en-US"/>
              </w:rPr>
              <w:t>Compiling general government debt data in line with the Maastricht Criteria;</w:t>
            </w:r>
          </w:p>
          <w:p w14:paraId="2750F6D7" w14:textId="77777777" w:rsidR="004E1E75" w:rsidRPr="008C761D" w:rsidRDefault="004E1E75" w:rsidP="0004385D">
            <w:pPr>
              <w:pStyle w:val="ListParagraph"/>
              <w:numPr>
                <w:ilvl w:val="0"/>
                <w:numId w:val="22"/>
              </w:numPr>
              <w:tabs>
                <w:tab w:val="left" w:pos="363"/>
              </w:tabs>
              <w:spacing w:after="0" w:line="240" w:lineRule="auto"/>
              <w:ind w:left="459" w:hanging="283"/>
              <w:rPr>
                <w:rFonts w:cs="Calibri"/>
                <w:sz w:val="20"/>
                <w:szCs w:val="20"/>
                <w:lang w:val="en-US"/>
              </w:rPr>
            </w:pPr>
            <w:r w:rsidRPr="008C761D">
              <w:rPr>
                <w:rFonts w:cs="Calibri"/>
                <w:sz w:val="20"/>
                <w:szCs w:val="20"/>
                <w:lang w:val="en-US"/>
              </w:rPr>
              <w:t>Compiling general government debt data in line with SDDS Plus;</w:t>
            </w:r>
          </w:p>
          <w:p w14:paraId="681A550B" w14:textId="77777777" w:rsidR="004E1E75" w:rsidRPr="008C761D" w:rsidRDefault="004E1E75" w:rsidP="0004385D">
            <w:pPr>
              <w:pStyle w:val="ListParagraph"/>
              <w:numPr>
                <w:ilvl w:val="0"/>
                <w:numId w:val="22"/>
              </w:numPr>
              <w:tabs>
                <w:tab w:val="left" w:pos="363"/>
              </w:tabs>
              <w:spacing w:after="0" w:line="240" w:lineRule="auto"/>
              <w:ind w:left="459" w:hanging="283"/>
              <w:rPr>
                <w:rFonts w:cs="Calibri"/>
                <w:sz w:val="20"/>
                <w:szCs w:val="20"/>
                <w:lang w:val="en-US"/>
              </w:rPr>
            </w:pPr>
            <w:r w:rsidRPr="008C761D">
              <w:rPr>
                <w:rFonts w:cs="Calibri"/>
                <w:sz w:val="20"/>
                <w:szCs w:val="20"/>
                <w:lang w:val="en-US"/>
              </w:rPr>
              <w:t>Issued annual borrowing plan.</w:t>
            </w:r>
          </w:p>
          <w:p w14:paraId="553D7703" w14:textId="77777777" w:rsidR="0073528B" w:rsidRPr="008C761D" w:rsidRDefault="004E1E75" w:rsidP="0004385D">
            <w:pPr>
              <w:pStyle w:val="ListParagraph"/>
              <w:numPr>
                <w:ilvl w:val="0"/>
                <w:numId w:val="22"/>
              </w:numPr>
              <w:tabs>
                <w:tab w:val="left" w:pos="363"/>
              </w:tabs>
              <w:spacing w:after="0" w:line="240" w:lineRule="auto"/>
              <w:ind w:left="459" w:hanging="283"/>
              <w:rPr>
                <w:rFonts w:cs="Calibri"/>
                <w:sz w:val="20"/>
                <w:szCs w:val="20"/>
                <w:lang w:val="en-US"/>
              </w:rPr>
            </w:pPr>
            <w:r w:rsidRPr="008C761D">
              <w:rPr>
                <w:rFonts w:cs="Calibri"/>
                <w:sz w:val="20"/>
                <w:szCs w:val="20"/>
                <w:lang w:val="en-US"/>
              </w:rPr>
              <w:t>Improved document for Annual Debt report</w:t>
            </w:r>
          </w:p>
        </w:tc>
      </w:tr>
      <w:tr w:rsidR="0073528B" w:rsidRPr="008C761D" w14:paraId="291F7CA3" w14:textId="77777777" w:rsidTr="00F87FA1">
        <w:tc>
          <w:tcPr>
            <w:tcW w:w="2518" w:type="dxa"/>
            <w:tcBorders>
              <w:top w:val="single" w:sz="4" w:space="0" w:color="FFFFFF"/>
              <w:bottom w:val="single" w:sz="4" w:space="0" w:color="FFFFFF"/>
            </w:tcBorders>
            <w:shd w:val="clear" w:color="auto" w:fill="2F5496"/>
          </w:tcPr>
          <w:p w14:paraId="0298028A"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1CA60BCD" w14:textId="77777777" w:rsidR="0073528B" w:rsidRPr="008C761D" w:rsidRDefault="00D0049A" w:rsidP="0004385D">
            <w:pPr>
              <w:tabs>
                <w:tab w:val="left" w:pos="363"/>
                <w:tab w:val="left" w:pos="1526"/>
              </w:tabs>
              <w:spacing w:after="0" w:line="240" w:lineRule="auto"/>
              <w:jc w:val="both"/>
              <w:rPr>
                <w:rFonts w:cs="Calibri"/>
                <w:sz w:val="20"/>
                <w:szCs w:val="20"/>
                <w:lang w:val="en-US"/>
              </w:rPr>
            </w:pPr>
            <w:r w:rsidRPr="008C761D">
              <w:rPr>
                <w:rFonts w:cs="Calibri"/>
                <w:sz w:val="20"/>
                <w:szCs w:val="20"/>
                <w:lang w:val="en-US"/>
              </w:rPr>
              <w:t>/</w:t>
            </w:r>
          </w:p>
        </w:tc>
      </w:tr>
      <w:tr w:rsidR="0073528B" w:rsidRPr="008C761D" w14:paraId="026C16A3" w14:textId="77777777" w:rsidTr="00F87FA1">
        <w:tc>
          <w:tcPr>
            <w:tcW w:w="2518" w:type="dxa"/>
            <w:tcBorders>
              <w:top w:val="single" w:sz="4" w:space="0" w:color="FFFFFF"/>
              <w:bottom w:val="single" w:sz="4" w:space="0" w:color="FFFFFF"/>
            </w:tcBorders>
            <w:shd w:val="clear" w:color="auto" w:fill="2F5496"/>
          </w:tcPr>
          <w:p w14:paraId="37FD366F"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081E032A" w14:textId="59515F66" w:rsidR="0073528B" w:rsidRPr="008C761D" w:rsidRDefault="00FA0745" w:rsidP="0004385D">
            <w:pPr>
              <w:tabs>
                <w:tab w:val="left" w:pos="363"/>
                <w:tab w:val="left" w:pos="4219"/>
              </w:tabs>
              <w:spacing w:after="0" w:line="240" w:lineRule="auto"/>
              <w:jc w:val="both"/>
              <w:rPr>
                <w:rFonts w:cs="Calibri"/>
                <w:sz w:val="20"/>
                <w:szCs w:val="20"/>
                <w:lang w:val="en-US"/>
              </w:rPr>
            </w:pPr>
            <w:r>
              <w:rPr>
                <w:rFonts w:cs="Calibri"/>
                <w:sz w:val="20"/>
                <w:szCs w:val="20"/>
                <w:lang w:val="en-US"/>
              </w:rPr>
              <w:t xml:space="preserve">- MoF - </w:t>
            </w:r>
            <w:r w:rsidR="0073528B" w:rsidRPr="008C761D">
              <w:rPr>
                <w:rFonts w:cs="Calibri"/>
                <w:sz w:val="20"/>
                <w:szCs w:val="20"/>
                <w:lang w:val="en-US"/>
              </w:rPr>
              <w:t>Public Debt Management Department</w:t>
            </w:r>
          </w:p>
        </w:tc>
      </w:tr>
      <w:tr w:rsidR="0073528B" w:rsidRPr="008C761D" w14:paraId="129DD21D" w14:textId="77777777" w:rsidTr="00F87FA1">
        <w:tc>
          <w:tcPr>
            <w:tcW w:w="2518" w:type="dxa"/>
            <w:tcBorders>
              <w:top w:val="single" w:sz="4" w:space="0" w:color="FFFFFF"/>
              <w:bottom w:val="nil"/>
            </w:tcBorders>
            <w:shd w:val="clear" w:color="auto" w:fill="2F5496"/>
          </w:tcPr>
          <w:p w14:paraId="07AD1D6C"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174E602D" w14:textId="77777777" w:rsidR="004E1E75" w:rsidRPr="008C761D" w:rsidRDefault="004E1E75" w:rsidP="0004385D">
            <w:pPr>
              <w:pStyle w:val="ListParagraph"/>
              <w:numPr>
                <w:ilvl w:val="0"/>
                <w:numId w:val="23"/>
              </w:numPr>
              <w:tabs>
                <w:tab w:val="left" w:pos="122"/>
                <w:tab w:val="left" w:pos="363"/>
              </w:tabs>
              <w:spacing w:after="0" w:line="240" w:lineRule="auto"/>
              <w:ind w:left="459"/>
              <w:rPr>
                <w:rFonts w:cs="Calibri"/>
                <w:sz w:val="20"/>
                <w:szCs w:val="20"/>
                <w:lang w:val="en-US"/>
              </w:rPr>
            </w:pPr>
            <w:r w:rsidRPr="008C761D">
              <w:rPr>
                <w:rFonts w:cs="Calibri"/>
                <w:sz w:val="20"/>
                <w:szCs w:val="20"/>
                <w:lang w:val="en-US"/>
              </w:rPr>
              <w:t>Insufficient human capacity to carry out the activity;</w:t>
            </w:r>
          </w:p>
          <w:p w14:paraId="34CC61B3" w14:textId="77777777" w:rsidR="004E1E75" w:rsidRPr="008C761D" w:rsidRDefault="004E1E75" w:rsidP="0004385D">
            <w:pPr>
              <w:pStyle w:val="ListParagraph"/>
              <w:numPr>
                <w:ilvl w:val="0"/>
                <w:numId w:val="23"/>
              </w:numPr>
              <w:tabs>
                <w:tab w:val="left" w:pos="122"/>
                <w:tab w:val="left" w:pos="363"/>
              </w:tabs>
              <w:spacing w:after="0" w:line="240" w:lineRule="auto"/>
              <w:ind w:left="459"/>
              <w:rPr>
                <w:rFonts w:cs="Calibri"/>
                <w:sz w:val="20"/>
                <w:szCs w:val="20"/>
                <w:lang w:val="en-US"/>
              </w:rPr>
            </w:pPr>
            <w:r w:rsidRPr="008C761D">
              <w:rPr>
                <w:rFonts w:cs="Calibri"/>
                <w:sz w:val="20"/>
                <w:szCs w:val="20"/>
                <w:lang w:val="en-US"/>
              </w:rPr>
              <w:lastRenderedPageBreak/>
              <w:t>Outflow of educated staff;</w:t>
            </w:r>
          </w:p>
          <w:p w14:paraId="1FCCE5EF" w14:textId="77777777" w:rsidR="0073528B" w:rsidRPr="008C761D" w:rsidRDefault="004E1E75" w:rsidP="0004385D">
            <w:pPr>
              <w:pStyle w:val="ListParagraph"/>
              <w:numPr>
                <w:ilvl w:val="0"/>
                <w:numId w:val="23"/>
              </w:numPr>
              <w:tabs>
                <w:tab w:val="left" w:pos="122"/>
                <w:tab w:val="left" w:pos="363"/>
              </w:tabs>
              <w:spacing w:after="0" w:line="240" w:lineRule="auto"/>
              <w:ind w:left="459"/>
              <w:rPr>
                <w:rFonts w:cs="Calibri"/>
                <w:sz w:val="20"/>
                <w:szCs w:val="20"/>
                <w:lang w:val="en-US"/>
              </w:rPr>
            </w:pPr>
            <w:r w:rsidRPr="008C761D">
              <w:rPr>
                <w:rFonts w:cs="Calibri"/>
                <w:sz w:val="20"/>
                <w:szCs w:val="20"/>
                <w:lang w:val="en-US"/>
              </w:rPr>
              <w:t>Political factors, as by amending government debt definition, general government debt stock will be increased.</w:t>
            </w:r>
          </w:p>
        </w:tc>
      </w:tr>
    </w:tbl>
    <w:p w14:paraId="4B925AEB" w14:textId="632B1CE6" w:rsidR="0073528B" w:rsidRPr="008C761D" w:rsidRDefault="0073528B" w:rsidP="00E84CD0">
      <w:pPr>
        <w:spacing w:before="240" w:line="240" w:lineRule="auto"/>
        <w:jc w:val="both"/>
        <w:rPr>
          <w:rFonts w:cs="Calibri"/>
          <w:b/>
          <w:color w:val="0070C0"/>
          <w:sz w:val="24"/>
          <w:szCs w:val="24"/>
          <w:lang w:val="en-US"/>
        </w:rPr>
      </w:pPr>
      <w:r w:rsidRPr="008C761D">
        <w:rPr>
          <w:rFonts w:cs="Calibri"/>
          <w:b/>
          <w:color w:val="0070C0"/>
          <w:sz w:val="24"/>
          <w:szCs w:val="24"/>
          <w:lang w:val="en-US"/>
        </w:rPr>
        <w:lastRenderedPageBreak/>
        <w:t>M</w:t>
      </w:r>
      <w:r w:rsidR="009036A5" w:rsidRPr="008C761D">
        <w:rPr>
          <w:rFonts w:cs="Calibri"/>
          <w:b/>
          <w:color w:val="0070C0"/>
          <w:sz w:val="24"/>
          <w:szCs w:val="24"/>
          <w:lang w:val="en-US"/>
        </w:rPr>
        <w:t xml:space="preserve">easure </w:t>
      </w:r>
      <w:r w:rsidRPr="008C761D">
        <w:rPr>
          <w:rFonts w:cs="Calibri"/>
          <w:b/>
          <w:color w:val="0070C0"/>
          <w:sz w:val="24"/>
          <w:szCs w:val="24"/>
          <w:lang w:val="en-US"/>
        </w:rPr>
        <w:t>3:</w:t>
      </w:r>
      <w:r w:rsidR="00CA0BA6">
        <w:rPr>
          <w:rFonts w:cs="Calibri"/>
          <w:b/>
          <w:color w:val="0070C0"/>
          <w:sz w:val="24"/>
          <w:szCs w:val="24"/>
          <w:lang w:val="en-US"/>
        </w:rPr>
        <w:t xml:space="preserve"> </w:t>
      </w:r>
      <w:r w:rsidRPr="008C761D">
        <w:rPr>
          <w:rFonts w:cs="Calibri"/>
          <w:b/>
          <w:color w:val="0070C0"/>
          <w:sz w:val="24"/>
          <w:szCs w:val="24"/>
          <w:lang w:val="en-US"/>
        </w:rPr>
        <w:t>Introducing new debt instruments</w:t>
      </w:r>
    </w:p>
    <w:p w14:paraId="48B6CA4A"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Measure objective</w:t>
      </w:r>
    </w:p>
    <w:p w14:paraId="277B6408" w14:textId="77777777" w:rsidR="0073528B" w:rsidRPr="008C761D" w:rsidRDefault="0073528B" w:rsidP="00E84CD0">
      <w:pPr>
        <w:pStyle w:val="NormalPFM1"/>
        <w:spacing w:line="240" w:lineRule="auto"/>
        <w:rPr>
          <w:rFonts w:cs="Calibri"/>
          <w:bCs/>
          <w:iCs/>
          <w:color w:val="000000"/>
          <w:sz w:val="22"/>
          <w:szCs w:val="22"/>
          <w:lang w:val="en-US"/>
        </w:rPr>
      </w:pPr>
      <w:r w:rsidRPr="008C761D">
        <w:rPr>
          <w:rFonts w:cs="Calibri"/>
          <w:bCs/>
          <w:iCs/>
          <w:color w:val="000000"/>
          <w:sz w:val="22"/>
          <w:szCs w:val="22"/>
          <w:lang w:val="en-US"/>
        </w:rPr>
        <w:t>Expanding investors’ database</w:t>
      </w:r>
      <w:r w:rsidR="001D09F1" w:rsidRPr="008C761D">
        <w:rPr>
          <w:rFonts w:cs="Calibri"/>
          <w:bCs/>
          <w:iCs/>
          <w:color w:val="000000"/>
          <w:sz w:val="22"/>
          <w:szCs w:val="22"/>
          <w:lang w:val="en-US"/>
        </w:rPr>
        <w:t>.</w:t>
      </w:r>
    </w:p>
    <w:p w14:paraId="43B95701"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73528B" w:rsidRPr="008C761D" w14:paraId="010D9CFA" w14:textId="77777777" w:rsidTr="00CE0F6C">
        <w:tc>
          <w:tcPr>
            <w:tcW w:w="1240" w:type="dxa"/>
            <w:shd w:val="clear" w:color="auto" w:fill="DDDDDD"/>
          </w:tcPr>
          <w:p w14:paraId="384BA1DF" w14:textId="77777777" w:rsidR="0073528B" w:rsidRPr="0004385D" w:rsidRDefault="0073528B" w:rsidP="00E84CD0">
            <w:pPr>
              <w:spacing w:before="80" w:after="0" w:line="240" w:lineRule="auto"/>
              <w:jc w:val="both"/>
              <w:rPr>
                <w:rFonts w:cs="Calibri"/>
                <w:b/>
                <w:sz w:val="20"/>
                <w:szCs w:val="20"/>
                <w:lang w:val="en-US"/>
              </w:rPr>
            </w:pPr>
            <w:r w:rsidRPr="0004385D">
              <w:rPr>
                <w:rFonts w:cs="Calibri"/>
                <w:b/>
                <w:sz w:val="20"/>
                <w:szCs w:val="20"/>
                <w:lang w:val="en-US"/>
              </w:rPr>
              <w:t>IMF:</w:t>
            </w:r>
          </w:p>
        </w:tc>
        <w:tc>
          <w:tcPr>
            <w:tcW w:w="7832" w:type="dxa"/>
            <w:shd w:val="clear" w:color="auto" w:fill="DDDDDD"/>
          </w:tcPr>
          <w:p w14:paraId="488DC00D" w14:textId="77777777" w:rsidR="0073528B" w:rsidRPr="008C761D" w:rsidRDefault="0073528B" w:rsidP="00E84CD0">
            <w:pPr>
              <w:autoSpaceDE w:val="0"/>
              <w:autoSpaceDN w:val="0"/>
              <w:adjustRightInd w:val="0"/>
              <w:spacing w:after="0" w:line="240" w:lineRule="auto"/>
              <w:jc w:val="both"/>
              <w:rPr>
                <w:rFonts w:cs="Calibri"/>
                <w:sz w:val="20"/>
                <w:szCs w:val="20"/>
                <w:lang w:val="en-US"/>
              </w:rPr>
            </w:pPr>
            <w:r w:rsidRPr="008C761D">
              <w:rPr>
                <w:rFonts w:cs="Calibri"/>
                <w:sz w:val="20"/>
                <w:szCs w:val="20"/>
                <w:lang w:val="en-US"/>
              </w:rPr>
              <w:t>The stress tests demonstrate the risks associated with the government’s high public financing needs, as well as the considerable share of FX-denominated debt.</w:t>
            </w:r>
          </w:p>
        </w:tc>
      </w:tr>
    </w:tbl>
    <w:p w14:paraId="024BC5AB"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Context/Background</w:t>
      </w:r>
    </w:p>
    <w:p w14:paraId="2FEACFFE" w14:textId="2875541E" w:rsidR="0073528B" w:rsidRPr="008C761D" w:rsidRDefault="0073528B" w:rsidP="00E84CD0">
      <w:pPr>
        <w:pStyle w:val="NormalPFM1"/>
        <w:spacing w:line="240" w:lineRule="auto"/>
        <w:rPr>
          <w:rFonts w:cs="Calibri"/>
          <w:bCs/>
          <w:iCs/>
          <w:color w:val="000000"/>
          <w:sz w:val="22"/>
          <w:szCs w:val="22"/>
          <w:lang w:val="en-US"/>
        </w:rPr>
      </w:pPr>
      <w:r w:rsidRPr="008C761D">
        <w:rPr>
          <w:rFonts w:cs="Calibri"/>
          <w:bCs/>
          <w:iCs/>
          <w:color w:val="000000"/>
          <w:sz w:val="22"/>
          <w:szCs w:val="22"/>
          <w:lang w:val="en-US"/>
        </w:rPr>
        <w:t>Budget deficit is financed in accordance with the prescribed legal framework, with government securities issued on both the domestic and the international financial markets, as well as loans from domestic and international creditors as sources of financing.</w:t>
      </w:r>
      <w:r w:rsidR="00D53B29">
        <w:rPr>
          <w:rFonts w:cs="Calibri"/>
          <w:bCs/>
          <w:iCs/>
          <w:color w:val="000000"/>
          <w:sz w:val="22"/>
          <w:szCs w:val="22"/>
          <w:lang w:val="en-US"/>
        </w:rPr>
        <w:t xml:space="preserve"> </w:t>
      </w:r>
      <w:r w:rsidRPr="008C761D">
        <w:rPr>
          <w:rFonts w:cs="Calibri"/>
          <w:bCs/>
          <w:iCs/>
          <w:color w:val="000000"/>
          <w:sz w:val="22"/>
          <w:szCs w:val="22"/>
          <w:lang w:val="en-US"/>
        </w:rPr>
        <w:t>More efficient development of the financial markets, with the ultimate goal of advancing the government securities market, requires further diversification of instruments on the domestic market.</w:t>
      </w:r>
    </w:p>
    <w:p w14:paraId="5E3A2251" w14:textId="1E6B07A9" w:rsidR="00B13A98" w:rsidRPr="000A5366" w:rsidRDefault="00B13A98" w:rsidP="00B13A98">
      <w:pPr>
        <w:pStyle w:val="Heading4"/>
        <w:spacing w:line="240" w:lineRule="auto"/>
        <w:rPr>
          <w:rFonts w:cs="Calibri"/>
          <w:i w:val="0"/>
          <w:color w:val="0070C0"/>
          <w:sz w:val="22"/>
          <w:szCs w:val="22"/>
          <w:lang w:val="en-US"/>
        </w:rPr>
      </w:pPr>
      <w:r w:rsidRPr="000A5366">
        <w:rPr>
          <w:rFonts w:cs="Calibri"/>
          <w:i w:val="0"/>
          <w:color w:val="0070C0"/>
          <w:sz w:val="22"/>
          <w:szCs w:val="22"/>
          <w:lang w:val="en-US"/>
        </w:rPr>
        <w:t>Activity 1:</w:t>
      </w:r>
      <w:r w:rsidR="00CA0BA6" w:rsidRPr="000A5366">
        <w:rPr>
          <w:rFonts w:cs="Calibri"/>
          <w:i w:val="0"/>
          <w:color w:val="0070C0"/>
          <w:sz w:val="22"/>
          <w:szCs w:val="22"/>
          <w:lang w:val="en-US"/>
        </w:rPr>
        <w:t xml:space="preserve"> </w:t>
      </w:r>
      <w:r w:rsidR="001733BE" w:rsidRPr="008208F0">
        <w:rPr>
          <w:rFonts w:cs="Calibri"/>
          <w:i w:val="0"/>
          <w:color w:val="0070C0"/>
          <w:sz w:val="22"/>
          <w:szCs w:val="22"/>
          <w:lang w:val="en-US"/>
        </w:rPr>
        <w:t xml:space="preserve">Issuing of Development bond for citizens </w:t>
      </w:r>
      <w:r w:rsidR="001733BE">
        <w:rPr>
          <w:rFonts w:cs="Calibri"/>
          <w:i w:val="0"/>
          <w:color w:val="0070C0"/>
          <w:sz w:val="22"/>
          <w:szCs w:val="22"/>
          <w:lang w:val="en-US"/>
        </w:rPr>
        <w:t xml:space="preserve"> </w:t>
      </w:r>
    </w:p>
    <w:p w14:paraId="77436336" w14:textId="77777777" w:rsidR="00B13A98" w:rsidRPr="008C761D" w:rsidRDefault="00B13A98" w:rsidP="00B13A98">
      <w:pPr>
        <w:spacing w:line="240" w:lineRule="auto"/>
        <w:jc w:val="both"/>
        <w:rPr>
          <w:rFonts w:cs="Calibri"/>
          <w:bCs/>
          <w:iCs/>
          <w:color w:val="000000"/>
          <w:lang w:val="en-US"/>
        </w:rPr>
      </w:pPr>
      <w:r w:rsidRPr="008C761D">
        <w:rPr>
          <w:rFonts w:cs="Calibri"/>
          <w:lang w:val="en-US"/>
        </w:rPr>
        <w:t>For the purpose of more efficient development of the financial markets, with the ultimate goal of advancing the government securities market, new financing instruments are envisaged to be introduced in the coming period.</w:t>
      </w:r>
    </w:p>
    <w:p w14:paraId="63EBEE63" w14:textId="77777777" w:rsidR="00794E24" w:rsidRPr="00B9284C" w:rsidRDefault="00236ABA" w:rsidP="00794E24">
      <w:pPr>
        <w:spacing w:line="240" w:lineRule="auto"/>
        <w:jc w:val="both"/>
        <w:rPr>
          <w:rFonts w:cs="Calibri"/>
          <w:lang w:val="en-US"/>
        </w:rPr>
      </w:pPr>
      <w:bookmarkStart w:id="22" w:name="_Hlk156379410"/>
      <w:r w:rsidRPr="008C761D">
        <w:rPr>
          <w:rFonts w:cs="Calibri"/>
          <w:lang w:val="en-US"/>
        </w:rPr>
        <w:t xml:space="preserve">For a more efficient development of the financial markets, the Ministry of Finance is focused on issuing new instruments on the domestic securities market. </w:t>
      </w:r>
      <w:r w:rsidR="00367CB7">
        <w:rPr>
          <w:rFonts w:cs="Calibri"/>
          <w:lang w:val="en-US"/>
        </w:rPr>
        <w:t>For this purpose, starting from</w:t>
      </w:r>
      <w:r w:rsidRPr="008C761D">
        <w:rPr>
          <w:rFonts w:cs="Calibri"/>
          <w:lang w:val="en-US"/>
        </w:rPr>
        <w:t xml:space="preserve"> 2023 a </w:t>
      </w:r>
      <w:r w:rsidR="00367CB7">
        <w:rPr>
          <w:rFonts w:cs="Calibri"/>
          <w:lang w:val="en-US"/>
        </w:rPr>
        <w:t xml:space="preserve">development bonds for Citizens </w:t>
      </w:r>
      <w:r w:rsidRPr="008C761D">
        <w:rPr>
          <w:rFonts w:cs="Calibri"/>
          <w:lang w:val="en-US"/>
        </w:rPr>
        <w:t>are planned to be issued on a regular basis. These securities have the same characteristics as ordinary bonds, but are intended for the citizens of the Republic of North Macedonia. With this new instrument on the financial market, citizens took advantage of the opportunity to invest in an instrument that for them is risk-free, reliable and brings an attractive return, protecting the value of their money from inflation.</w:t>
      </w:r>
      <w:r w:rsidR="00794E24">
        <w:rPr>
          <w:rFonts w:cs="Calibri"/>
        </w:rPr>
        <w:t xml:space="preserve"> </w:t>
      </w:r>
      <w:r w:rsidR="00794E24" w:rsidRPr="00B9284C">
        <w:rPr>
          <w:rFonts w:cs="Calibri"/>
          <w:lang w:val="en-US"/>
        </w:rPr>
        <w:t xml:space="preserve">The first auction of the development bond for citizens </w:t>
      </w:r>
      <w:r w:rsidR="00794E24">
        <w:rPr>
          <w:rFonts w:cs="Calibri"/>
          <w:lang w:val="en-US"/>
        </w:rPr>
        <w:t xml:space="preserve">was </w:t>
      </w:r>
      <w:r w:rsidR="00794E24" w:rsidRPr="00B9284C">
        <w:rPr>
          <w:rFonts w:cs="Calibri"/>
          <w:lang w:val="en-US"/>
        </w:rPr>
        <w:t>successfully completed at 13th July 2023, given that the accepted amount reached Denar 1,448,030,000, which is twice as much as the amount offered under the respective Prospectus, amounting to Denar 600 million, and 1,283 citizens participated at the auction.</w:t>
      </w:r>
    </w:p>
    <w:p w14:paraId="63CA208A" w14:textId="3B01B440" w:rsidR="00E6110F" w:rsidRPr="0037730E" w:rsidRDefault="00794E24" w:rsidP="00B13A98">
      <w:pPr>
        <w:spacing w:line="240" w:lineRule="auto"/>
        <w:jc w:val="both"/>
        <w:rPr>
          <w:rFonts w:cs="Calibri"/>
          <w:lang w:val="en-US"/>
        </w:rPr>
      </w:pPr>
      <w:r w:rsidRPr="00B9284C">
        <w:rPr>
          <w:rFonts w:cs="Calibri"/>
          <w:lang w:val="en-US"/>
        </w:rPr>
        <w:t>After the overwhelming interest from the citizens another auction for the Development bond was held on the 07th of November 2023 where the same conditions were offered in the Prospectus including the amount, tenor, interest rate and 907 citizens participated at the auction, investing total of Denar 1,085,480,000.</w:t>
      </w:r>
    </w:p>
    <w:p w14:paraId="5C4F341C" w14:textId="06B7EEED" w:rsidR="00E6110F" w:rsidRPr="000A5366" w:rsidRDefault="00E6110F" w:rsidP="00E6110F">
      <w:pPr>
        <w:keepNext/>
        <w:keepLines/>
        <w:spacing w:before="160" w:after="60" w:line="240" w:lineRule="auto"/>
        <w:jc w:val="both"/>
        <w:outlineLvl w:val="3"/>
        <w:rPr>
          <w:rFonts w:eastAsia="MS PGothic" w:cs="Calibri"/>
          <w:b/>
          <w:bCs/>
          <w:iCs/>
          <w:color w:val="0070C0"/>
          <w:lang w:val="en-US" w:eastAsia="zh-CN"/>
        </w:rPr>
      </w:pPr>
      <w:r w:rsidRPr="000A5366">
        <w:rPr>
          <w:rFonts w:eastAsia="MS PGothic" w:cs="Calibri"/>
          <w:b/>
          <w:bCs/>
          <w:iCs/>
          <w:color w:val="0070C0"/>
          <w:lang w:val="en-US" w:eastAsia="zh-CN"/>
        </w:rPr>
        <w:t xml:space="preserve">Activity </w:t>
      </w:r>
      <w:r w:rsidR="00456166" w:rsidRPr="000A5366">
        <w:rPr>
          <w:rFonts w:eastAsia="MS PGothic" w:cs="Calibri"/>
          <w:b/>
          <w:bCs/>
          <w:iCs/>
          <w:color w:val="0070C0"/>
          <w:lang w:val="en-US" w:eastAsia="zh-CN"/>
        </w:rPr>
        <w:t>2</w:t>
      </w:r>
      <w:r w:rsidRPr="000A5366">
        <w:rPr>
          <w:rFonts w:eastAsia="MS PGothic" w:cs="Calibri"/>
          <w:b/>
          <w:bCs/>
          <w:iCs/>
          <w:color w:val="0070C0"/>
          <w:lang w:val="en-US" w:eastAsia="zh-CN"/>
        </w:rPr>
        <w:t>:</w:t>
      </w:r>
      <w:r w:rsidR="00CA0BA6" w:rsidRPr="000A5366">
        <w:rPr>
          <w:rFonts w:eastAsia="MS PGothic" w:cs="Calibri"/>
          <w:b/>
          <w:bCs/>
          <w:iCs/>
          <w:color w:val="0070C0"/>
          <w:lang w:val="en-US" w:eastAsia="zh-CN"/>
        </w:rPr>
        <w:t xml:space="preserve"> </w:t>
      </w:r>
      <w:r w:rsidRPr="000A5366">
        <w:rPr>
          <w:rFonts w:eastAsia="MS PGothic" w:cs="Calibri"/>
          <w:b/>
          <w:iCs/>
          <w:color w:val="0070C0"/>
          <w:lang w:val="en-US" w:eastAsia="zh-CN"/>
        </w:rPr>
        <w:t xml:space="preserve">Issuing of Green bonds on domestic market </w:t>
      </w:r>
    </w:p>
    <w:p w14:paraId="658EF82D" w14:textId="0B7B13DF" w:rsidR="00E6110F" w:rsidRPr="00794E24" w:rsidRDefault="00E6110F" w:rsidP="00E6110F">
      <w:pPr>
        <w:spacing w:line="240" w:lineRule="auto"/>
        <w:jc w:val="both"/>
        <w:rPr>
          <w:rFonts w:cs="Calibri"/>
        </w:rPr>
      </w:pPr>
      <w:r w:rsidRPr="008C761D">
        <w:rPr>
          <w:rFonts w:cs="Calibri"/>
          <w:bCs/>
          <w:iCs/>
          <w:color w:val="000000"/>
          <w:lang w:val="en-US"/>
        </w:rPr>
        <w:t xml:space="preserve">Green bonds </w:t>
      </w:r>
      <w:r w:rsidR="001F5CDA">
        <w:rPr>
          <w:rFonts w:cs="Calibri"/>
          <w:bCs/>
          <w:iCs/>
          <w:color w:val="000000"/>
          <w:lang w:val="en-US"/>
        </w:rPr>
        <w:t>have been</w:t>
      </w:r>
      <w:r w:rsidRPr="008C761D">
        <w:rPr>
          <w:rFonts w:cs="Calibri"/>
          <w:bCs/>
          <w:iCs/>
          <w:color w:val="000000"/>
          <w:lang w:val="en-US"/>
        </w:rPr>
        <w:t xml:space="preserve"> introduced for the purpose of supporting and encouraging projects aimed at promoting the environment protection, the ultimate goal of which is transition towards green economy and financing environment-friendly projects, thus improving the energy efficiency, preventing or reducing pollution, facilitating the waste management, supporting the agriculture, fishing and forestry, protecting aquatic and terrestrial ecosystems, providing clean transport and sustainable management of waters and cultivating environment-friendly technologies.</w:t>
      </w:r>
      <w:r w:rsidR="00794E24">
        <w:rPr>
          <w:rFonts w:cs="Calibri"/>
          <w:bCs/>
          <w:iCs/>
          <w:color w:val="000000"/>
        </w:rPr>
        <w:t xml:space="preserve"> </w:t>
      </w:r>
      <w:r w:rsidR="00794E24" w:rsidRPr="00B9284C">
        <w:rPr>
          <w:rFonts w:cs="Calibri"/>
          <w:bCs/>
          <w:iCs/>
          <w:color w:val="000000"/>
          <w:lang w:val="en-US"/>
        </w:rPr>
        <w:t>The green bond is a financial instrument that the Ministry of Finance introduces in its portfolio as a new instrument, on 03rd October 2023. Under the respective Prospectus, the amount offered and accepted was Denar 600 milion, although the demand was nearly three times higher.</w:t>
      </w:r>
    </w:p>
    <w:p w14:paraId="2F794C50" w14:textId="485014C3" w:rsidR="00B13A98" w:rsidRPr="008C761D" w:rsidRDefault="00E6110F" w:rsidP="00B13A98">
      <w:pPr>
        <w:spacing w:line="240" w:lineRule="auto"/>
        <w:jc w:val="both"/>
        <w:rPr>
          <w:rFonts w:cs="Calibri"/>
          <w:lang w:val="en-US"/>
        </w:rPr>
      </w:pPr>
      <w:r w:rsidRPr="008C761D">
        <w:rPr>
          <w:lang w:val="en-US" w:eastAsia="zh-CN"/>
        </w:rPr>
        <w:t xml:space="preserve">The funds collected from auction of green bond </w:t>
      </w:r>
      <w:r w:rsidR="001F5CDA">
        <w:rPr>
          <w:lang w:val="en-US" w:eastAsia="zh-CN"/>
        </w:rPr>
        <w:t>from 2023 have been</w:t>
      </w:r>
      <w:r w:rsidRPr="008C761D">
        <w:rPr>
          <w:lang w:val="en-US" w:eastAsia="zh-CN"/>
        </w:rPr>
        <w:t xml:space="preserve"> directed to the established Energy Efficiency Fund within the framework of the Development Bank. These are government </w:t>
      </w:r>
      <w:r w:rsidRPr="008C761D">
        <w:rPr>
          <w:lang w:val="en-US" w:eastAsia="zh-CN"/>
        </w:rPr>
        <w:lastRenderedPageBreak/>
        <w:t>securities with the purpose to support green projects in the country, and the goal is also the development of the capital market in the country, through the diversification of the offer with new instruments.</w:t>
      </w:r>
      <w:bookmarkEnd w:id="22"/>
    </w:p>
    <w:p w14:paraId="5B7169C2" w14:textId="77777777" w:rsidR="0073528B" w:rsidRPr="008C761D" w:rsidRDefault="0073528B" w:rsidP="00E84CD0">
      <w:pPr>
        <w:pStyle w:val="Heading4"/>
        <w:spacing w:line="240" w:lineRule="auto"/>
        <w:rPr>
          <w:rFonts w:cs="Calibri"/>
          <w:sz w:val="22"/>
          <w:szCs w:val="22"/>
          <w:lang w:val="en-US"/>
        </w:rPr>
      </w:pPr>
      <w:r w:rsidRPr="008C761D">
        <w:rPr>
          <w:rFonts w:cs="Calibri"/>
          <w:sz w:val="22"/>
          <w:szCs w:val="22"/>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8C761D" w14:paraId="372FB960" w14:textId="77777777" w:rsidTr="00F87FA1">
        <w:tc>
          <w:tcPr>
            <w:tcW w:w="2518" w:type="dxa"/>
            <w:tcBorders>
              <w:top w:val="nil"/>
              <w:bottom w:val="single" w:sz="4" w:space="0" w:color="FFFFFF"/>
            </w:tcBorders>
            <w:shd w:val="clear" w:color="auto" w:fill="2F5496"/>
          </w:tcPr>
          <w:p w14:paraId="28F3295F" w14:textId="77777777" w:rsidR="0073528B" w:rsidRPr="008C761D" w:rsidRDefault="0073528B"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1386D896" w14:textId="77777777" w:rsidR="0073528B" w:rsidRPr="008C761D" w:rsidRDefault="0073528B"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B13A98" w:rsidRPr="008C761D">
              <w:rPr>
                <w:rFonts w:cs="Calibri"/>
                <w:sz w:val="20"/>
                <w:szCs w:val="20"/>
                <w:lang w:val="en-US"/>
              </w:rPr>
              <w:t>7</w:t>
            </w:r>
          </w:p>
        </w:tc>
      </w:tr>
      <w:tr w:rsidR="0073528B" w:rsidRPr="008C761D" w14:paraId="09BB7ABD" w14:textId="77777777" w:rsidTr="00F87FA1">
        <w:tc>
          <w:tcPr>
            <w:tcW w:w="2518" w:type="dxa"/>
            <w:tcBorders>
              <w:top w:val="single" w:sz="4" w:space="0" w:color="FFFFFF"/>
              <w:bottom w:val="single" w:sz="4" w:space="0" w:color="FFFFFF"/>
            </w:tcBorders>
            <w:shd w:val="clear" w:color="auto" w:fill="2F5496"/>
          </w:tcPr>
          <w:p w14:paraId="3CE76B45" w14:textId="77777777" w:rsidR="0073528B" w:rsidRPr="008C761D" w:rsidRDefault="0073528B"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150B1647" w14:textId="77777777" w:rsidR="0073528B" w:rsidRPr="008C761D" w:rsidRDefault="0073528B" w:rsidP="00E84CD0">
            <w:pPr>
              <w:pStyle w:val="ListParagraph"/>
              <w:tabs>
                <w:tab w:val="left" w:pos="122"/>
              </w:tabs>
              <w:spacing w:after="0" w:line="240" w:lineRule="auto"/>
              <w:ind w:left="0"/>
              <w:rPr>
                <w:rFonts w:cs="Calibri"/>
                <w:sz w:val="20"/>
                <w:szCs w:val="20"/>
                <w:lang w:val="en-US"/>
              </w:rPr>
            </w:pPr>
            <w:r w:rsidRPr="008C761D">
              <w:rPr>
                <w:rFonts w:cs="Calibri"/>
                <w:sz w:val="20"/>
                <w:szCs w:val="20"/>
                <w:lang w:val="en-US"/>
              </w:rPr>
              <w:t>Diversification of debt instruments</w:t>
            </w:r>
          </w:p>
          <w:p w14:paraId="65625DF5" w14:textId="77777777" w:rsidR="0073528B" w:rsidRPr="008C761D" w:rsidRDefault="0073528B" w:rsidP="00E84CD0">
            <w:pPr>
              <w:pStyle w:val="ListParagraph"/>
              <w:tabs>
                <w:tab w:val="left" w:pos="122"/>
                <w:tab w:val="left" w:pos="4219"/>
              </w:tabs>
              <w:spacing w:after="0" w:line="240" w:lineRule="auto"/>
              <w:ind w:left="352"/>
              <w:rPr>
                <w:rFonts w:cs="Calibri"/>
                <w:sz w:val="20"/>
                <w:szCs w:val="20"/>
                <w:lang w:val="en-US"/>
              </w:rPr>
            </w:pPr>
          </w:p>
        </w:tc>
      </w:tr>
      <w:tr w:rsidR="0073528B" w:rsidRPr="008C761D" w14:paraId="39EC45D6" w14:textId="77777777" w:rsidTr="00F87FA1">
        <w:tc>
          <w:tcPr>
            <w:tcW w:w="2518" w:type="dxa"/>
            <w:tcBorders>
              <w:top w:val="single" w:sz="4" w:space="0" w:color="FFFFFF"/>
              <w:bottom w:val="single" w:sz="4" w:space="0" w:color="FFFFFF"/>
            </w:tcBorders>
            <w:shd w:val="clear" w:color="auto" w:fill="2F5496"/>
          </w:tcPr>
          <w:p w14:paraId="78606C5D"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262A2578" w14:textId="77777777" w:rsidR="0073528B" w:rsidRPr="008C761D" w:rsidRDefault="00D0049A" w:rsidP="00E84CD0">
            <w:pPr>
              <w:tabs>
                <w:tab w:val="left" w:pos="1526"/>
              </w:tabs>
              <w:spacing w:after="0" w:line="240" w:lineRule="auto"/>
              <w:jc w:val="both"/>
              <w:rPr>
                <w:rFonts w:cs="Calibri"/>
                <w:sz w:val="20"/>
                <w:szCs w:val="20"/>
                <w:lang w:val="en-US"/>
              </w:rPr>
            </w:pPr>
            <w:r w:rsidRPr="008C761D">
              <w:rPr>
                <w:rFonts w:cs="Calibri"/>
                <w:sz w:val="20"/>
                <w:szCs w:val="20"/>
                <w:lang w:val="en-US"/>
              </w:rPr>
              <w:t>/</w:t>
            </w:r>
          </w:p>
        </w:tc>
      </w:tr>
      <w:tr w:rsidR="0073528B" w:rsidRPr="008C761D" w14:paraId="35EBD226" w14:textId="77777777" w:rsidTr="00F87FA1">
        <w:tc>
          <w:tcPr>
            <w:tcW w:w="2518" w:type="dxa"/>
            <w:tcBorders>
              <w:top w:val="single" w:sz="4" w:space="0" w:color="FFFFFF"/>
              <w:bottom w:val="single" w:sz="4" w:space="0" w:color="FFFFFF"/>
            </w:tcBorders>
            <w:shd w:val="clear" w:color="auto" w:fill="2F5496"/>
          </w:tcPr>
          <w:p w14:paraId="383FE308"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05F57DE8" w14:textId="76D6356E" w:rsidR="0073528B" w:rsidRPr="008C761D" w:rsidRDefault="00FA0745" w:rsidP="00E84CD0">
            <w:pPr>
              <w:pStyle w:val="ListParagraph"/>
              <w:tabs>
                <w:tab w:val="left" w:pos="122"/>
                <w:tab w:val="left" w:pos="4219"/>
              </w:tabs>
              <w:spacing w:after="0" w:line="240" w:lineRule="auto"/>
              <w:ind w:left="0"/>
              <w:rPr>
                <w:rFonts w:cs="Calibri"/>
                <w:sz w:val="20"/>
                <w:szCs w:val="20"/>
                <w:lang w:val="en-US"/>
              </w:rPr>
            </w:pPr>
            <w:r>
              <w:rPr>
                <w:rFonts w:cs="Calibri"/>
                <w:sz w:val="20"/>
                <w:szCs w:val="20"/>
                <w:lang w:val="en-US"/>
              </w:rPr>
              <w:t xml:space="preserve">- MoF - </w:t>
            </w:r>
            <w:r w:rsidR="0073528B" w:rsidRPr="008C761D">
              <w:rPr>
                <w:rFonts w:cs="Calibri"/>
                <w:sz w:val="20"/>
                <w:szCs w:val="20"/>
                <w:lang w:val="en-US"/>
              </w:rPr>
              <w:t>Public Debt Management Department</w:t>
            </w:r>
          </w:p>
        </w:tc>
      </w:tr>
      <w:tr w:rsidR="0073528B" w:rsidRPr="008C761D" w14:paraId="2A10CE21" w14:textId="77777777" w:rsidTr="00F87FA1">
        <w:tc>
          <w:tcPr>
            <w:tcW w:w="2518" w:type="dxa"/>
            <w:tcBorders>
              <w:top w:val="single" w:sz="4" w:space="0" w:color="FFFFFF"/>
              <w:bottom w:val="nil"/>
            </w:tcBorders>
            <w:shd w:val="clear" w:color="auto" w:fill="2F5496"/>
          </w:tcPr>
          <w:p w14:paraId="32E9BD5E" w14:textId="77777777" w:rsidR="0073528B" w:rsidRPr="008C761D" w:rsidRDefault="0073528B"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4C129684" w14:textId="77777777" w:rsidR="0073528B" w:rsidRPr="008C761D" w:rsidRDefault="0073528B" w:rsidP="0004385D">
            <w:pPr>
              <w:numPr>
                <w:ilvl w:val="0"/>
                <w:numId w:val="53"/>
              </w:numPr>
              <w:tabs>
                <w:tab w:val="left" w:pos="122"/>
                <w:tab w:val="left" w:pos="601"/>
              </w:tabs>
              <w:spacing w:after="0" w:line="240" w:lineRule="auto"/>
              <w:ind w:left="633" w:hanging="630"/>
              <w:jc w:val="both"/>
              <w:rPr>
                <w:rFonts w:cs="Calibri"/>
                <w:sz w:val="20"/>
                <w:szCs w:val="20"/>
                <w:lang w:val="en-US"/>
              </w:rPr>
            </w:pPr>
            <w:r w:rsidRPr="008C761D">
              <w:rPr>
                <w:rFonts w:cs="Calibri"/>
                <w:sz w:val="20"/>
                <w:szCs w:val="20"/>
                <w:lang w:val="en-US"/>
              </w:rPr>
              <w:t>Outflow of educated staff</w:t>
            </w:r>
            <w:r w:rsidR="00196939" w:rsidRPr="008C761D">
              <w:rPr>
                <w:rFonts w:cs="Calibri"/>
                <w:sz w:val="20"/>
                <w:szCs w:val="20"/>
                <w:lang w:val="en-US"/>
              </w:rPr>
              <w:t>;</w:t>
            </w:r>
          </w:p>
          <w:p w14:paraId="002517DB" w14:textId="77777777" w:rsidR="0073528B" w:rsidRPr="008C761D" w:rsidRDefault="0073528B" w:rsidP="0004385D">
            <w:pPr>
              <w:numPr>
                <w:ilvl w:val="0"/>
                <w:numId w:val="53"/>
              </w:numPr>
              <w:tabs>
                <w:tab w:val="left" w:pos="122"/>
                <w:tab w:val="left" w:pos="601"/>
              </w:tabs>
              <w:spacing w:after="0" w:line="240" w:lineRule="auto"/>
              <w:ind w:left="633" w:hanging="630"/>
              <w:jc w:val="both"/>
              <w:rPr>
                <w:rFonts w:cs="Calibri"/>
                <w:sz w:val="20"/>
                <w:szCs w:val="20"/>
                <w:lang w:val="en-US"/>
              </w:rPr>
            </w:pPr>
            <w:r w:rsidRPr="008C761D">
              <w:rPr>
                <w:rFonts w:cs="Calibri"/>
                <w:sz w:val="20"/>
                <w:szCs w:val="20"/>
                <w:lang w:val="en-US"/>
              </w:rPr>
              <w:t>Limited demand for the new instruments</w:t>
            </w:r>
            <w:r w:rsidR="00196939" w:rsidRPr="008C761D">
              <w:rPr>
                <w:rFonts w:cs="Calibri"/>
                <w:sz w:val="20"/>
                <w:szCs w:val="20"/>
                <w:lang w:val="en-US"/>
              </w:rPr>
              <w:t>.</w:t>
            </w:r>
          </w:p>
        </w:tc>
      </w:tr>
    </w:tbl>
    <w:p w14:paraId="61C089DA" w14:textId="77777777" w:rsidR="003B362E" w:rsidRPr="008C761D" w:rsidRDefault="003B362E" w:rsidP="00E84CD0">
      <w:pPr>
        <w:spacing w:line="240" w:lineRule="auto"/>
        <w:jc w:val="both"/>
        <w:rPr>
          <w:rFonts w:cs="Calibri"/>
          <w:lang w:val="en-US" w:eastAsia="zh-CN"/>
        </w:rPr>
      </w:pPr>
    </w:p>
    <w:p w14:paraId="32754B76" w14:textId="77777777" w:rsidR="00D14A15" w:rsidRPr="000A5366" w:rsidRDefault="00C47346" w:rsidP="00E84CD0">
      <w:pPr>
        <w:pStyle w:val="Heading1"/>
        <w:spacing w:line="240" w:lineRule="auto"/>
        <w:jc w:val="both"/>
        <w:rPr>
          <w:rFonts w:ascii="Calibri" w:eastAsia="MS PGothic" w:hAnsi="Calibri" w:cs="Calibri"/>
          <w:color w:val="2F5496"/>
          <w:lang w:val="en-US" w:eastAsia="zh-CN"/>
        </w:rPr>
      </w:pPr>
      <w:r w:rsidRPr="008C761D">
        <w:rPr>
          <w:lang w:val="en-US" w:eastAsia="zh-CN"/>
        </w:rPr>
        <w:br w:type="page"/>
      </w:r>
      <w:bookmarkStart w:id="23" w:name="_Toc160611813"/>
      <w:r w:rsidR="003B362E" w:rsidRPr="000A5366">
        <w:rPr>
          <w:rFonts w:ascii="Calibri" w:eastAsia="MS PGothic" w:hAnsi="Calibri" w:cs="Calibri"/>
          <w:color w:val="2F5496"/>
          <w:lang w:val="en-US" w:eastAsia="zh-CN"/>
        </w:rPr>
        <w:lastRenderedPageBreak/>
        <w:t>PILLAR II - Revenue Mobilisation</w:t>
      </w:r>
      <w:bookmarkEnd w:id="23"/>
    </w:p>
    <w:p w14:paraId="58DCAA7C" w14:textId="7211CE4D" w:rsidR="00D144DD" w:rsidRPr="008C761D" w:rsidRDefault="00367CB7" w:rsidP="00E84CD0">
      <w:pPr>
        <w:spacing w:line="240" w:lineRule="auto"/>
        <w:jc w:val="both"/>
        <w:rPr>
          <w:rStyle w:val="Emphasis"/>
          <w:rFonts w:cs="Calibri"/>
          <w:b/>
          <w:i w:val="0"/>
          <w:color w:val="2E74B5" w:themeColor="accent5" w:themeShade="BF"/>
          <w:shd w:val="clear" w:color="auto" w:fill="FFFFFF"/>
          <w:lang w:val="en-US"/>
        </w:rPr>
      </w:pPr>
      <w:r w:rsidRPr="008C761D">
        <w:rPr>
          <w:rStyle w:val="Emphasis"/>
          <w:rFonts w:cs="Calibri"/>
          <w:b/>
          <w:i w:val="0"/>
          <w:color w:val="2E74B5" w:themeColor="accent5" w:themeShade="BF"/>
          <w:shd w:val="clear" w:color="auto" w:fill="FFFFFF"/>
          <w:lang w:val="en-US"/>
        </w:rPr>
        <w:t>Introduction</w:t>
      </w:r>
    </w:p>
    <w:p w14:paraId="24852EDD" w14:textId="693643C4" w:rsidR="00D67B41" w:rsidRPr="008C761D" w:rsidRDefault="00D67B41" w:rsidP="00D67B41">
      <w:pPr>
        <w:spacing w:line="240" w:lineRule="auto"/>
        <w:jc w:val="both"/>
        <w:rPr>
          <w:rStyle w:val="Emphasis"/>
          <w:rFonts w:cs="Calibri"/>
          <w:i w:val="0"/>
          <w:color w:val="2C2825"/>
          <w:shd w:val="clear" w:color="auto" w:fill="FFFFFF"/>
          <w:lang w:val="en-US"/>
        </w:rPr>
      </w:pPr>
      <w:r w:rsidRPr="008C761D">
        <w:rPr>
          <w:rStyle w:val="Emphasis"/>
          <w:rFonts w:cs="Calibri"/>
          <w:i w:val="0"/>
          <w:color w:val="2C2825"/>
          <w:shd w:val="clear" w:color="auto" w:fill="FFFFFF"/>
          <w:lang w:val="en-US"/>
        </w:rPr>
        <w:t xml:space="preserve">Higher government revenues would create much-needed fiscal room for </w:t>
      </w:r>
      <w:r w:rsidR="00367CB7" w:rsidRPr="008C761D">
        <w:rPr>
          <w:rStyle w:val="Emphasis"/>
          <w:rFonts w:cs="Calibri"/>
          <w:i w:val="0"/>
          <w:color w:val="2C2825"/>
          <w:shd w:val="clear" w:color="auto" w:fill="FFFFFF"/>
          <w:lang w:val="en-US"/>
        </w:rPr>
        <w:t>maneuver</w:t>
      </w:r>
      <w:r w:rsidRPr="008C761D">
        <w:rPr>
          <w:rStyle w:val="Emphasis"/>
          <w:rFonts w:cs="Calibri"/>
          <w:i w:val="0"/>
          <w:color w:val="2C2825"/>
          <w:shd w:val="clear" w:color="auto" w:fill="FFFFFF"/>
          <w:lang w:val="en-US"/>
        </w:rPr>
        <w:t xml:space="preserve"> and allow for more spending that drives potential growth over the medium term, including infrastructure, healthcare and education. In addition, more reliable sources of revenue would help avoid volatility in public expenditure and pro-cyclical fiscal policy.</w:t>
      </w:r>
    </w:p>
    <w:p w14:paraId="2463A9A1" w14:textId="77777777" w:rsidR="00D67B41" w:rsidRPr="008C761D" w:rsidRDefault="00D67B41" w:rsidP="00D67B41">
      <w:pPr>
        <w:spacing w:line="240" w:lineRule="auto"/>
        <w:jc w:val="both"/>
        <w:rPr>
          <w:rStyle w:val="Emphasis"/>
          <w:rFonts w:cs="Calibri"/>
          <w:i w:val="0"/>
          <w:color w:val="2C2825"/>
          <w:shd w:val="clear" w:color="auto" w:fill="FFFFFF"/>
          <w:lang w:val="en-US"/>
        </w:rPr>
      </w:pPr>
      <w:r w:rsidRPr="008C761D">
        <w:rPr>
          <w:rStyle w:val="Emphasis"/>
          <w:rFonts w:cs="Calibri"/>
          <w:i w:val="0"/>
          <w:color w:val="2C2825"/>
          <w:shd w:val="clear" w:color="auto" w:fill="FFFFFF"/>
          <w:lang w:val="en-US"/>
        </w:rPr>
        <w:t xml:space="preserve">Priorities within this pillar are directed towards improving stability, efficiency and quality of the overall revenue system in the country in order to ensure sustainable and sound public finance management, professional service to taxpayers, tax compliance and support of legal trade with strengthened mechanisms for control. </w:t>
      </w:r>
    </w:p>
    <w:p w14:paraId="1E6F5B0F" w14:textId="77777777" w:rsidR="00D67B41" w:rsidRPr="008C761D" w:rsidRDefault="00D67B41" w:rsidP="00D67B41">
      <w:pPr>
        <w:spacing w:line="240" w:lineRule="auto"/>
        <w:jc w:val="both"/>
        <w:rPr>
          <w:rFonts w:cs="Calibri"/>
          <w:color w:val="2C2825"/>
          <w:shd w:val="clear" w:color="auto" w:fill="FFFFFF"/>
          <w:lang w:val="en-US"/>
        </w:rPr>
      </w:pPr>
      <w:r w:rsidRPr="008C761D">
        <w:rPr>
          <w:rStyle w:val="Emphasis"/>
          <w:rFonts w:cs="Calibri"/>
          <w:i w:val="0"/>
          <w:color w:val="2C2825"/>
          <w:shd w:val="clear" w:color="auto" w:fill="FFFFFF"/>
          <w:lang w:val="en-US"/>
        </w:rPr>
        <w:t>Efficient revenue collection in the country will be ensured through modernization and digitalization of institutions, by following the recommendations for harmonization and association with the EU.</w:t>
      </w:r>
    </w:p>
    <w:p w14:paraId="3105128F" w14:textId="77777777" w:rsidR="00D67B41" w:rsidRPr="008C761D" w:rsidRDefault="00D67B41" w:rsidP="00D67B41">
      <w:pPr>
        <w:spacing w:line="240" w:lineRule="auto"/>
        <w:jc w:val="both"/>
        <w:rPr>
          <w:rFonts w:cs="Calibri"/>
          <w:iCs/>
          <w:color w:val="2C2825"/>
          <w:shd w:val="clear" w:color="auto" w:fill="FFFFFF"/>
          <w:lang w:val="en-US"/>
        </w:rPr>
      </w:pPr>
      <w:r w:rsidRPr="008C761D">
        <w:rPr>
          <w:rFonts w:cs="Calibri"/>
          <w:iCs/>
          <w:color w:val="2C2825"/>
          <w:shd w:val="clear" w:color="auto" w:fill="FFFFFF"/>
          <w:lang w:val="en-US"/>
        </w:rPr>
        <w:t>This Pillar is consisted of three priorities as follows:</w:t>
      </w:r>
    </w:p>
    <w:p w14:paraId="2AA5D610" w14:textId="77777777" w:rsidR="00D67B41" w:rsidRPr="008C761D" w:rsidRDefault="00D67B41" w:rsidP="003A338C">
      <w:pPr>
        <w:numPr>
          <w:ilvl w:val="0"/>
          <w:numId w:val="78"/>
        </w:numPr>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1: Tax and Customs Policy</w:t>
      </w:r>
    </w:p>
    <w:p w14:paraId="3711DCAF" w14:textId="77777777" w:rsidR="00D67B41" w:rsidRPr="008C761D" w:rsidRDefault="00D67B41" w:rsidP="003A338C">
      <w:pPr>
        <w:numPr>
          <w:ilvl w:val="0"/>
          <w:numId w:val="78"/>
        </w:numPr>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2: Tax administration</w:t>
      </w:r>
    </w:p>
    <w:p w14:paraId="434BFA3E" w14:textId="77777777" w:rsidR="00D67B41" w:rsidRPr="008C761D" w:rsidRDefault="00D67B41" w:rsidP="003A338C">
      <w:pPr>
        <w:numPr>
          <w:ilvl w:val="0"/>
          <w:numId w:val="78"/>
        </w:numPr>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3: Customs</w:t>
      </w:r>
    </w:p>
    <w:p w14:paraId="54CC001A" w14:textId="77777777" w:rsidR="00D67B41" w:rsidRPr="008C761D" w:rsidRDefault="00D67B41" w:rsidP="00D67B41">
      <w:pPr>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1: Tax and Customs Policy</w:t>
      </w:r>
    </w:p>
    <w:p w14:paraId="312CCEA5" w14:textId="77777777" w:rsidR="00D67B41" w:rsidRPr="008C761D" w:rsidRDefault="00D67B41" w:rsidP="00D67B41">
      <w:pPr>
        <w:spacing w:line="240" w:lineRule="auto"/>
        <w:jc w:val="both"/>
        <w:rPr>
          <w:rFonts w:cs="Calibri"/>
          <w:color w:val="2C2825"/>
          <w:shd w:val="clear" w:color="auto" w:fill="FFFFFF"/>
          <w:lang w:val="en-US"/>
        </w:rPr>
      </w:pPr>
      <w:r w:rsidRPr="008C761D">
        <w:rPr>
          <w:rFonts w:cs="Calibri"/>
          <w:color w:val="2C2825"/>
          <w:shd w:val="clear" w:color="auto" w:fill="FFFFFF"/>
          <w:lang w:val="en-US"/>
        </w:rPr>
        <w:t>The aim of this Priority is to improve the revenue legislation framework through its harmonization with the EU acquis and EU best practices and to align it with the country’s tax policy strategic framework.</w:t>
      </w:r>
    </w:p>
    <w:p w14:paraId="1F006AAF" w14:textId="71B96C2F" w:rsidR="00D67B41" w:rsidRPr="008C761D" w:rsidRDefault="00D67B41" w:rsidP="00D67B41">
      <w:pPr>
        <w:spacing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Namely, the EU </w:t>
      </w:r>
      <w:r w:rsidR="00367CB7" w:rsidRPr="008C761D">
        <w:rPr>
          <w:rFonts w:cs="Calibri"/>
          <w:color w:val="2C2825"/>
          <w:shd w:val="clear" w:color="auto" w:fill="FFFFFF"/>
          <w:lang w:val="en-US"/>
        </w:rPr>
        <w:t>accession</w:t>
      </w:r>
      <w:r w:rsidRPr="008C761D">
        <w:rPr>
          <w:rFonts w:cs="Calibri"/>
          <w:color w:val="2C2825"/>
          <w:shd w:val="clear" w:color="auto" w:fill="FFFFFF"/>
          <w:lang w:val="en-US"/>
        </w:rPr>
        <w:t xml:space="preserve"> negotiation process remains a priority for the country, with the first step being already taken i.e analytical examination of the EU acquis (the screening process) of Chapter 16 and Chapter 29.</w:t>
      </w:r>
    </w:p>
    <w:p w14:paraId="6E096DC6" w14:textId="42F642FA" w:rsidR="00D67B41" w:rsidRPr="008C761D" w:rsidRDefault="00D67B41" w:rsidP="00D67B41">
      <w:pPr>
        <w:spacing w:line="240" w:lineRule="auto"/>
        <w:jc w:val="both"/>
        <w:rPr>
          <w:lang w:val="en-US"/>
        </w:rPr>
      </w:pPr>
      <w:r w:rsidRPr="008C761D">
        <w:rPr>
          <w:rFonts w:cs="Calibri"/>
          <w:color w:val="2C2825"/>
          <w:shd w:val="clear" w:color="auto" w:fill="FFFFFF"/>
          <w:lang w:val="en-US"/>
        </w:rPr>
        <w:t xml:space="preserve">Therefore, and taking into consideration that according to the EU Progress Report for North Macedonia for 2023, the country is „moderately </w:t>
      </w:r>
      <w:proofErr w:type="gramStart"/>
      <w:r w:rsidRPr="008C761D">
        <w:rPr>
          <w:rFonts w:cs="Calibri"/>
          <w:color w:val="2C2825"/>
          <w:shd w:val="clear" w:color="auto" w:fill="FFFFFF"/>
          <w:lang w:val="en-US"/>
        </w:rPr>
        <w:t>prepared“ in</w:t>
      </w:r>
      <w:proofErr w:type="gramEnd"/>
      <w:r w:rsidRPr="008C761D">
        <w:rPr>
          <w:rFonts w:cs="Calibri"/>
          <w:color w:val="2C2825"/>
          <w:shd w:val="clear" w:color="auto" w:fill="FFFFFF"/>
          <w:lang w:val="en-US"/>
        </w:rPr>
        <w:t xml:space="preserve"> the area of taxation and has a „</w:t>
      </w:r>
      <w:r w:rsidRPr="008C761D">
        <w:rPr>
          <w:lang w:val="en-US"/>
        </w:rPr>
        <w:t>good</w:t>
      </w:r>
      <w:r w:rsidR="00367CB7">
        <w:rPr>
          <w:lang w:val="en-US"/>
        </w:rPr>
        <w:t xml:space="preserve"> </w:t>
      </w:r>
      <w:r w:rsidRPr="008C761D">
        <w:rPr>
          <w:lang w:val="en-US"/>
        </w:rPr>
        <w:t>level</w:t>
      </w:r>
      <w:r w:rsidR="00367CB7">
        <w:rPr>
          <w:lang w:val="en-US"/>
        </w:rPr>
        <w:t xml:space="preserve"> </w:t>
      </w:r>
      <w:r w:rsidRPr="008C761D">
        <w:rPr>
          <w:lang w:val="en-US"/>
        </w:rPr>
        <w:t>of</w:t>
      </w:r>
      <w:r w:rsidR="00367CB7">
        <w:rPr>
          <w:lang w:val="en-US"/>
        </w:rPr>
        <w:t xml:space="preserve"> </w:t>
      </w:r>
      <w:r w:rsidRPr="008C761D">
        <w:rPr>
          <w:lang w:val="en-US"/>
        </w:rPr>
        <w:t>preparation”</w:t>
      </w:r>
      <w:r w:rsidR="00367CB7">
        <w:rPr>
          <w:lang w:val="en-US"/>
        </w:rPr>
        <w:t xml:space="preserve"> </w:t>
      </w:r>
      <w:r w:rsidRPr="008C761D">
        <w:rPr>
          <w:lang w:val="en-US"/>
        </w:rPr>
        <w:t>in</w:t>
      </w:r>
      <w:r w:rsidR="00367CB7">
        <w:rPr>
          <w:lang w:val="en-US"/>
        </w:rPr>
        <w:t xml:space="preserve"> </w:t>
      </w:r>
      <w:r w:rsidRPr="008C761D">
        <w:rPr>
          <w:lang w:val="en-US"/>
        </w:rPr>
        <w:t>the</w:t>
      </w:r>
      <w:r w:rsidR="00367CB7">
        <w:rPr>
          <w:lang w:val="en-US"/>
        </w:rPr>
        <w:t xml:space="preserve"> </w:t>
      </w:r>
      <w:r w:rsidRPr="008C761D">
        <w:rPr>
          <w:lang w:val="en-US"/>
        </w:rPr>
        <w:t>area of Customs, further work needs to be done towards full alignement with the acquis communitaire.</w:t>
      </w:r>
    </w:p>
    <w:p w14:paraId="7AC53997" w14:textId="053E9C09" w:rsidR="00D67B41" w:rsidRPr="008C761D" w:rsidRDefault="00D67B41" w:rsidP="00D67B41">
      <w:pPr>
        <w:spacing w:line="240" w:lineRule="auto"/>
        <w:jc w:val="both"/>
        <w:rPr>
          <w:lang w:val="en-US"/>
        </w:rPr>
      </w:pPr>
      <w:r w:rsidRPr="008C761D">
        <w:rPr>
          <w:lang w:val="en-US"/>
        </w:rPr>
        <w:t xml:space="preserve">In addition, following the country policy priorities to increase the fairness of taxation, to improve the efficiency and productivity of the tax system and to increase the tax transparency, the revenue legislation needs to be subjected to </w:t>
      </w:r>
      <w:r w:rsidR="00367CB7" w:rsidRPr="008C761D">
        <w:rPr>
          <w:lang w:val="en-US"/>
        </w:rPr>
        <w:t>continuous</w:t>
      </w:r>
      <w:r w:rsidRPr="008C761D">
        <w:rPr>
          <w:lang w:val="en-US"/>
        </w:rPr>
        <w:t xml:space="preserve"> reevaluation in terms of the tax expenditures </w:t>
      </w:r>
      <w:r w:rsidR="00367CB7" w:rsidRPr="008C761D">
        <w:rPr>
          <w:lang w:val="en-US"/>
        </w:rPr>
        <w:t>embedded</w:t>
      </w:r>
      <w:r w:rsidRPr="008C761D">
        <w:rPr>
          <w:lang w:val="en-US"/>
        </w:rPr>
        <w:t xml:space="preserve"> into the tax legislation.  </w:t>
      </w:r>
    </w:p>
    <w:p w14:paraId="7B3F4F03" w14:textId="77777777" w:rsidR="00D67B41" w:rsidRPr="008C761D" w:rsidRDefault="006A55CA" w:rsidP="00D67B41">
      <w:pPr>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2: Tax administration</w:t>
      </w:r>
    </w:p>
    <w:p w14:paraId="46C71B5A" w14:textId="77777777" w:rsidR="00D67B41" w:rsidRPr="008C761D" w:rsidRDefault="00D67B41" w:rsidP="00D67B41">
      <w:pPr>
        <w:spacing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The primary objective is to optimize tax administration by implementing a state-of-the-art Integrated Tax Information System. This cutting-edge technology solution is designed to simplify the tax process for both individuals and businesses, fostering transparency and efficiency. The integrated system will enable seamless data flow and real-time information sharing across different tax functions, promoting a holistic approach to revenue collection. Through the use of advanced systems, we aim to enhance compliance mechanisms, creating a more streamlined experience for taxpayers. Concurrently, our focus on risk management will fortify efforts against potential tax evasion, promoting fairness in revenue collection. By adopting contemporary approaches and aligning with international standards, tax administration endeavors to establish a resilient and </w:t>
      </w:r>
      <w:r w:rsidRPr="008C761D">
        <w:rPr>
          <w:rFonts w:cs="Calibri"/>
          <w:color w:val="2C2825"/>
          <w:shd w:val="clear" w:color="auto" w:fill="FFFFFF"/>
          <w:lang w:val="en-US"/>
        </w:rPr>
        <w:lastRenderedPageBreak/>
        <w:t>progressive tax administration framework, contributing to sustained economic growth and fiscal stability.</w:t>
      </w:r>
    </w:p>
    <w:p w14:paraId="5F712FDF" w14:textId="77777777" w:rsidR="003C20E4" w:rsidRPr="008C761D" w:rsidRDefault="006A55CA" w:rsidP="00CE2DF4">
      <w:pPr>
        <w:tabs>
          <w:tab w:val="left" w:pos="0"/>
        </w:tabs>
        <w:spacing w:line="240" w:lineRule="auto"/>
        <w:jc w:val="both"/>
        <w:rPr>
          <w:rFonts w:cs="Calibri"/>
          <w:b/>
          <w:color w:val="2C2825"/>
          <w:shd w:val="clear" w:color="auto" w:fill="FFFFFF"/>
          <w:lang w:val="en-US"/>
        </w:rPr>
      </w:pPr>
      <w:r w:rsidRPr="008C761D">
        <w:rPr>
          <w:rFonts w:cs="Calibri"/>
          <w:b/>
          <w:color w:val="2C2825"/>
          <w:shd w:val="clear" w:color="auto" w:fill="FFFFFF"/>
          <w:lang w:val="en-US"/>
        </w:rPr>
        <w:t>Priority 3: Customs</w:t>
      </w:r>
    </w:p>
    <w:p w14:paraId="040E538F" w14:textId="106BE38B" w:rsidR="00236ABA" w:rsidRPr="008C761D" w:rsidRDefault="00236ABA" w:rsidP="00236ABA">
      <w:pPr>
        <w:tabs>
          <w:tab w:val="left" w:pos="0"/>
        </w:tabs>
        <w:spacing w:line="240" w:lineRule="auto"/>
        <w:jc w:val="both"/>
        <w:rPr>
          <w:rFonts w:cs="Calibri"/>
          <w:color w:val="2C2825"/>
          <w:shd w:val="clear" w:color="auto" w:fill="FFFFFF"/>
          <w:lang w:val="en-US"/>
        </w:rPr>
      </w:pPr>
      <w:r w:rsidRPr="008C761D">
        <w:rPr>
          <w:rFonts w:cs="Calibri"/>
          <w:color w:val="2C2825"/>
          <w:shd w:val="clear" w:color="auto" w:fill="FFFFFF"/>
          <w:lang w:val="en-US"/>
        </w:rPr>
        <w:t xml:space="preserve">The aim of this priority is to implement facilitated customs procedures properly controlled without causing delays in the flow of goods and passengers, with strengthened control mechanisms. Customs Administration following this priority should ensure </w:t>
      </w:r>
      <w:r w:rsidR="00367CB7" w:rsidRPr="008C761D">
        <w:rPr>
          <w:rFonts w:cs="Calibri"/>
          <w:color w:val="2C2825"/>
          <w:shd w:val="clear" w:color="auto" w:fill="FFFFFF"/>
          <w:lang w:val="en-US"/>
        </w:rPr>
        <w:t>efficient</w:t>
      </w:r>
      <w:r w:rsidRPr="008C761D">
        <w:rPr>
          <w:rFonts w:cs="Calibri"/>
          <w:color w:val="2C2825"/>
          <w:shd w:val="clear" w:color="auto" w:fill="FFFFFF"/>
          <w:lang w:val="en-US"/>
        </w:rPr>
        <w:t xml:space="preserve"> revenue collection, modernization and digitalization, by following the recommendations for harmonization and association with the EU.</w:t>
      </w:r>
    </w:p>
    <w:p w14:paraId="38763DAF" w14:textId="77777777" w:rsidR="00236ABA" w:rsidRPr="008C761D" w:rsidRDefault="00236ABA" w:rsidP="00236ABA">
      <w:pPr>
        <w:tabs>
          <w:tab w:val="left" w:pos="0"/>
        </w:tabs>
        <w:spacing w:line="240" w:lineRule="auto"/>
        <w:jc w:val="both"/>
        <w:rPr>
          <w:rFonts w:cs="Calibri"/>
          <w:color w:val="2C2825"/>
          <w:shd w:val="clear" w:color="auto" w:fill="FFFFFF"/>
          <w:lang w:val="en-US"/>
        </w:rPr>
      </w:pPr>
      <w:r w:rsidRPr="008C761D">
        <w:rPr>
          <w:rFonts w:cs="Calibri"/>
          <w:color w:val="2C2825"/>
          <w:shd w:val="clear" w:color="auto" w:fill="FFFFFF"/>
          <w:lang w:val="en-US"/>
        </w:rPr>
        <w:t>Through strengthening joint control mechanisms and capacities in order to combat illegal trade and organized crime is expected to suppress illegal trade and organized crime, protect the legal economy, ensure safety and security, protect the health and safety of citizens and protect the environment. Supply chain oversight is based on risk management that ensures faster flow of goods and passengers, and controls are performed selectively to protect the financial interests of the national economy, society and the environment. The appropriate distribution of controls, before customs clearance, during customs procedures and after customs clearance, provides a balance for the proper use of available resources.</w:t>
      </w:r>
    </w:p>
    <w:p w14:paraId="646D694E" w14:textId="77777777" w:rsidR="00236ABA" w:rsidRPr="008C761D" w:rsidRDefault="00236ABA" w:rsidP="00236ABA">
      <w:pPr>
        <w:tabs>
          <w:tab w:val="left" w:pos="0"/>
        </w:tabs>
        <w:spacing w:line="240" w:lineRule="auto"/>
        <w:jc w:val="both"/>
        <w:rPr>
          <w:rFonts w:cs="Calibri"/>
          <w:color w:val="2C2825"/>
          <w:shd w:val="clear" w:color="auto" w:fill="FFFFFF"/>
          <w:lang w:val="en-US"/>
        </w:rPr>
      </w:pPr>
      <w:r w:rsidRPr="008C761D">
        <w:rPr>
          <w:rFonts w:cs="Calibri"/>
          <w:color w:val="2C2825"/>
          <w:shd w:val="clear" w:color="auto" w:fill="FFFFFF"/>
          <w:lang w:val="en-US"/>
        </w:rPr>
        <w:t>Implementation of modern systems in order to comply with the Multiannual Strategic Plan of the EU (MASP), would be introduction of a complete paperless environment in the customs procedure, through the implementation of electronic systems from the e-Customs program, compatible with the systems and procedures in the European Union and preparation for interconnection and interoperability with EU systems and implementation of systems compliant with EU systems.</w:t>
      </w:r>
      <w:r w:rsidRPr="008C761D">
        <w:rPr>
          <w:lang w:val="en-US"/>
        </w:rPr>
        <w:t xml:space="preserve">  </w:t>
      </w:r>
      <w:r w:rsidRPr="008C761D">
        <w:rPr>
          <w:rFonts w:cs="Calibri"/>
          <w:color w:val="2C2825"/>
          <w:shd w:val="clear" w:color="auto" w:fill="FFFFFF"/>
          <w:lang w:val="en-US"/>
        </w:rPr>
        <w:t xml:space="preserve">Customs Administration is leading institution for the Chapter 29 – Customs Union where the level of approximation and harmonisation with the EU is on a high level. The cost for achieving such result is continuous vast investments into people, processes, and equipment, especially in the ICT aspects. </w:t>
      </w:r>
    </w:p>
    <w:p w14:paraId="72222B9D" w14:textId="77777777" w:rsidR="00A64FD7" w:rsidRPr="000A5366" w:rsidRDefault="00A00124" w:rsidP="00E84CD0">
      <w:pPr>
        <w:pStyle w:val="Heading1"/>
        <w:spacing w:line="240" w:lineRule="auto"/>
        <w:jc w:val="both"/>
        <w:rPr>
          <w:rFonts w:ascii="Calibri" w:hAnsi="Calibri" w:cs="Calibri"/>
          <w:color w:val="2F5496"/>
          <w:sz w:val="28"/>
          <w:szCs w:val="28"/>
          <w:lang w:val="en-US"/>
        </w:rPr>
      </w:pPr>
      <w:r w:rsidRPr="008C761D">
        <w:rPr>
          <w:rFonts w:ascii="Calibri" w:hAnsi="Calibri" w:cs="Calibri"/>
          <w:color w:val="2F5496"/>
          <w:lang w:val="en-US"/>
        </w:rPr>
        <w:br w:type="page"/>
      </w:r>
      <w:bookmarkStart w:id="24" w:name="_Toc160611814"/>
      <w:r w:rsidR="00A64FD7" w:rsidRPr="000A5366">
        <w:rPr>
          <w:rFonts w:ascii="Calibri" w:hAnsi="Calibri" w:cs="Calibri"/>
          <w:color w:val="2F5496"/>
          <w:sz w:val="28"/>
          <w:szCs w:val="28"/>
          <w:lang w:val="en-US"/>
        </w:rPr>
        <w:lastRenderedPageBreak/>
        <w:t>Priority 1: Tax and customs policy</w:t>
      </w:r>
      <w:bookmarkEnd w:id="24"/>
    </w:p>
    <w:p w14:paraId="23F021AB" w14:textId="77777777" w:rsidR="00BA57FF" w:rsidRPr="008C761D" w:rsidRDefault="00BA57FF"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55E916F8" w14:textId="77777777" w:rsidR="00C025EB" w:rsidRPr="008C761D" w:rsidRDefault="00C025EB" w:rsidP="00D30E64">
      <w:pPr>
        <w:spacing w:line="240" w:lineRule="auto"/>
        <w:jc w:val="both"/>
        <w:rPr>
          <w:rFonts w:eastAsia="MS PGothic" w:cs="Calibri"/>
          <w:color w:val="FF0000"/>
          <w:lang w:val="en-US" w:eastAsia="zh-CN"/>
        </w:rPr>
      </w:pPr>
      <w:r w:rsidRPr="008C761D">
        <w:rPr>
          <w:rFonts w:cs="Calibri"/>
          <w:lang w:val="en-US"/>
        </w:rPr>
        <w:t>Overall objective of this priority is to improve the stability, efficiency and quality of the overall tax system in the country that will support sustainable and sound revenue mobilization.</w:t>
      </w:r>
      <w:r w:rsidRPr="008C761D" w:rsidDel="00C95E3A">
        <w:rPr>
          <w:rFonts w:cs="Calibri"/>
          <w:lang w:val="en-US"/>
        </w:rPr>
        <w:t xml:space="preserve"> </w:t>
      </w:r>
    </w:p>
    <w:p w14:paraId="6A230DFE" w14:textId="77777777" w:rsidR="00C025EB" w:rsidRPr="008C761D" w:rsidRDefault="00C025EB" w:rsidP="00C025EB">
      <w:pPr>
        <w:spacing w:line="240" w:lineRule="auto"/>
        <w:jc w:val="both"/>
        <w:rPr>
          <w:rFonts w:cs="Calibri"/>
          <w:lang w:val="en-US"/>
        </w:rPr>
      </w:pPr>
      <w:r w:rsidRPr="008C761D">
        <w:rPr>
          <w:rFonts w:cs="Calibri"/>
          <w:lang w:val="en-US"/>
        </w:rPr>
        <w:t>Objective of this priority will be achieved through the following measures and activities:</w:t>
      </w:r>
    </w:p>
    <w:tbl>
      <w:tblPr>
        <w:tblW w:w="8553" w:type="dxa"/>
        <w:tblInd w:w="548" w:type="dxa"/>
        <w:tblLook w:val="01E0" w:firstRow="1" w:lastRow="1" w:firstColumn="1" w:lastColumn="1" w:noHBand="0" w:noVBand="0"/>
      </w:tblPr>
      <w:tblGrid>
        <w:gridCol w:w="1252"/>
        <w:gridCol w:w="7301"/>
      </w:tblGrid>
      <w:tr w:rsidR="00E31665" w:rsidRPr="008C761D" w14:paraId="03E41099" w14:textId="77777777" w:rsidTr="00C36177">
        <w:trPr>
          <w:trHeight w:val="666"/>
        </w:trPr>
        <w:tc>
          <w:tcPr>
            <w:tcW w:w="1252" w:type="dxa"/>
            <w:shd w:val="clear" w:color="auto" w:fill="auto"/>
          </w:tcPr>
          <w:p w14:paraId="648156B0" w14:textId="5FAB6494" w:rsidR="00E31665" w:rsidRPr="008C761D" w:rsidRDefault="00E31665" w:rsidP="0058242F">
            <w:pPr>
              <w:spacing w:line="240" w:lineRule="auto"/>
              <w:jc w:val="both"/>
              <w:rPr>
                <w:rFonts w:cs="Calibri"/>
                <w:b/>
                <w:lang w:val="en-US"/>
              </w:rPr>
            </w:pPr>
            <w:r w:rsidRPr="008C761D">
              <w:rPr>
                <w:rFonts w:cs="Calibri"/>
                <w:b/>
                <w:lang w:val="en-US"/>
              </w:rPr>
              <w:t>Measure</w:t>
            </w:r>
            <w:r w:rsidR="00FA0745">
              <w:rPr>
                <w:rFonts w:cs="Calibri"/>
                <w:b/>
                <w:lang w:val="en-US"/>
              </w:rPr>
              <w:t xml:space="preserve"> </w:t>
            </w:r>
            <w:r w:rsidRPr="008C761D">
              <w:rPr>
                <w:rFonts w:cs="Calibri"/>
                <w:b/>
                <w:lang w:val="en-US"/>
              </w:rPr>
              <w:t>1:</w:t>
            </w:r>
          </w:p>
          <w:p w14:paraId="5F6E6AF9" w14:textId="77777777" w:rsidR="00EB301D" w:rsidRPr="008C761D" w:rsidRDefault="00EB301D" w:rsidP="0058242F">
            <w:pPr>
              <w:spacing w:line="240" w:lineRule="auto"/>
              <w:jc w:val="both"/>
              <w:rPr>
                <w:rFonts w:cs="Calibri"/>
                <w:b/>
                <w:sz w:val="6"/>
                <w:szCs w:val="6"/>
                <w:lang w:val="en-US"/>
              </w:rPr>
            </w:pPr>
          </w:p>
          <w:p w14:paraId="272B6066" w14:textId="3B705B80" w:rsidR="00EB301D" w:rsidRPr="008C761D" w:rsidRDefault="00EB301D" w:rsidP="0058242F">
            <w:pPr>
              <w:spacing w:line="240" w:lineRule="auto"/>
              <w:jc w:val="both"/>
              <w:rPr>
                <w:rFonts w:cs="Calibri"/>
                <w:b/>
                <w:lang w:val="en-US"/>
              </w:rPr>
            </w:pPr>
            <w:r w:rsidRPr="008C761D">
              <w:rPr>
                <w:rFonts w:cs="Calibri"/>
                <w:lang w:val="en-US"/>
              </w:rPr>
              <w:t>Activity 1:</w:t>
            </w:r>
          </w:p>
        </w:tc>
        <w:tc>
          <w:tcPr>
            <w:tcW w:w="7301" w:type="dxa"/>
            <w:shd w:val="clear" w:color="auto" w:fill="auto"/>
          </w:tcPr>
          <w:p w14:paraId="7BCC6F82" w14:textId="77777777" w:rsidR="00E31665" w:rsidRPr="008C761D" w:rsidRDefault="00C025EB" w:rsidP="0058242F">
            <w:pPr>
              <w:spacing w:line="240" w:lineRule="auto"/>
              <w:jc w:val="both"/>
              <w:rPr>
                <w:rFonts w:cs="Calibri"/>
                <w:b/>
                <w:lang w:val="en-US"/>
              </w:rPr>
            </w:pPr>
            <w:r w:rsidRPr="008C761D">
              <w:rPr>
                <w:rFonts w:cs="Calibri"/>
                <w:b/>
                <w:lang w:val="en-US"/>
              </w:rPr>
              <w:t>Improved revenue legislation framework, harmonized with the EU acquis and best practices</w:t>
            </w:r>
          </w:p>
          <w:p w14:paraId="461DE4EC" w14:textId="610E601B" w:rsidR="00EB301D" w:rsidRPr="008C761D" w:rsidRDefault="00EB301D" w:rsidP="0058242F">
            <w:pPr>
              <w:spacing w:line="240" w:lineRule="auto"/>
              <w:jc w:val="both"/>
              <w:rPr>
                <w:rFonts w:cs="Calibri"/>
                <w:b/>
                <w:lang w:val="en-US"/>
              </w:rPr>
            </w:pPr>
            <w:r w:rsidRPr="008C761D">
              <w:rPr>
                <w:rFonts w:cs="Calibri"/>
                <w:lang w:val="en-US"/>
              </w:rPr>
              <w:t xml:space="preserve">Gap analysis of the national tax and customs legislation (laws and by-laws) compared to </w:t>
            </w:r>
            <w:proofErr w:type="gramStart"/>
            <w:r w:rsidRPr="008C761D">
              <w:rPr>
                <w:rFonts w:cs="Calibri"/>
                <w:lang w:val="en-US"/>
              </w:rPr>
              <w:t>the  EU</w:t>
            </w:r>
            <w:proofErr w:type="gramEnd"/>
            <w:r w:rsidRPr="008C761D">
              <w:rPr>
                <w:rFonts w:cs="Calibri"/>
                <w:lang w:val="en-US"/>
              </w:rPr>
              <w:t xml:space="preserve"> legislation and best practices.</w:t>
            </w:r>
          </w:p>
        </w:tc>
      </w:tr>
      <w:tr w:rsidR="006B1000" w:rsidRPr="008C761D" w14:paraId="46F173EE" w14:textId="77777777" w:rsidTr="0058242F">
        <w:trPr>
          <w:trHeight w:val="684"/>
        </w:trPr>
        <w:tc>
          <w:tcPr>
            <w:tcW w:w="1252" w:type="dxa"/>
            <w:shd w:val="clear" w:color="auto" w:fill="auto"/>
          </w:tcPr>
          <w:p w14:paraId="22E0DE9E" w14:textId="77777777" w:rsidR="006B1000" w:rsidRPr="008C761D" w:rsidRDefault="006B1000" w:rsidP="006B1000">
            <w:pPr>
              <w:spacing w:line="240" w:lineRule="auto"/>
              <w:jc w:val="both"/>
              <w:rPr>
                <w:rFonts w:cs="Calibri"/>
                <w:lang w:val="en-US"/>
              </w:rPr>
            </w:pPr>
            <w:r w:rsidRPr="008C761D">
              <w:rPr>
                <w:rFonts w:cs="Calibri"/>
                <w:lang w:val="en-US"/>
              </w:rPr>
              <w:t>Activity2:</w:t>
            </w:r>
          </w:p>
          <w:p w14:paraId="69F9446D" w14:textId="16CA0B33" w:rsidR="006B1000" w:rsidRPr="008C761D" w:rsidRDefault="006B1000" w:rsidP="006B1000">
            <w:pPr>
              <w:spacing w:line="240" w:lineRule="auto"/>
              <w:jc w:val="both"/>
              <w:rPr>
                <w:rFonts w:cs="Calibri"/>
                <w:lang w:val="en-US"/>
              </w:rPr>
            </w:pPr>
          </w:p>
        </w:tc>
        <w:tc>
          <w:tcPr>
            <w:tcW w:w="7301" w:type="dxa"/>
            <w:shd w:val="clear" w:color="auto" w:fill="auto"/>
          </w:tcPr>
          <w:p w14:paraId="1AC30708" w14:textId="531027D5" w:rsidR="006B1000" w:rsidRPr="008C761D" w:rsidRDefault="00C025EB" w:rsidP="006B1000">
            <w:pPr>
              <w:spacing w:line="240" w:lineRule="auto"/>
              <w:jc w:val="both"/>
              <w:rPr>
                <w:rFonts w:cs="Calibri"/>
                <w:lang w:val="en-US"/>
              </w:rPr>
            </w:pPr>
            <w:r w:rsidRPr="008C761D">
              <w:rPr>
                <w:rFonts w:cs="Calibri"/>
                <w:lang w:val="en-US"/>
              </w:rPr>
              <w:t>New legal acts and/or amendments to the existing national tax and customs legislation (laws and by-laws) drafted in line with the EU legislation and best practices.</w:t>
            </w:r>
          </w:p>
        </w:tc>
      </w:tr>
    </w:tbl>
    <w:p w14:paraId="37F949E1" w14:textId="77777777" w:rsidR="00E31665" w:rsidRPr="008C761D" w:rsidRDefault="00E31665" w:rsidP="00E31665">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411CAD02" w14:textId="77777777" w:rsidR="00C025EB" w:rsidRPr="008C761D" w:rsidRDefault="00C025EB" w:rsidP="00C025EB">
      <w:pPr>
        <w:spacing w:line="240" w:lineRule="auto"/>
        <w:jc w:val="both"/>
        <w:rPr>
          <w:rFonts w:cs="Calibri"/>
          <w:lang w:val="en-US"/>
        </w:rPr>
      </w:pPr>
      <w:r w:rsidRPr="008C761D">
        <w:rPr>
          <w:rFonts w:cs="Calibri"/>
          <w:lang w:val="en-US"/>
        </w:rPr>
        <w:t>Legislation in the area of taxation and customs harmonized with the Union acquis, standards and best practices and with the country tax policy strategic framework</w:t>
      </w:r>
    </w:p>
    <w:p w14:paraId="5561A968" w14:textId="77777777" w:rsidR="00BA57FF" w:rsidRPr="008C761D" w:rsidRDefault="00BA57FF"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1EACE867" w14:textId="51E26B3C" w:rsidR="00BA57FF" w:rsidRPr="008C761D" w:rsidRDefault="00F004A4" w:rsidP="00E84CD0">
      <w:pPr>
        <w:spacing w:line="240" w:lineRule="auto"/>
        <w:jc w:val="both"/>
        <w:rPr>
          <w:rFonts w:cs="Calibri"/>
          <w:lang w:val="en-US"/>
        </w:rPr>
      </w:pPr>
      <w:r w:rsidRPr="008C761D">
        <w:rPr>
          <w:rFonts w:cs="Calibri"/>
          <w:lang w:val="en-US"/>
        </w:rPr>
        <w:t xml:space="preserve">1. </w:t>
      </w:r>
      <w:r w:rsidR="00C025EB" w:rsidRPr="008C761D">
        <w:rPr>
          <w:rFonts w:cs="Calibri"/>
          <w:lang w:val="en-US"/>
        </w:rPr>
        <w:t>Progress made towards fulfilment of the EU accession criteria (steady progress in the respective Chapters 16 and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0F69503D" w14:textId="77777777" w:rsidTr="002B77A4">
        <w:trPr>
          <w:trHeight w:val="395"/>
        </w:trPr>
        <w:tc>
          <w:tcPr>
            <w:tcW w:w="4608" w:type="dxa"/>
            <w:shd w:val="clear" w:color="auto" w:fill="E8E8E8"/>
          </w:tcPr>
          <w:p w14:paraId="6A5C874A"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7ABF13D8"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784D3E0E" w14:textId="77777777" w:rsidTr="002B77A4">
        <w:trPr>
          <w:trHeight w:val="278"/>
        </w:trPr>
        <w:tc>
          <w:tcPr>
            <w:tcW w:w="4608" w:type="dxa"/>
            <w:shd w:val="clear" w:color="auto" w:fill="E8E8E8"/>
          </w:tcPr>
          <w:p w14:paraId="5637F6EC" w14:textId="77777777" w:rsidR="007E06BA" w:rsidRPr="008C761D" w:rsidRDefault="007E06BA" w:rsidP="002B77A4">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Ch.29:</w:t>
            </w:r>
          </w:p>
          <w:p w14:paraId="43EAF5C4"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Good level of preparation</w:t>
            </w:r>
          </w:p>
          <w:p w14:paraId="27E34A27"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Good progress</w:t>
            </w:r>
          </w:p>
          <w:p w14:paraId="55A08DDD"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Ch.16:</w:t>
            </w:r>
          </w:p>
          <w:p w14:paraId="0B6F2D02"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Moderately prepared</w:t>
            </w:r>
          </w:p>
          <w:p w14:paraId="42806BD2" w14:textId="431E5169" w:rsidR="00F004A4"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Limited progress</w:t>
            </w:r>
          </w:p>
        </w:tc>
        <w:tc>
          <w:tcPr>
            <w:tcW w:w="4608" w:type="dxa"/>
            <w:shd w:val="clear" w:color="auto" w:fill="E8E8E8"/>
          </w:tcPr>
          <w:p w14:paraId="53B536AC" w14:textId="77777777" w:rsidR="007E06BA" w:rsidRPr="008C761D" w:rsidRDefault="007E06BA" w:rsidP="002B77A4">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Ch.29:</w:t>
            </w:r>
          </w:p>
          <w:p w14:paraId="7121A60F"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Good level of preparation</w:t>
            </w:r>
          </w:p>
          <w:p w14:paraId="32EC71C8"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Very Good progress</w:t>
            </w:r>
          </w:p>
          <w:p w14:paraId="33D5C186"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Ch.16:</w:t>
            </w:r>
          </w:p>
          <w:p w14:paraId="2A6E108A" w14:textId="77777777" w:rsidR="00C025EB"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Good level of preparation</w:t>
            </w:r>
          </w:p>
          <w:p w14:paraId="1F2C0F22" w14:textId="5B7D5652" w:rsidR="00F004A4" w:rsidRPr="008C761D" w:rsidRDefault="00C025EB" w:rsidP="00C025EB">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Good progress</w:t>
            </w:r>
          </w:p>
        </w:tc>
      </w:tr>
    </w:tbl>
    <w:p w14:paraId="72069713" w14:textId="77777777" w:rsidR="00C025EB" w:rsidRPr="008C761D" w:rsidRDefault="00C025EB" w:rsidP="00C025EB">
      <w:pPr>
        <w:spacing w:before="360" w:line="240" w:lineRule="auto"/>
        <w:jc w:val="both"/>
        <w:rPr>
          <w:rFonts w:cs="Calibri"/>
          <w:b/>
          <w:color w:val="0070C0"/>
          <w:sz w:val="24"/>
          <w:szCs w:val="24"/>
          <w:lang w:val="en-US"/>
        </w:rPr>
      </w:pPr>
      <w:r w:rsidRPr="008C761D">
        <w:rPr>
          <w:rFonts w:cs="Calibri"/>
          <w:b/>
          <w:color w:val="0070C0"/>
          <w:sz w:val="24"/>
          <w:szCs w:val="24"/>
          <w:lang w:val="en-US"/>
        </w:rPr>
        <w:t>Measure 1: Improved revenue legislation framework, harmonized with the EU acquis and best practices</w:t>
      </w:r>
    </w:p>
    <w:p w14:paraId="1B54C430" w14:textId="77777777" w:rsidR="00BA57FF" w:rsidRPr="008C761D" w:rsidRDefault="00BA57FF"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56BBEC9F" w14:textId="77777777" w:rsidR="00C025EB" w:rsidRPr="008C761D" w:rsidRDefault="00C025EB" w:rsidP="00C025EB">
      <w:pPr>
        <w:spacing w:line="240" w:lineRule="auto"/>
        <w:jc w:val="both"/>
        <w:rPr>
          <w:rFonts w:cs="Calibri"/>
          <w:lang w:val="en-US"/>
        </w:rPr>
      </w:pPr>
      <w:r w:rsidRPr="008C761D">
        <w:rPr>
          <w:rFonts w:cs="Calibri"/>
          <w:lang w:val="en-US"/>
        </w:rPr>
        <w:t>Objective is to improve and harmonize legislation in line with the relevant EU acquis and the best practices in the area of tax and customs legislation.</w:t>
      </w:r>
    </w:p>
    <w:p w14:paraId="2DB42176" w14:textId="77777777" w:rsidR="00BA57FF" w:rsidRPr="008C761D" w:rsidRDefault="00BA57FF"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BA57FF" w:rsidRPr="008C761D" w14:paraId="4E669952" w14:textId="77777777" w:rsidTr="00A64926">
        <w:tc>
          <w:tcPr>
            <w:tcW w:w="851" w:type="dxa"/>
            <w:shd w:val="clear" w:color="auto" w:fill="DDDDDD"/>
          </w:tcPr>
          <w:p w14:paraId="72748747" w14:textId="77777777" w:rsidR="00BA57FF" w:rsidRPr="008C761D" w:rsidRDefault="00BA57FF" w:rsidP="00E84CD0">
            <w:pPr>
              <w:spacing w:line="240" w:lineRule="auto"/>
              <w:jc w:val="both"/>
              <w:rPr>
                <w:rFonts w:cs="Calibri"/>
                <w:sz w:val="20"/>
                <w:szCs w:val="20"/>
                <w:lang w:val="en-US"/>
              </w:rPr>
            </w:pPr>
            <w:r w:rsidRPr="008C761D">
              <w:rPr>
                <w:rFonts w:cs="Calibri"/>
                <w:b/>
                <w:sz w:val="20"/>
                <w:szCs w:val="20"/>
                <w:lang w:val="en-US"/>
              </w:rPr>
              <w:t>EU:</w:t>
            </w:r>
          </w:p>
        </w:tc>
        <w:tc>
          <w:tcPr>
            <w:tcW w:w="7700" w:type="dxa"/>
            <w:shd w:val="clear" w:color="auto" w:fill="DDDDDD"/>
          </w:tcPr>
          <w:p w14:paraId="7CB8EABE" w14:textId="77777777" w:rsidR="00C025EB" w:rsidRPr="008C761D" w:rsidRDefault="00C025EB" w:rsidP="00C025EB">
            <w:pPr>
              <w:spacing w:after="0" w:line="240" w:lineRule="auto"/>
              <w:jc w:val="both"/>
              <w:rPr>
                <w:rFonts w:cs="Calibri"/>
                <w:sz w:val="20"/>
                <w:szCs w:val="20"/>
                <w:lang w:val="en-US"/>
              </w:rPr>
            </w:pPr>
            <w:r w:rsidRPr="008C761D">
              <w:rPr>
                <w:rFonts w:cs="Calibri"/>
                <w:b/>
                <w:sz w:val="20"/>
                <w:szCs w:val="20"/>
                <w:lang w:val="en-US"/>
              </w:rPr>
              <w:t>EC Progress Report 2023</w:t>
            </w:r>
          </w:p>
          <w:p w14:paraId="5D127202" w14:textId="77777777" w:rsidR="00C025EB" w:rsidRPr="008C761D" w:rsidRDefault="00C025EB" w:rsidP="00C025EB">
            <w:pPr>
              <w:spacing w:line="240" w:lineRule="auto"/>
              <w:jc w:val="both"/>
              <w:rPr>
                <w:rFonts w:cs="Calibri"/>
                <w:b/>
                <w:sz w:val="20"/>
                <w:szCs w:val="20"/>
                <w:lang w:val="en-US"/>
              </w:rPr>
            </w:pPr>
            <w:r w:rsidRPr="008C761D">
              <w:rPr>
                <w:rFonts w:cs="Calibri"/>
                <w:b/>
                <w:sz w:val="20"/>
                <w:szCs w:val="20"/>
                <w:lang w:val="en-US"/>
              </w:rPr>
              <w:t>Chapter 16: Taxation</w:t>
            </w:r>
          </w:p>
          <w:p w14:paraId="24C23EDD" w14:textId="787CBBC8" w:rsidR="00C025EB" w:rsidRPr="008C761D" w:rsidRDefault="00C025EB" w:rsidP="00C025EB">
            <w:pPr>
              <w:spacing w:after="0" w:line="240" w:lineRule="auto"/>
              <w:jc w:val="both"/>
              <w:rPr>
                <w:rFonts w:cs="Calibri"/>
                <w:sz w:val="20"/>
                <w:szCs w:val="20"/>
                <w:lang w:val="en-US"/>
              </w:rPr>
            </w:pPr>
            <w:r w:rsidRPr="008C761D">
              <w:rPr>
                <w:rFonts w:cs="Calibri"/>
                <w:sz w:val="20"/>
                <w:szCs w:val="20"/>
                <w:lang w:val="en-US"/>
              </w:rPr>
              <w:t xml:space="preserve">On indirect taxation, the VAT exemptions and preferential rates for essential products were removed at the end of 2022. A preferential VAT rate of 10 % was applied for some energy products to alleviate the effects of high international energy prices. The preferential VAT rate of 10% for electricity for households was applied until 30 June 2023. Delays still remain in the VAT refund process, as only 45% of the requests submitted in 2022 were refunded within the legal deadline of 30 days. There were some changes to direct taxation. A </w:t>
            </w:r>
            <w:r w:rsidRPr="008C761D">
              <w:rPr>
                <w:rFonts w:cs="Calibri"/>
                <w:sz w:val="20"/>
                <w:szCs w:val="20"/>
                <w:lang w:val="en-US"/>
              </w:rPr>
              <w:lastRenderedPageBreak/>
              <w:t>personal income tax flat rate of 10% was complemented with a rate of 15% for income stemming from games of chance. Exemption from taxation on interest on savings and from taxation on capital gains on securities was abolished with the amendments to the Law on personal income tax, as of 1 January 2023. The country still needs to align its legislation with the Merger Directive. On administrative cooperation and mutual assistance, North Macedonia has signed 49 double taxation agreements, including with all EU Member States except Cyprus, Malta, Portugal and Greece, with whom negotiations are ongoing. The country has not yet committed on a date to start the automatic exchange of financial account information as per the OECD standard. The country remains dedicated to implementing the Inclusive Framework on Base Erosion and Profit Shifting (BEPS) minimum standards. In January 2023, North Macedonia amended its preferential tax regime in the free economic zones, thus meeting the Forum on Harmful Tax Practices and the EU’s requirements to promote good governance in the area of taxation.</w:t>
            </w:r>
            <w:r w:rsidRPr="008C761D" w:rsidDel="00BE6FB2">
              <w:rPr>
                <w:rFonts w:cs="Calibri"/>
                <w:sz w:val="20"/>
                <w:szCs w:val="20"/>
                <w:lang w:val="en-US"/>
              </w:rPr>
              <w:t xml:space="preserve"> </w:t>
            </w:r>
          </w:p>
          <w:p w14:paraId="4AF26ACB" w14:textId="77777777" w:rsidR="00C025EB" w:rsidRPr="008C761D" w:rsidRDefault="00C025EB" w:rsidP="00C025EB">
            <w:pPr>
              <w:spacing w:after="0" w:line="240" w:lineRule="auto"/>
              <w:jc w:val="both"/>
              <w:rPr>
                <w:rFonts w:cs="Calibri"/>
                <w:b/>
                <w:sz w:val="20"/>
                <w:szCs w:val="20"/>
                <w:lang w:val="en-US"/>
              </w:rPr>
            </w:pPr>
            <w:r w:rsidRPr="008C761D">
              <w:rPr>
                <w:rFonts w:cs="Calibri"/>
                <w:b/>
                <w:sz w:val="20"/>
                <w:szCs w:val="20"/>
                <w:lang w:val="en-US"/>
              </w:rPr>
              <w:t>Chapter 29: Customs union</w:t>
            </w:r>
          </w:p>
          <w:p w14:paraId="5270D9F6" w14:textId="6B031151" w:rsidR="00BA57FF" w:rsidRPr="008C761D" w:rsidRDefault="00C025EB" w:rsidP="00C025EB">
            <w:pPr>
              <w:spacing w:after="0" w:line="240" w:lineRule="auto"/>
              <w:jc w:val="both"/>
              <w:rPr>
                <w:rFonts w:cs="Calibri"/>
                <w:sz w:val="20"/>
                <w:szCs w:val="20"/>
                <w:lang w:val="en-US"/>
              </w:rPr>
            </w:pPr>
            <w:r w:rsidRPr="008C761D">
              <w:rPr>
                <w:rFonts w:cs="Calibri"/>
                <w:sz w:val="20"/>
                <w:szCs w:val="20"/>
                <w:lang w:val="en-US"/>
              </w:rPr>
              <w:t>The customs legislation is highly aligned with the EU acquis. The 2023 customs tariff was adopted to reflect the latest changes in the EU Combined Nomenclature. The CEFTA Additional Protocol 5 on trade facilitation was implemented, and the authorised economic 101 operators (AEO) concept was further promoted. So far, 27 companies have been AEO</w:t>
            </w:r>
            <w:r w:rsidR="00367CB7">
              <w:rPr>
                <w:rFonts w:cs="Calibri"/>
                <w:sz w:val="20"/>
                <w:szCs w:val="20"/>
                <w:lang w:val="en-US"/>
              </w:rPr>
              <w:t xml:space="preserve"> </w:t>
            </w:r>
            <w:r w:rsidRPr="008C761D">
              <w:rPr>
                <w:rFonts w:cs="Calibri"/>
                <w:sz w:val="20"/>
                <w:szCs w:val="20"/>
                <w:lang w:val="en-US"/>
              </w:rPr>
              <w:t>certified. North Macedonia is yet to ratify the Protocol on Elimination of Illicit Trade in Tobacco Products, signed in 2014.</w:t>
            </w:r>
          </w:p>
        </w:tc>
      </w:tr>
    </w:tbl>
    <w:p w14:paraId="5114B3C2" w14:textId="77777777" w:rsidR="00BA57FF" w:rsidRPr="008C761D" w:rsidRDefault="00BA57FF" w:rsidP="00E84CD0">
      <w:pPr>
        <w:spacing w:line="240" w:lineRule="auto"/>
        <w:jc w:val="both"/>
        <w:rPr>
          <w:rFonts w:cs="Calibri"/>
          <w:lang w:val="en-US"/>
        </w:rPr>
      </w:pPr>
    </w:p>
    <w:p w14:paraId="2240F292" w14:textId="77777777" w:rsidR="00BA57FF" w:rsidRPr="008C761D" w:rsidRDefault="00BA57FF"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372ACAC5" w14:textId="4117135C" w:rsidR="00C025EB" w:rsidRPr="008C761D" w:rsidRDefault="00C025EB" w:rsidP="00C025EB">
      <w:pPr>
        <w:spacing w:line="240" w:lineRule="auto"/>
        <w:jc w:val="both"/>
        <w:rPr>
          <w:rFonts w:cs="Calibri"/>
          <w:lang w:val="en-US"/>
        </w:rPr>
      </w:pPr>
      <w:r w:rsidRPr="008C761D">
        <w:rPr>
          <w:rFonts w:cs="Calibri"/>
          <w:lang w:val="en-US"/>
        </w:rPr>
        <w:t xml:space="preserve">The EU </w:t>
      </w:r>
      <w:r w:rsidR="00367CB7" w:rsidRPr="008C761D">
        <w:rPr>
          <w:rFonts w:cs="Calibri"/>
          <w:lang w:val="en-US"/>
        </w:rPr>
        <w:t>accession</w:t>
      </w:r>
      <w:r w:rsidRPr="008C761D">
        <w:rPr>
          <w:rFonts w:cs="Calibri"/>
          <w:lang w:val="en-US"/>
        </w:rPr>
        <w:t xml:space="preserve"> negotiation process remains a priority for the country, with the first step being already taken i.e analytical examination of the EU acquis (the screening process) of Chapter 16 and Chapter 29.</w:t>
      </w:r>
    </w:p>
    <w:p w14:paraId="7FB1B184" w14:textId="77777777" w:rsidR="00C025EB" w:rsidRPr="008C761D" w:rsidRDefault="00C025EB" w:rsidP="00C025EB">
      <w:pPr>
        <w:spacing w:line="240" w:lineRule="auto"/>
        <w:jc w:val="both"/>
        <w:rPr>
          <w:rFonts w:cs="Calibri"/>
          <w:lang w:val="en-US"/>
        </w:rPr>
      </w:pPr>
      <w:r w:rsidRPr="008C761D">
        <w:rPr>
          <w:rFonts w:cs="Calibri"/>
          <w:lang w:val="en-US"/>
        </w:rPr>
        <w:t xml:space="preserve">Therefore, and taking into consideration that according to the EU Progress Report for North Macedonia for 2023, the country is „moderately </w:t>
      </w:r>
      <w:proofErr w:type="gramStart"/>
      <w:r w:rsidRPr="008C761D">
        <w:rPr>
          <w:rFonts w:cs="Calibri"/>
          <w:lang w:val="en-US"/>
        </w:rPr>
        <w:t>prepared“ in</w:t>
      </w:r>
      <w:proofErr w:type="gramEnd"/>
      <w:r w:rsidRPr="008C761D">
        <w:rPr>
          <w:rFonts w:cs="Calibri"/>
          <w:lang w:val="en-US"/>
        </w:rPr>
        <w:t xml:space="preserve"> the area of taxation and has a „ good level of preparation” in the area of Customs, further work needs to be done in order to be fully aligned with the acquis communitaire, which will lead to an improved legislation framework in the area of tax and customs, followed by their smooth implementation.</w:t>
      </w:r>
    </w:p>
    <w:p w14:paraId="76512227" w14:textId="7803E4E1" w:rsidR="006B1000" w:rsidRPr="000A5366" w:rsidRDefault="006B1000" w:rsidP="006B1000">
      <w:pPr>
        <w:spacing w:line="240" w:lineRule="auto"/>
        <w:jc w:val="both"/>
        <w:rPr>
          <w:rFonts w:cs="Calibri"/>
          <w:b/>
          <w:bCs/>
          <w:iCs/>
          <w:color w:val="0070C0"/>
          <w:lang w:val="en-US"/>
        </w:rPr>
      </w:pPr>
      <w:r w:rsidRPr="000A5366">
        <w:rPr>
          <w:rFonts w:cs="Calibri"/>
          <w:b/>
          <w:bCs/>
          <w:iCs/>
          <w:color w:val="0070C0"/>
          <w:lang w:val="en-US"/>
        </w:rPr>
        <w:t>Activity</w:t>
      </w:r>
      <w:r w:rsidR="005F7B64" w:rsidRPr="000A5366">
        <w:rPr>
          <w:rFonts w:cs="Calibri"/>
          <w:b/>
          <w:bCs/>
          <w:iCs/>
          <w:color w:val="0070C0"/>
          <w:lang w:val="en-US"/>
        </w:rPr>
        <w:t xml:space="preserve"> </w:t>
      </w:r>
      <w:r w:rsidRPr="000A5366">
        <w:rPr>
          <w:rFonts w:cs="Calibri"/>
          <w:b/>
          <w:bCs/>
          <w:iCs/>
          <w:color w:val="0070C0"/>
          <w:lang w:val="en-US"/>
        </w:rPr>
        <w:t>1:</w:t>
      </w:r>
      <w:r w:rsidR="00367CB7" w:rsidRPr="000A5366">
        <w:rPr>
          <w:rFonts w:cs="Calibri"/>
          <w:b/>
          <w:bCs/>
          <w:iCs/>
          <w:color w:val="0070C0"/>
          <w:lang w:val="en-US"/>
        </w:rPr>
        <w:t xml:space="preserve"> </w:t>
      </w:r>
      <w:r w:rsidRPr="000A5366">
        <w:rPr>
          <w:rFonts w:cs="Calibri"/>
          <w:b/>
          <w:bCs/>
          <w:iCs/>
          <w:color w:val="0070C0"/>
          <w:lang w:val="en-US"/>
        </w:rPr>
        <w:t xml:space="preserve">Gap analysis of the national tax and customs legislation (laws and by-laws) compared to </w:t>
      </w:r>
      <w:proofErr w:type="gramStart"/>
      <w:r w:rsidRPr="000A5366">
        <w:rPr>
          <w:rFonts w:cs="Calibri"/>
          <w:b/>
          <w:bCs/>
          <w:iCs/>
          <w:color w:val="0070C0"/>
          <w:lang w:val="en-US"/>
        </w:rPr>
        <w:t>the  EU</w:t>
      </w:r>
      <w:proofErr w:type="gramEnd"/>
      <w:r w:rsidR="00367CB7" w:rsidRPr="000A5366">
        <w:rPr>
          <w:rFonts w:cs="Calibri"/>
          <w:b/>
          <w:bCs/>
          <w:iCs/>
          <w:color w:val="0070C0"/>
          <w:lang w:val="en-US"/>
        </w:rPr>
        <w:t xml:space="preserve"> legislation and best practices</w:t>
      </w:r>
    </w:p>
    <w:p w14:paraId="56777EDC" w14:textId="77777777" w:rsidR="00C025EB" w:rsidRPr="008C761D" w:rsidRDefault="00C025EB" w:rsidP="00C025EB">
      <w:pPr>
        <w:spacing w:line="240" w:lineRule="auto"/>
        <w:rPr>
          <w:rFonts w:cs="Calibri"/>
          <w:b/>
          <w:bCs/>
          <w:iCs/>
          <w:color w:val="4F81BD"/>
          <w:lang w:val="en-US"/>
        </w:rPr>
      </w:pPr>
      <w:r w:rsidRPr="008C761D">
        <w:rPr>
          <w:lang w:val="en-US"/>
        </w:rPr>
        <w:t>Conducting gap analysis of the current national legislative framework within the tax and custom areas will be crucial for preparation of new legal acts or amendments to the existing national tax and customs legislation (laws and by-laws) drafted on the basis of the EU legislation in force and the best practices. This activity includes the following sub-activities:</w:t>
      </w:r>
    </w:p>
    <w:p w14:paraId="5C1C6B1D" w14:textId="77777777" w:rsidR="006B1000" w:rsidRPr="008C761D" w:rsidRDefault="006B1000" w:rsidP="003A338C">
      <w:pPr>
        <w:numPr>
          <w:ilvl w:val="0"/>
          <w:numId w:val="24"/>
        </w:numPr>
        <w:spacing w:after="0" w:line="240" w:lineRule="auto"/>
        <w:jc w:val="both"/>
        <w:rPr>
          <w:rFonts w:cs="Calibri"/>
          <w:lang w:val="en-US"/>
        </w:rPr>
      </w:pPr>
      <w:r w:rsidRPr="008C761D">
        <w:rPr>
          <w:rFonts w:cs="Calibri"/>
          <w:lang w:val="en-US"/>
        </w:rPr>
        <w:t>Gap analysis of national legislative provisions (laws and bylaws and methodology) compared to the latest EU legislation and best practices, in the area of tax and customs legislation;</w:t>
      </w:r>
    </w:p>
    <w:p w14:paraId="49462754" w14:textId="621B2684" w:rsidR="006B1000" w:rsidRDefault="006B1000" w:rsidP="003A338C">
      <w:pPr>
        <w:numPr>
          <w:ilvl w:val="0"/>
          <w:numId w:val="24"/>
        </w:numPr>
        <w:spacing w:after="0" w:line="240" w:lineRule="auto"/>
        <w:jc w:val="both"/>
        <w:rPr>
          <w:rFonts w:cs="Calibri"/>
          <w:lang w:val="en-US"/>
        </w:rPr>
      </w:pPr>
      <w:r w:rsidRPr="008C761D">
        <w:rPr>
          <w:rFonts w:cs="Calibri"/>
          <w:lang w:val="en-US"/>
        </w:rPr>
        <w:t>Reports with written recommendations for improvement of the tax and customs legislation prepared, including for further consolidation of the tax basis through abolition of unproductive tax expenditures.</w:t>
      </w:r>
    </w:p>
    <w:p w14:paraId="46A17F9A" w14:textId="3CA91521" w:rsidR="00FD485A" w:rsidRDefault="00FD485A" w:rsidP="00FD485A">
      <w:pPr>
        <w:spacing w:after="0" w:line="240" w:lineRule="auto"/>
        <w:jc w:val="both"/>
        <w:rPr>
          <w:rFonts w:cs="Calibri"/>
          <w:lang w:val="en-US"/>
        </w:rPr>
      </w:pPr>
    </w:p>
    <w:p w14:paraId="3D9C7931" w14:textId="36E21D59" w:rsidR="00FD485A" w:rsidRDefault="00FD485A" w:rsidP="00FD485A">
      <w:pPr>
        <w:spacing w:after="0" w:line="240" w:lineRule="auto"/>
        <w:jc w:val="both"/>
        <w:rPr>
          <w:rFonts w:cs="Calibri"/>
          <w:lang w:val="en-US"/>
        </w:rPr>
      </w:pPr>
    </w:p>
    <w:p w14:paraId="1B8CC34A" w14:textId="77777777" w:rsidR="00FD485A" w:rsidRPr="008C761D" w:rsidRDefault="00FD485A" w:rsidP="00FD485A">
      <w:pPr>
        <w:spacing w:after="0" w:line="240" w:lineRule="auto"/>
        <w:jc w:val="both"/>
        <w:rPr>
          <w:rFonts w:cs="Calibri"/>
          <w:lang w:val="en-US"/>
        </w:rPr>
      </w:pPr>
    </w:p>
    <w:p w14:paraId="25E34337" w14:textId="77777777" w:rsidR="006B1000" w:rsidRPr="008C761D" w:rsidRDefault="006B1000" w:rsidP="006B1000">
      <w:pPr>
        <w:spacing w:after="0" w:line="240" w:lineRule="auto"/>
        <w:jc w:val="both"/>
        <w:rPr>
          <w:rFonts w:cs="Calibri"/>
          <w:lang w:val="en-US"/>
        </w:rPr>
      </w:pPr>
    </w:p>
    <w:p w14:paraId="7EB277ED" w14:textId="77777777" w:rsidR="00C025EB" w:rsidRPr="000A5366" w:rsidRDefault="00C025EB" w:rsidP="00C025EB">
      <w:pPr>
        <w:spacing w:line="240" w:lineRule="auto"/>
        <w:jc w:val="both"/>
        <w:rPr>
          <w:rFonts w:cs="Calibri"/>
          <w:b/>
          <w:bCs/>
          <w:iCs/>
          <w:color w:val="0070C0"/>
          <w:lang w:val="en-US"/>
        </w:rPr>
      </w:pPr>
      <w:r w:rsidRPr="000A5366">
        <w:rPr>
          <w:rFonts w:cs="Calibri"/>
          <w:b/>
          <w:bCs/>
          <w:iCs/>
          <w:color w:val="0070C0"/>
          <w:lang w:val="en-US"/>
        </w:rPr>
        <w:t>Activity 2: New legal acts and/or amendments to the existing national tax and customs legislation (laws and by-laws) drafted in line with the EU legislation and best practices</w:t>
      </w:r>
    </w:p>
    <w:p w14:paraId="33B8253E" w14:textId="77777777" w:rsidR="00C025EB" w:rsidRPr="008C761D" w:rsidRDefault="00C025EB" w:rsidP="00C025EB">
      <w:pPr>
        <w:spacing w:line="240" w:lineRule="auto"/>
        <w:rPr>
          <w:rFonts w:cs="Calibri"/>
          <w:lang w:val="en-US"/>
        </w:rPr>
      </w:pPr>
      <w:r w:rsidRPr="008C761D">
        <w:rPr>
          <w:rFonts w:cs="Calibri"/>
          <w:lang w:val="en-US"/>
        </w:rPr>
        <w:t xml:space="preserve">Based on the gap analyses, amendments to the national legislation will be prepared; this activity includes the following sub-activities: </w:t>
      </w:r>
    </w:p>
    <w:p w14:paraId="68F4DB15" w14:textId="77777777" w:rsidR="00C025EB" w:rsidRPr="008C761D" w:rsidRDefault="00C025EB" w:rsidP="003A338C">
      <w:pPr>
        <w:numPr>
          <w:ilvl w:val="0"/>
          <w:numId w:val="24"/>
        </w:numPr>
        <w:spacing w:after="0" w:line="240" w:lineRule="auto"/>
        <w:jc w:val="both"/>
        <w:rPr>
          <w:rFonts w:cs="Calibri"/>
          <w:lang w:val="en-US"/>
        </w:rPr>
      </w:pPr>
      <w:r w:rsidRPr="008C761D">
        <w:rPr>
          <w:rFonts w:cs="Calibri"/>
          <w:lang w:val="en-US"/>
        </w:rPr>
        <w:lastRenderedPageBreak/>
        <w:t>New legal acts and/or amendments to the existing national tax and customs legislation (laws and by-laws) drafted;</w:t>
      </w:r>
    </w:p>
    <w:p w14:paraId="58EF0413" w14:textId="4C083550" w:rsidR="00F004A4" w:rsidRPr="008C761D" w:rsidRDefault="00C025EB" w:rsidP="00EC7294">
      <w:pPr>
        <w:numPr>
          <w:ilvl w:val="0"/>
          <w:numId w:val="24"/>
        </w:numPr>
        <w:spacing w:line="240" w:lineRule="auto"/>
        <w:jc w:val="both"/>
        <w:rPr>
          <w:rFonts w:eastAsia="MS PGothic" w:cs="Calibri"/>
          <w:b/>
          <w:bCs/>
          <w:i/>
          <w:iCs/>
          <w:color w:val="4F81BD"/>
          <w:lang w:val="en-US" w:eastAsia="zh-CN"/>
        </w:rPr>
      </w:pPr>
      <w:r w:rsidRPr="008C761D">
        <w:rPr>
          <w:rFonts w:cs="Calibri"/>
          <w:lang w:val="en-US"/>
        </w:rPr>
        <w:t xml:space="preserve">Methodological tools (guidelines/instructions/manuals) based on the new drafted legislation developed. </w:t>
      </w:r>
    </w:p>
    <w:p w14:paraId="647C29A9" w14:textId="77777777" w:rsidR="00BA57FF" w:rsidRPr="008C761D" w:rsidRDefault="00BA57FF"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1A5646" w:rsidRPr="008C761D" w14:paraId="2218A539" w14:textId="77777777" w:rsidTr="00A64926">
        <w:tc>
          <w:tcPr>
            <w:tcW w:w="3119" w:type="dxa"/>
            <w:tcBorders>
              <w:top w:val="nil"/>
              <w:bottom w:val="single" w:sz="4" w:space="0" w:color="FFFFFF"/>
            </w:tcBorders>
            <w:shd w:val="clear" w:color="auto" w:fill="002060"/>
          </w:tcPr>
          <w:p w14:paraId="0A5733A8" w14:textId="21BDE267" w:rsidR="001A5646" w:rsidRPr="008C761D" w:rsidRDefault="001A5646" w:rsidP="001A5646">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5F7B64">
              <w:rPr>
                <w:rFonts w:cs="Calibri"/>
                <w:b/>
                <w:color w:val="FFFFFF"/>
                <w:sz w:val="20"/>
                <w:szCs w:val="20"/>
                <w:lang w:val="en-US"/>
              </w:rPr>
              <w:t xml:space="preserve"> </w:t>
            </w:r>
            <w:r w:rsidRPr="008C761D">
              <w:rPr>
                <w:rFonts w:cs="Calibri"/>
                <w:b/>
                <w:color w:val="FFFFFF"/>
                <w:sz w:val="20"/>
                <w:szCs w:val="20"/>
                <w:lang w:val="en-US"/>
              </w:rPr>
              <w:t>in</w:t>
            </w:r>
            <w:r w:rsidR="005F7B64">
              <w:rPr>
                <w:rFonts w:cs="Calibri"/>
                <w:b/>
                <w:color w:val="FFFFFF"/>
                <w:sz w:val="20"/>
                <w:szCs w:val="20"/>
                <w:lang w:val="en-US"/>
              </w:rPr>
              <w:t xml:space="preserve"> </w:t>
            </w:r>
            <w:r w:rsidRPr="008C761D">
              <w:rPr>
                <w:rFonts w:cs="Calibri"/>
                <w:b/>
                <w:color w:val="FFFFFF"/>
                <w:sz w:val="20"/>
                <w:szCs w:val="20"/>
                <w:lang w:val="en-US"/>
              </w:rPr>
              <w:t>year:</w:t>
            </w:r>
          </w:p>
        </w:tc>
        <w:tc>
          <w:tcPr>
            <w:tcW w:w="5645" w:type="dxa"/>
            <w:tcBorders>
              <w:top w:val="nil"/>
              <w:bottom w:val="single" w:sz="4" w:space="0" w:color="FFFFFF"/>
            </w:tcBorders>
            <w:shd w:val="clear" w:color="auto" w:fill="D9E2F3"/>
          </w:tcPr>
          <w:p w14:paraId="4E655FCA" w14:textId="77777777" w:rsidR="001A5646" w:rsidRPr="008C761D" w:rsidRDefault="001A5646" w:rsidP="001A5646">
            <w:pPr>
              <w:spacing w:line="240" w:lineRule="auto"/>
              <w:jc w:val="both"/>
              <w:rPr>
                <w:rFonts w:cs="Calibri"/>
                <w:sz w:val="20"/>
                <w:szCs w:val="20"/>
                <w:lang w:val="en-US"/>
              </w:rPr>
            </w:pPr>
            <w:r w:rsidRPr="008C761D">
              <w:rPr>
                <w:sz w:val="20"/>
                <w:szCs w:val="20"/>
                <w:lang w:val="en-US"/>
              </w:rPr>
              <w:t>2027</w:t>
            </w:r>
          </w:p>
        </w:tc>
      </w:tr>
      <w:tr w:rsidR="001A5646" w:rsidRPr="008C761D" w14:paraId="247754FF" w14:textId="77777777" w:rsidTr="00A64926">
        <w:tc>
          <w:tcPr>
            <w:tcW w:w="3119" w:type="dxa"/>
            <w:tcBorders>
              <w:top w:val="single" w:sz="4" w:space="0" w:color="FFFFFF"/>
              <w:bottom w:val="single" w:sz="4" w:space="0" w:color="FFFFFF"/>
            </w:tcBorders>
            <w:shd w:val="clear" w:color="auto" w:fill="002060"/>
          </w:tcPr>
          <w:p w14:paraId="26873135" w14:textId="77777777" w:rsidR="001A5646" w:rsidRPr="008C761D" w:rsidRDefault="001A5646" w:rsidP="001A5646">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518EEF62" w14:textId="1687E909" w:rsidR="00C025EB" w:rsidRPr="008C761D" w:rsidRDefault="00C025EB" w:rsidP="00E059A9">
            <w:pPr>
              <w:pStyle w:val="ListParagraph"/>
              <w:numPr>
                <w:ilvl w:val="0"/>
                <w:numId w:val="113"/>
              </w:numPr>
              <w:spacing w:after="0" w:line="240" w:lineRule="auto"/>
              <w:ind w:left="145" w:hanging="145"/>
              <w:rPr>
                <w:sz w:val="20"/>
                <w:szCs w:val="20"/>
                <w:lang w:val="en-US"/>
              </w:rPr>
            </w:pPr>
            <w:r w:rsidRPr="008C761D">
              <w:rPr>
                <w:sz w:val="20"/>
                <w:szCs w:val="20"/>
                <w:lang w:val="en-US"/>
              </w:rPr>
              <w:t>Prepared remaining gap analysis, written recommendations and new legal acts and/or amendments to the existing national tax</w:t>
            </w:r>
            <w:r w:rsidR="005551A6">
              <w:rPr>
                <w:sz w:val="20"/>
                <w:szCs w:val="20"/>
                <w:lang w:val="en-US"/>
              </w:rPr>
              <w:t xml:space="preserve"> and Customs</w:t>
            </w:r>
            <w:r w:rsidRPr="008C761D">
              <w:rPr>
                <w:sz w:val="20"/>
                <w:szCs w:val="20"/>
                <w:lang w:val="en-US"/>
              </w:rPr>
              <w:t xml:space="preserve"> legislation (Customs Law, Customs Tariffs, Customs Measures for Protection of Intellectual Property Rights, Personal income tax, Corporate income tax, Value Added Tax, Excise Duties, Taxation of Motor Vehicles, Property Taxes, Public Revenue Office, Tax Procedure); </w:t>
            </w:r>
          </w:p>
          <w:p w14:paraId="244C76D3" w14:textId="738270F8" w:rsidR="001A5646" w:rsidRPr="008C761D" w:rsidRDefault="00C025EB" w:rsidP="00E059A9">
            <w:pPr>
              <w:pStyle w:val="ListParagraph"/>
              <w:numPr>
                <w:ilvl w:val="0"/>
                <w:numId w:val="113"/>
              </w:numPr>
              <w:spacing w:after="0" w:line="240" w:lineRule="auto"/>
              <w:ind w:left="145" w:hanging="145"/>
              <w:rPr>
                <w:rFonts w:cs="Calibri"/>
                <w:sz w:val="20"/>
                <w:szCs w:val="20"/>
                <w:lang w:val="en-US"/>
              </w:rPr>
            </w:pPr>
            <w:r w:rsidRPr="008C761D">
              <w:rPr>
                <w:sz w:val="20"/>
                <w:szCs w:val="20"/>
                <w:lang w:val="en-US"/>
              </w:rPr>
              <w:t>Prepared laws and bylaws in accordance with gap-analysis;</w:t>
            </w:r>
          </w:p>
        </w:tc>
      </w:tr>
      <w:tr w:rsidR="001A5646" w:rsidRPr="008C761D" w14:paraId="37F81802" w14:textId="77777777" w:rsidTr="00A64926">
        <w:tc>
          <w:tcPr>
            <w:tcW w:w="3119" w:type="dxa"/>
            <w:tcBorders>
              <w:top w:val="single" w:sz="4" w:space="0" w:color="FFFFFF"/>
              <w:bottom w:val="single" w:sz="4" w:space="0" w:color="FFFFFF"/>
            </w:tcBorders>
            <w:shd w:val="clear" w:color="auto" w:fill="002060"/>
          </w:tcPr>
          <w:p w14:paraId="11047409" w14:textId="06554583" w:rsidR="001A5646" w:rsidRPr="008C761D" w:rsidRDefault="001A5646" w:rsidP="001A5646">
            <w:pPr>
              <w:spacing w:line="240" w:lineRule="auto"/>
              <w:jc w:val="both"/>
              <w:rPr>
                <w:rFonts w:cs="Calibri"/>
                <w:b/>
                <w:color w:val="FFFFFF"/>
                <w:sz w:val="20"/>
                <w:szCs w:val="20"/>
                <w:lang w:val="en-US"/>
              </w:rPr>
            </w:pPr>
            <w:r w:rsidRPr="008C761D">
              <w:rPr>
                <w:rFonts w:cs="Calibri"/>
                <w:b/>
                <w:color w:val="FFFFFF"/>
                <w:sz w:val="20"/>
                <w:szCs w:val="20"/>
                <w:lang w:val="en-US"/>
              </w:rPr>
              <w:t>Costs</w:t>
            </w:r>
            <w:r w:rsidR="00367CB7">
              <w:rPr>
                <w:rFonts w:cs="Calibri"/>
                <w:b/>
                <w:color w:val="FFFFFF"/>
                <w:sz w:val="20"/>
                <w:szCs w:val="20"/>
                <w:lang w:val="en-US"/>
              </w:rPr>
              <w:t xml:space="preserve"> </w:t>
            </w:r>
            <w:r w:rsidRPr="008C761D">
              <w:rPr>
                <w:rFonts w:cs="Calibri"/>
                <w:b/>
                <w:color w:val="FFFFFF"/>
                <w:sz w:val="20"/>
                <w:szCs w:val="20"/>
                <w:lang w:val="en-US"/>
              </w:rPr>
              <w:t>implications:</w:t>
            </w:r>
          </w:p>
        </w:tc>
        <w:tc>
          <w:tcPr>
            <w:tcW w:w="5645" w:type="dxa"/>
            <w:tcBorders>
              <w:top w:val="single" w:sz="4" w:space="0" w:color="FFFFFF"/>
              <w:bottom w:val="single" w:sz="4" w:space="0" w:color="FFFFFF"/>
            </w:tcBorders>
            <w:shd w:val="clear" w:color="auto" w:fill="D9E2F3"/>
          </w:tcPr>
          <w:p w14:paraId="72E435FD" w14:textId="45F9A483" w:rsidR="001A5646" w:rsidRPr="008C761D" w:rsidRDefault="001A5646" w:rsidP="001A5646">
            <w:pPr>
              <w:spacing w:line="240" w:lineRule="auto"/>
              <w:jc w:val="both"/>
              <w:rPr>
                <w:rFonts w:cs="Calibri"/>
                <w:sz w:val="20"/>
                <w:szCs w:val="20"/>
                <w:lang w:val="en-US"/>
              </w:rPr>
            </w:pPr>
            <w:r w:rsidRPr="008C761D">
              <w:rPr>
                <w:sz w:val="20"/>
                <w:szCs w:val="20"/>
                <w:lang w:val="en-US"/>
              </w:rPr>
              <w:t xml:space="preserve">EUR </w:t>
            </w:r>
            <w:r w:rsidR="006B1000" w:rsidRPr="008C761D">
              <w:rPr>
                <w:sz w:val="20"/>
                <w:szCs w:val="20"/>
                <w:lang w:val="en-US"/>
              </w:rPr>
              <w:t>250.000</w:t>
            </w:r>
          </w:p>
        </w:tc>
      </w:tr>
      <w:tr w:rsidR="001A5646" w:rsidRPr="008C761D" w14:paraId="6B97D775" w14:textId="77777777" w:rsidTr="00A64926">
        <w:tc>
          <w:tcPr>
            <w:tcW w:w="3119" w:type="dxa"/>
            <w:tcBorders>
              <w:top w:val="single" w:sz="4" w:space="0" w:color="FFFFFF"/>
              <w:bottom w:val="single" w:sz="4" w:space="0" w:color="FFFFFF"/>
            </w:tcBorders>
            <w:shd w:val="clear" w:color="auto" w:fill="002060"/>
          </w:tcPr>
          <w:p w14:paraId="43BDCA2F" w14:textId="1D0686BF" w:rsidR="001A5646" w:rsidRPr="008C761D" w:rsidRDefault="001A5646" w:rsidP="001A5646">
            <w:pPr>
              <w:spacing w:line="240" w:lineRule="auto"/>
              <w:jc w:val="both"/>
              <w:rPr>
                <w:rFonts w:cs="Calibri"/>
                <w:b/>
                <w:color w:val="FFFFFF"/>
                <w:sz w:val="20"/>
                <w:szCs w:val="20"/>
                <w:lang w:val="en-US"/>
              </w:rPr>
            </w:pPr>
            <w:r w:rsidRPr="008C761D">
              <w:rPr>
                <w:rFonts w:cs="Calibri"/>
                <w:b/>
                <w:color w:val="FFFFFF"/>
                <w:sz w:val="20"/>
                <w:szCs w:val="20"/>
                <w:lang w:val="en-US"/>
              </w:rPr>
              <w:t>Responsible</w:t>
            </w:r>
            <w:r w:rsidR="00367CB7">
              <w:rPr>
                <w:rFonts w:cs="Calibri"/>
                <w:b/>
                <w:color w:val="FFFFFF"/>
                <w:sz w:val="20"/>
                <w:szCs w:val="20"/>
                <w:lang w:val="en-US"/>
              </w:rPr>
              <w:t xml:space="preserve"> </w:t>
            </w:r>
            <w:r w:rsidRPr="008C761D">
              <w:rPr>
                <w:rFonts w:cs="Calibri"/>
                <w:b/>
                <w:color w:val="FFFFFF"/>
                <w:sz w:val="20"/>
                <w:szCs w:val="20"/>
                <w:lang w:val="en-US"/>
              </w:rPr>
              <w:t xml:space="preserve">entity: </w:t>
            </w:r>
          </w:p>
        </w:tc>
        <w:tc>
          <w:tcPr>
            <w:tcW w:w="5645" w:type="dxa"/>
            <w:tcBorders>
              <w:top w:val="single" w:sz="4" w:space="0" w:color="FFFFFF"/>
              <w:bottom w:val="single" w:sz="4" w:space="0" w:color="FFFFFF"/>
            </w:tcBorders>
            <w:shd w:val="clear" w:color="auto" w:fill="D9E2F3"/>
          </w:tcPr>
          <w:p w14:paraId="63025586" w14:textId="77777777" w:rsidR="001A5646" w:rsidRPr="008C761D" w:rsidRDefault="001A5646" w:rsidP="001A5646">
            <w:pPr>
              <w:spacing w:line="240" w:lineRule="auto"/>
              <w:jc w:val="both"/>
              <w:rPr>
                <w:rFonts w:cs="Calibri"/>
                <w:sz w:val="20"/>
                <w:szCs w:val="20"/>
                <w:lang w:val="en-US"/>
              </w:rPr>
            </w:pPr>
            <w:r w:rsidRPr="008C761D">
              <w:rPr>
                <w:sz w:val="20"/>
                <w:szCs w:val="20"/>
                <w:lang w:val="en-US"/>
              </w:rPr>
              <w:t>MoF, PRO, Customs</w:t>
            </w:r>
          </w:p>
        </w:tc>
      </w:tr>
      <w:tr w:rsidR="001A5646" w:rsidRPr="008C761D" w14:paraId="257FC08A" w14:textId="77777777" w:rsidTr="00A64926">
        <w:tc>
          <w:tcPr>
            <w:tcW w:w="3119" w:type="dxa"/>
            <w:tcBorders>
              <w:top w:val="single" w:sz="4" w:space="0" w:color="FFFFFF"/>
              <w:bottom w:val="nil"/>
            </w:tcBorders>
            <w:shd w:val="clear" w:color="auto" w:fill="002060"/>
          </w:tcPr>
          <w:p w14:paraId="3B31A548" w14:textId="77777777" w:rsidR="001A5646" w:rsidRPr="008C761D" w:rsidRDefault="001A5646" w:rsidP="001A5646">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0EAC17B9" w14:textId="7B16D8B0" w:rsidR="00C2785B" w:rsidRPr="008C761D" w:rsidRDefault="00C025EB" w:rsidP="00C025EB">
            <w:pPr>
              <w:spacing w:after="0" w:line="240" w:lineRule="auto"/>
              <w:jc w:val="both"/>
              <w:rPr>
                <w:sz w:val="20"/>
                <w:szCs w:val="20"/>
                <w:lang w:val="en-US"/>
              </w:rPr>
            </w:pPr>
            <w:r w:rsidRPr="008C761D">
              <w:rPr>
                <w:sz w:val="20"/>
                <w:szCs w:val="20"/>
                <w:lang w:val="en-US"/>
              </w:rPr>
              <w:t>-Human resources limitation;</w:t>
            </w:r>
          </w:p>
          <w:p w14:paraId="49165E51" w14:textId="7B246D87" w:rsidR="00C025EB" w:rsidRPr="008C761D" w:rsidRDefault="00C2785B" w:rsidP="00C025EB">
            <w:pPr>
              <w:spacing w:after="0" w:line="240" w:lineRule="auto"/>
              <w:jc w:val="both"/>
              <w:rPr>
                <w:sz w:val="20"/>
                <w:szCs w:val="20"/>
                <w:lang w:val="en-US"/>
              </w:rPr>
            </w:pPr>
            <w:r>
              <w:rPr>
                <w:sz w:val="20"/>
                <w:szCs w:val="20"/>
              </w:rPr>
              <w:t>-</w:t>
            </w:r>
            <w:r w:rsidR="00C025EB" w:rsidRPr="008C761D">
              <w:rPr>
                <w:sz w:val="20"/>
                <w:szCs w:val="20"/>
                <w:lang w:val="en-US"/>
              </w:rPr>
              <w:t>Lack of awareness and commitment from high-level officials;</w:t>
            </w:r>
          </w:p>
          <w:p w14:paraId="7A2D1852" w14:textId="77777777" w:rsidR="00C025EB" w:rsidRPr="008C761D" w:rsidRDefault="00C025EB" w:rsidP="00C025EB">
            <w:pPr>
              <w:spacing w:after="0" w:line="240" w:lineRule="auto"/>
              <w:jc w:val="both"/>
              <w:rPr>
                <w:sz w:val="20"/>
                <w:szCs w:val="20"/>
                <w:lang w:val="en-US"/>
              </w:rPr>
            </w:pPr>
            <w:r w:rsidRPr="008C761D">
              <w:rPr>
                <w:sz w:val="20"/>
                <w:szCs w:val="20"/>
                <w:lang w:val="en-US"/>
              </w:rPr>
              <w:t>- Internal resistance to modernization processes;</w:t>
            </w:r>
          </w:p>
          <w:p w14:paraId="411032F5" w14:textId="2F0B0C42" w:rsidR="001A5646" w:rsidRPr="008C761D" w:rsidRDefault="00C025EB" w:rsidP="00C025EB">
            <w:pPr>
              <w:spacing w:after="0" w:line="240" w:lineRule="auto"/>
              <w:jc w:val="both"/>
              <w:rPr>
                <w:rFonts w:cs="Calibri"/>
                <w:sz w:val="20"/>
                <w:szCs w:val="20"/>
                <w:lang w:val="en-US"/>
              </w:rPr>
            </w:pPr>
            <w:r w:rsidRPr="008C761D">
              <w:rPr>
                <w:sz w:val="20"/>
                <w:szCs w:val="20"/>
                <w:lang w:val="en-US"/>
              </w:rPr>
              <w:t>- Continuous outflow of staff.</w:t>
            </w:r>
          </w:p>
        </w:tc>
      </w:tr>
    </w:tbl>
    <w:p w14:paraId="310A3850" w14:textId="77777777" w:rsidR="00A64FD7" w:rsidRPr="008C761D" w:rsidRDefault="00A64FD7" w:rsidP="00E84CD0">
      <w:pPr>
        <w:spacing w:line="240" w:lineRule="auto"/>
        <w:jc w:val="both"/>
        <w:rPr>
          <w:rFonts w:cs="Calibri"/>
          <w:lang w:val="en-US"/>
        </w:rPr>
      </w:pPr>
    </w:p>
    <w:p w14:paraId="701F2828" w14:textId="77777777" w:rsidR="00A64FD7" w:rsidRPr="000A5366" w:rsidRDefault="00EE7F06" w:rsidP="00E84CD0">
      <w:pPr>
        <w:pStyle w:val="Heading1"/>
        <w:spacing w:line="240" w:lineRule="auto"/>
        <w:jc w:val="both"/>
        <w:rPr>
          <w:rFonts w:ascii="Calibri" w:hAnsi="Calibri" w:cs="Calibri"/>
          <w:color w:val="2F5496"/>
          <w:sz w:val="28"/>
          <w:szCs w:val="28"/>
          <w:lang w:val="en-US"/>
        </w:rPr>
      </w:pPr>
      <w:r w:rsidRPr="008C761D">
        <w:rPr>
          <w:rFonts w:ascii="Calibri" w:hAnsi="Calibri" w:cs="Calibri"/>
          <w:color w:val="2F5496"/>
          <w:lang w:val="en-US"/>
        </w:rPr>
        <w:br w:type="page"/>
      </w:r>
      <w:bookmarkStart w:id="25" w:name="_Toc160611815"/>
      <w:r w:rsidR="00A64FD7" w:rsidRPr="000A5366">
        <w:rPr>
          <w:rFonts w:ascii="Calibri" w:hAnsi="Calibri" w:cs="Calibri"/>
          <w:color w:val="2F5496"/>
          <w:sz w:val="28"/>
          <w:szCs w:val="28"/>
          <w:lang w:val="en-US"/>
        </w:rPr>
        <w:lastRenderedPageBreak/>
        <w:t>Priority 2: Tax administration</w:t>
      </w:r>
      <w:bookmarkEnd w:id="25"/>
    </w:p>
    <w:p w14:paraId="7654713A" w14:textId="77777777" w:rsidR="00E93DCC" w:rsidRPr="008C761D" w:rsidRDefault="00E93DCC"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Purpose</w:t>
      </w:r>
    </w:p>
    <w:p w14:paraId="2088B116" w14:textId="77777777" w:rsidR="00E93DCC" w:rsidRPr="008C761D" w:rsidRDefault="00E93DCC" w:rsidP="00E84CD0">
      <w:pPr>
        <w:spacing w:line="240" w:lineRule="auto"/>
        <w:jc w:val="both"/>
        <w:rPr>
          <w:rFonts w:eastAsia="Times New Roman" w:cs="Calibri"/>
          <w:color w:val="202124"/>
          <w:lang w:val="en-US"/>
        </w:rPr>
      </w:pPr>
      <w:r w:rsidRPr="008C761D">
        <w:rPr>
          <w:rFonts w:eastAsia="Times New Roman" w:cs="Calibri"/>
          <w:color w:val="202124"/>
          <w:lang w:val="en-US"/>
        </w:rPr>
        <w:t>Improve taxpayer services, including tax collection and compliance, and overall to establish a professional taxpayer service model recognized for best practice and quality standards</w:t>
      </w:r>
    </w:p>
    <w:p w14:paraId="36FE6BF0" w14:textId="77777777" w:rsidR="00A64FD7" w:rsidRPr="008C761D" w:rsidRDefault="00E93DCC" w:rsidP="00E84CD0">
      <w:pPr>
        <w:spacing w:line="240" w:lineRule="auto"/>
        <w:jc w:val="both"/>
        <w:rPr>
          <w:rFonts w:eastAsia="Times New Roman" w:cs="Calibri"/>
          <w:color w:val="202124"/>
          <w:lang w:val="en-US"/>
        </w:rPr>
      </w:pPr>
      <w:r w:rsidRPr="008C761D">
        <w:rPr>
          <w:rFonts w:eastAsia="Times New Roman" w:cs="Calibri"/>
          <w:color w:val="202124"/>
          <w:lang w:val="en-US"/>
        </w:rPr>
        <w:t>The objective of this priority will be achieved through the following measures and activities:</w:t>
      </w:r>
    </w:p>
    <w:tbl>
      <w:tblPr>
        <w:tblW w:w="8567" w:type="dxa"/>
        <w:tblInd w:w="548" w:type="dxa"/>
        <w:tblLook w:val="01E0" w:firstRow="1" w:lastRow="1" w:firstColumn="1" w:lastColumn="1" w:noHBand="0" w:noVBand="0"/>
      </w:tblPr>
      <w:tblGrid>
        <w:gridCol w:w="1403"/>
        <w:gridCol w:w="7164"/>
      </w:tblGrid>
      <w:tr w:rsidR="000D03EB" w:rsidRPr="008C761D" w14:paraId="24FE0F1C" w14:textId="77777777" w:rsidTr="00560316">
        <w:trPr>
          <w:trHeight w:val="168"/>
        </w:trPr>
        <w:tc>
          <w:tcPr>
            <w:tcW w:w="1403" w:type="dxa"/>
            <w:shd w:val="clear" w:color="auto" w:fill="auto"/>
          </w:tcPr>
          <w:p w14:paraId="597FB2F3" w14:textId="17612357" w:rsidR="000D03EB" w:rsidRPr="008C761D" w:rsidRDefault="000D03EB" w:rsidP="00E84CD0">
            <w:pPr>
              <w:spacing w:line="240" w:lineRule="auto"/>
              <w:jc w:val="both"/>
              <w:rPr>
                <w:rFonts w:cs="Calibri"/>
                <w:b/>
                <w:lang w:val="en-US"/>
              </w:rPr>
            </w:pPr>
            <w:r w:rsidRPr="008C761D">
              <w:rPr>
                <w:rFonts w:cs="Calibri"/>
                <w:b/>
                <w:lang w:val="en-US"/>
              </w:rPr>
              <w:t>Measure</w:t>
            </w:r>
            <w:r w:rsidR="00C025EB" w:rsidRPr="008C761D">
              <w:rPr>
                <w:rFonts w:cs="Calibri"/>
                <w:b/>
                <w:lang w:val="en-US"/>
              </w:rPr>
              <w:t xml:space="preserve"> </w:t>
            </w:r>
            <w:r w:rsidRPr="008C761D">
              <w:rPr>
                <w:rFonts w:cs="Calibri"/>
                <w:b/>
                <w:lang w:val="en-US"/>
              </w:rPr>
              <w:t>1:</w:t>
            </w:r>
          </w:p>
        </w:tc>
        <w:tc>
          <w:tcPr>
            <w:tcW w:w="7164" w:type="dxa"/>
            <w:shd w:val="clear" w:color="auto" w:fill="auto"/>
          </w:tcPr>
          <w:p w14:paraId="1300E92D" w14:textId="10F1629F" w:rsidR="000D03EB" w:rsidRPr="008C761D" w:rsidRDefault="00C025EB" w:rsidP="00E84CD0">
            <w:pPr>
              <w:spacing w:line="240" w:lineRule="auto"/>
              <w:jc w:val="both"/>
              <w:rPr>
                <w:rFonts w:cs="Calibri"/>
                <w:b/>
                <w:lang w:val="en-US"/>
              </w:rPr>
            </w:pPr>
            <w:r w:rsidRPr="008C761D">
              <w:rPr>
                <w:rFonts w:cs="Calibri"/>
                <w:b/>
                <w:lang w:val="en-US"/>
              </w:rPr>
              <w:t>Strengthen of administrative capacity for better revenue collection and tax compliance</w:t>
            </w:r>
          </w:p>
        </w:tc>
      </w:tr>
      <w:tr w:rsidR="000D03EB" w:rsidRPr="008C761D" w14:paraId="701D2EF3" w14:textId="77777777" w:rsidTr="00C36177">
        <w:trPr>
          <w:trHeight w:val="513"/>
        </w:trPr>
        <w:tc>
          <w:tcPr>
            <w:tcW w:w="1403" w:type="dxa"/>
            <w:shd w:val="clear" w:color="auto" w:fill="auto"/>
          </w:tcPr>
          <w:p w14:paraId="41965BA5" w14:textId="77777777" w:rsidR="000D03EB" w:rsidRPr="008C761D" w:rsidRDefault="000D03EB" w:rsidP="00E84CD0">
            <w:pPr>
              <w:spacing w:line="240" w:lineRule="auto"/>
              <w:jc w:val="both"/>
              <w:rPr>
                <w:rFonts w:cs="Calibri"/>
                <w:lang w:val="en-US"/>
              </w:rPr>
            </w:pPr>
            <w:r w:rsidRPr="008C761D">
              <w:rPr>
                <w:rFonts w:cs="Calibri"/>
                <w:lang w:val="en-US"/>
              </w:rPr>
              <w:t>Activity1:</w:t>
            </w:r>
          </w:p>
        </w:tc>
        <w:tc>
          <w:tcPr>
            <w:tcW w:w="7164" w:type="dxa"/>
            <w:shd w:val="clear" w:color="auto" w:fill="auto"/>
          </w:tcPr>
          <w:p w14:paraId="712D40D5" w14:textId="1C0756DB" w:rsidR="008F758B" w:rsidRPr="000A5366" w:rsidRDefault="00C025EB" w:rsidP="000A5366">
            <w:pPr>
              <w:spacing w:after="0" w:line="240" w:lineRule="auto"/>
              <w:jc w:val="both"/>
              <w:rPr>
                <w:rFonts w:cs="Calibri"/>
                <w:bCs/>
                <w:lang w:val="en-US"/>
              </w:rPr>
            </w:pPr>
            <w:r w:rsidRPr="008C761D">
              <w:rPr>
                <w:rFonts w:cs="Calibri"/>
                <w:bCs/>
                <w:lang w:val="en-US"/>
              </w:rPr>
              <w:t>More effective and efficient management of overdue tax debt</w:t>
            </w:r>
          </w:p>
        </w:tc>
      </w:tr>
      <w:tr w:rsidR="008F758B" w:rsidRPr="008C761D" w14:paraId="4D077681" w14:textId="77777777" w:rsidTr="00560316">
        <w:trPr>
          <w:trHeight w:val="322"/>
        </w:trPr>
        <w:tc>
          <w:tcPr>
            <w:tcW w:w="1403" w:type="dxa"/>
            <w:shd w:val="clear" w:color="auto" w:fill="auto"/>
          </w:tcPr>
          <w:p w14:paraId="2A9F1EFC" w14:textId="77777777" w:rsidR="008F758B" w:rsidRPr="008C761D" w:rsidRDefault="008F758B" w:rsidP="00E84CD0">
            <w:pPr>
              <w:spacing w:line="240" w:lineRule="auto"/>
              <w:jc w:val="both"/>
              <w:rPr>
                <w:rFonts w:cs="Calibri"/>
                <w:lang w:val="en-US"/>
              </w:rPr>
            </w:pPr>
            <w:r w:rsidRPr="008C761D">
              <w:rPr>
                <w:rFonts w:cs="Calibri"/>
                <w:lang w:val="en-US"/>
              </w:rPr>
              <w:t>Activity2:</w:t>
            </w:r>
          </w:p>
        </w:tc>
        <w:tc>
          <w:tcPr>
            <w:tcW w:w="7164" w:type="dxa"/>
            <w:shd w:val="clear" w:color="auto" w:fill="auto"/>
          </w:tcPr>
          <w:p w14:paraId="35746305" w14:textId="5655D7DB" w:rsidR="003C20E4" w:rsidRPr="008C761D" w:rsidRDefault="008F758B" w:rsidP="00CE2DF4">
            <w:pPr>
              <w:spacing w:line="240" w:lineRule="auto"/>
              <w:jc w:val="both"/>
              <w:rPr>
                <w:rFonts w:cs="Calibri"/>
                <w:bCs/>
                <w:lang w:val="en-US"/>
              </w:rPr>
            </w:pPr>
            <w:r w:rsidRPr="008C761D">
              <w:rPr>
                <w:rFonts w:cs="Calibri"/>
                <w:bCs/>
                <w:lang w:val="en-US"/>
              </w:rPr>
              <w:t>Improving the Compliance</w:t>
            </w:r>
            <w:r w:rsidR="00C025EB" w:rsidRPr="008C761D">
              <w:rPr>
                <w:rFonts w:cs="Calibri"/>
                <w:bCs/>
                <w:lang w:val="en-US"/>
              </w:rPr>
              <w:t xml:space="preserve"> </w:t>
            </w:r>
            <w:r w:rsidRPr="008C761D">
              <w:rPr>
                <w:rFonts w:cs="Calibri"/>
                <w:bCs/>
                <w:lang w:val="en-US"/>
              </w:rPr>
              <w:t>risk</w:t>
            </w:r>
            <w:r w:rsidR="00C025EB" w:rsidRPr="008C761D">
              <w:rPr>
                <w:rFonts w:cs="Calibri"/>
                <w:bCs/>
                <w:lang w:val="en-US"/>
              </w:rPr>
              <w:t xml:space="preserve"> </w:t>
            </w:r>
            <w:r w:rsidRPr="008C761D">
              <w:rPr>
                <w:rFonts w:cs="Calibri"/>
                <w:bCs/>
                <w:lang w:val="en-US"/>
              </w:rPr>
              <w:t>management</w:t>
            </w:r>
          </w:p>
        </w:tc>
      </w:tr>
      <w:tr w:rsidR="000D03EB" w:rsidRPr="008C761D" w14:paraId="5BC4F81D" w14:textId="77777777" w:rsidTr="00560316">
        <w:trPr>
          <w:trHeight w:val="322"/>
        </w:trPr>
        <w:tc>
          <w:tcPr>
            <w:tcW w:w="1403" w:type="dxa"/>
            <w:shd w:val="clear" w:color="auto" w:fill="auto"/>
          </w:tcPr>
          <w:p w14:paraId="325A1BD7" w14:textId="77777777" w:rsidR="000D03EB" w:rsidRPr="008C761D" w:rsidRDefault="000D03EB" w:rsidP="00E84CD0">
            <w:pPr>
              <w:spacing w:line="240" w:lineRule="auto"/>
              <w:jc w:val="both"/>
              <w:rPr>
                <w:rFonts w:cs="Calibri"/>
                <w:lang w:val="en-US"/>
              </w:rPr>
            </w:pPr>
            <w:r w:rsidRPr="008C761D">
              <w:rPr>
                <w:rFonts w:eastAsia="Times New Roman" w:cs="Calibri"/>
                <w:b/>
                <w:lang w:val="en-US"/>
              </w:rPr>
              <w:t>Measure 2:</w:t>
            </w:r>
          </w:p>
        </w:tc>
        <w:tc>
          <w:tcPr>
            <w:tcW w:w="7164" w:type="dxa"/>
            <w:shd w:val="clear" w:color="auto" w:fill="auto"/>
          </w:tcPr>
          <w:p w14:paraId="45EACCF0" w14:textId="77777777" w:rsidR="000D03EB" w:rsidRPr="008C761D" w:rsidRDefault="000D03EB" w:rsidP="00E84CD0">
            <w:pPr>
              <w:spacing w:line="240" w:lineRule="auto"/>
              <w:jc w:val="both"/>
              <w:rPr>
                <w:rFonts w:eastAsia="Times New Roman" w:cs="Calibri"/>
                <w:b/>
                <w:lang w:val="en-US"/>
              </w:rPr>
            </w:pPr>
            <w:r w:rsidRPr="008C761D">
              <w:rPr>
                <w:rFonts w:eastAsia="Times New Roman" w:cs="Calibri"/>
                <w:b/>
                <w:lang w:val="en-US"/>
              </w:rPr>
              <w:t>Digital transformation of the PRO with the establishment of an Integrated Tax Information System (ITIS)</w:t>
            </w:r>
          </w:p>
        </w:tc>
      </w:tr>
      <w:tr w:rsidR="000D03EB" w:rsidRPr="008C761D" w14:paraId="68D42506" w14:textId="77777777" w:rsidTr="00FD485A">
        <w:trPr>
          <w:trHeight w:val="738"/>
        </w:trPr>
        <w:tc>
          <w:tcPr>
            <w:tcW w:w="1403" w:type="dxa"/>
            <w:shd w:val="clear" w:color="auto" w:fill="auto"/>
          </w:tcPr>
          <w:p w14:paraId="2E6F6413" w14:textId="77777777" w:rsidR="000D03EB" w:rsidRPr="008C761D" w:rsidRDefault="000D03EB" w:rsidP="00E84CD0">
            <w:pPr>
              <w:spacing w:line="240" w:lineRule="auto"/>
              <w:jc w:val="both"/>
              <w:rPr>
                <w:rFonts w:cs="Calibri"/>
                <w:lang w:val="en-US"/>
              </w:rPr>
            </w:pPr>
            <w:r w:rsidRPr="008C761D">
              <w:rPr>
                <w:rFonts w:cs="Calibri"/>
                <w:lang w:val="en-US"/>
              </w:rPr>
              <w:t>Activity1:</w:t>
            </w:r>
          </w:p>
        </w:tc>
        <w:tc>
          <w:tcPr>
            <w:tcW w:w="7164" w:type="dxa"/>
            <w:shd w:val="clear" w:color="auto" w:fill="auto"/>
          </w:tcPr>
          <w:p w14:paraId="1316B2C0" w14:textId="022CAD34" w:rsidR="000D03EB" w:rsidRPr="00FD485A" w:rsidRDefault="008F758B" w:rsidP="00E84CD0">
            <w:pPr>
              <w:spacing w:line="240" w:lineRule="auto"/>
              <w:jc w:val="both"/>
              <w:rPr>
                <w:rFonts w:eastAsia="MS PGothic" w:cs="Calibri"/>
                <w:bCs/>
                <w:iCs/>
                <w:lang w:val="en-US" w:eastAsia="zh-CN"/>
              </w:rPr>
            </w:pPr>
            <w:r w:rsidRPr="008C761D">
              <w:rPr>
                <w:rFonts w:eastAsia="MS PGothic" w:cs="Calibri"/>
                <w:bCs/>
                <w:iCs/>
                <w:lang w:val="en-US" w:eastAsia="zh-CN"/>
              </w:rPr>
              <w:t>Completion of the remaining modules of the Integrated Tax Information System</w:t>
            </w:r>
          </w:p>
        </w:tc>
      </w:tr>
      <w:tr w:rsidR="008F758B" w:rsidRPr="008C761D" w14:paraId="1789C628" w14:textId="77777777" w:rsidTr="0037730E">
        <w:trPr>
          <w:trHeight w:val="630"/>
        </w:trPr>
        <w:tc>
          <w:tcPr>
            <w:tcW w:w="1403" w:type="dxa"/>
            <w:shd w:val="clear" w:color="auto" w:fill="auto"/>
          </w:tcPr>
          <w:p w14:paraId="2D9D4DA5" w14:textId="77777777" w:rsidR="008F758B" w:rsidRPr="008C761D" w:rsidRDefault="008F758B" w:rsidP="008F758B">
            <w:pPr>
              <w:spacing w:line="240" w:lineRule="auto"/>
              <w:jc w:val="both"/>
              <w:rPr>
                <w:rFonts w:cs="Calibri"/>
                <w:lang w:val="en-US"/>
              </w:rPr>
            </w:pPr>
            <w:r w:rsidRPr="008C761D">
              <w:rPr>
                <w:rFonts w:cs="Calibri"/>
                <w:lang w:val="en-US"/>
              </w:rPr>
              <w:t>Activity2:</w:t>
            </w:r>
          </w:p>
          <w:p w14:paraId="06B86D17" w14:textId="77777777" w:rsidR="008F758B" w:rsidRPr="008C761D" w:rsidRDefault="008F758B" w:rsidP="00E84CD0">
            <w:pPr>
              <w:spacing w:line="240" w:lineRule="auto"/>
              <w:jc w:val="both"/>
              <w:rPr>
                <w:rFonts w:cs="Calibri"/>
                <w:lang w:val="en-US"/>
              </w:rPr>
            </w:pPr>
          </w:p>
        </w:tc>
        <w:tc>
          <w:tcPr>
            <w:tcW w:w="7164" w:type="dxa"/>
            <w:shd w:val="clear" w:color="auto" w:fill="auto"/>
          </w:tcPr>
          <w:p w14:paraId="6C3DBD08" w14:textId="77777777" w:rsidR="008F758B" w:rsidRPr="008C761D" w:rsidRDefault="008F758B" w:rsidP="00E84CD0">
            <w:pPr>
              <w:spacing w:line="240" w:lineRule="auto"/>
              <w:jc w:val="both"/>
              <w:rPr>
                <w:rFonts w:eastAsia="MS PGothic" w:cs="Calibri"/>
                <w:bCs/>
                <w:iCs/>
                <w:lang w:val="en-US" w:eastAsia="zh-CN"/>
              </w:rPr>
            </w:pPr>
            <w:r w:rsidRPr="008C761D">
              <w:rPr>
                <w:rFonts w:eastAsia="MS PGothic" w:cs="Calibri"/>
                <w:bCs/>
                <w:iCs/>
                <w:lang w:val="en-US" w:eastAsia="zh-CN"/>
              </w:rPr>
              <w:t>Ensuring IS security (Information System) and smooth functioning of the integrated tax information system</w:t>
            </w:r>
          </w:p>
        </w:tc>
      </w:tr>
    </w:tbl>
    <w:p w14:paraId="1B83B5E3" w14:textId="77777777" w:rsidR="00A64FD7" w:rsidRPr="008C761D" w:rsidRDefault="00A64FD7"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26E598A3" w14:textId="77777777" w:rsidR="00E93DCC" w:rsidRPr="008C761D" w:rsidRDefault="00E93DCC" w:rsidP="00E93DCC">
      <w:pPr>
        <w:spacing w:line="240" w:lineRule="auto"/>
        <w:jc w:val="both"/>
        <w:rPr>
          <w:rFonts w:eastAsia="Times New Roman" w:cs="Calibri"/>
          <w:color w:val="202124"/>
          <w:lang w:val="en-US"/>
        </w:rPr>
      </w:pPr>
      <w:r w:rsidRPr="008C761D">
        <w:rPr>
          <w:rFonts w:eastAsia="Times New Roman" w:cs="Calibri"/>
          <w:color w:val="202124"/>
          <w:lang w:val="en-US"/>
        </w:rPr>
        <w:t>1) improved stability, efficiency, and quality of the revenue collection system (IT system)</w:t>
      </w:r>
    </w:p>
    <w:p w14:paraId="511D7084" w14:textId="77777777" w:rsidR="00E93DCC" w:rsidRPr="008C761D" w:rsidRDefault="00E93DCC" w:rsidP="00E93DCC">
      <w:pPr>
        <w:spacing w:line="240" w:lineRule="auto"/>
        <w:jc w:val="both"/>
        <w:rPr>
          <w:rFonts w:eastAsia="Times New Roman" w:cs="Calibri"/>
          <w:color w:val="202124"/>
          <w:lang w:val="en-US"/>
        </w:rPr>
      </w:pPr>
      <w:r w:rsidRPr="008C761D">
        <w:rPr>
          <w:rFonts w:eastAsia="Times New Roman" w:cs="Calibri"/>
          <w:color w:val="202124"/>
          <w:lang w:val="en-US"/>
        </w:rPr>
        <w:t>2) more effective and efficient management of the overdue tax debt</w:t>
      </w:r>
    </w:p>
    <w:p w14:paraId="717266D8" w14:textId="77777777" w:rsidR="00E93DCC" w:rsidRPr="008C761D" w:rsidRDefault="00E93DCC" w:rsidP="00E93DCC">
      <w:pPr>
        <w:spacing w:line="240" w:lineRule="auto"/>
        <w:jc w:val="both"/>
        <w:rPr>
          <w:rFonts w:eastAsia="Times New Roman" w:cs="Calibri"/>
          <w:color w:val="202124"/>
          <w:lang w:val="en-US"/>
        </w:rPr>
      </w:pPr>
      <w:r w:rsidRPr="008C761D">
        <w:rPr>
          <w:rFonts w:eastAsia="Times New Roman" w:cs="Calibri"/>
          <w:color w:val="202124"/>
          <w:lang w:val="en-US"/>
        </w:rPr>
        <w:t>3) a fully established systematic process for managing tax compliance risks</w:t>
      </w:r>
    </w:p>
    <w:p w14:paraId="4CE06614" w14:textId="29B6C58F" w:rsidR="00F004A4" w:rsidRPr="008C761D" w:rsidRDefault="00A64FD7" w:rsidP="00E93DCC">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r w:rsidR="00367CB7">
        <w:rPr>
          <w:rFonts w:eastAsia="MS PGothic" w:cs="Calibri"/>
          <w:b/>
          <w:bCs/>
          <w:i/>
          <w:iCs/>
          <w:color w:val="4F81BD"/>
          <w:lang w:val="en-US" w:eastAsia="zh-CN"/>
        </w:rPr>
        <w:t xml:space="preserve"> </w:t>
      </w:r>
      <w:r w:rsidRPr="008C761D">
        <w:rPr>
          <w:rFonts w:eastAsia="MS PGothic" w:cs="Calibri"/>
          <w:b/>
          <w:bCs/>
          <w:i/>
          <w:iCs/>
          <w:color w:val="4F81BD"/>
          <w:lang w:val="en-US" w:eastAsia="zh-CN"/>
        </w:rPr>
        <w:t>indicator</w:t>
      </w:r>
    </w:p>
    <w:p w14:paraId="57B8DF9C" w14:textId="77777777" w:rsidR="00E93DCC" w:rsidRPr="008C761D" w:rsidRDefault="00083A12" w:rsidP="00E93DCC">
      <w:pPr>
        <w:spacing w:line="240" w:lineRule="auto"/>
        <w:jc w:val="both"/>
        <w:rPr>
          <w:rFonts w:eastAsia="Times New Roman" w:cs="Calibri"/>
          <w:color w:val="202124"/>
          <w:lang w:val="en-US"/>
        </w:rPr>
      </w:pPr>
      <w:r w:rsidRPr="008C761D">
        <w:rPr>
          <w:rFonts w:eastAsia="Times New Roman" w:cs="Calibri"/>
          <w:color w:val="202124"/>
          <w:lang w:val="en-US"/>
        </w:rPr>
        <w:t>1</w:t>
      </w:r>
      <w:r w:rsidR="00E93DCC" w:rsidRPr="008C761D">
        <w:rPr>
          <w:rFonts w:eastAsia="Times New Roman" w:cs="Calibri"/>
          <w:color w:val="202124"/>
          <w:lang w:val="en-US"/>
        </w:rPr>
        <w:t>)percentage of digitized tax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76C882D9" w14:textId="77777777" w:rsidTr="002B77A4">
        <w:trPr>
          <w:trHeight w:val="395"/>
        </w:trPr>
        <w:tc>
          <w:tcPr>
            <w:tcW w:w="4608" w:type="dxa"/>
            <w:shd w:val="clear" w:color="auto" w:fill="E8E8E8"/>
          </w:tcPr>
          <w:p w14:paraId="6A675569"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9449302"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79965A4E" w14:textId="77777777" w:rsidTr="002B77A4">
        <w:trPr>
          <w:trHeight w:val="278"/>
        </w:trPr>
        <w:tc>
          <w:tcPr>
            <w:tcW w:w="4608" w:type="dxa"/>
            <w:shd w:val="clear" w:color="auto" w:fill="E8E8E8"/>
          </w:tcPr>
          <w:p w14:paraId="0550B7D8" w14:textId="609BDE88" w:rsidR="00F004A4" w:rsidRPr="008C761D" w:rsidRDefault="00083A12" w:rsidP="002B77A4">
            <w:pPr>
              <w:tabs>
                <w:tab w:val="left" w:pos="964"/>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83%</w:t>
            </w:r>
          </w:p>
        </w:tc>
        <w:tc>
          <w:tcPr>
            <w:tcW w:w="4608" w:type="dxa"/>
            <w:shd w:val="clear" w:color="auto" w:fill="E8E8E8"/>
          </w:tcPr>
          <w:p w14:paraId="04A99A6F" w14:textId="56B4F27A" w:rsidR="00F004A4" w:rsidRPr="008C761D" w:rsidRDefault="00083A12" w:rsidP="002B77A4">
            <w:pPr>
              <w:tabs>
                <w:tab w:val="left" w:pos="964"/>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100%</w:t>
            </w:r>
          </w:p>
        </w:tc>
      </w:tr>
    </w:tbl>
    <w:p w14:paraId="18135534" w14:textId="77777777" w:rsidR="00F004A4" w:rsidRPr="0037730E" w:rsidRDefault="00F004A4" w:rsidP="00E93DCC">
      <w:pPr>
        <w:spacing w:line="240" w:lineRule="auto"/>
        <w:jc w:val="both"/>
        <w:rPr>
          <w:rFonts w:eastAsia="Times New Roman" w:cs="Calibri"/>
          <w:color w:val="202124"/>
          <w:sz w:val="10"/>
          <w:szCs w:val="10"/>
          <w:lang w:val="en-US"/>
        </w:rPr>
      </w:pPr>
    </w:p>
    <w:p w14:paraId="38B870E6" w14:textId="77777777" w:rsidR="00E93DCC" w:rsidRPr="008C761D" w:rsidRDefault="00083A12" w:rsidP="00E93DCC">
      <w:pPr>
        <w:spacing w:line="240" w:lineRule="auto"/>
        <w:jc w:val="both"/>
        <w:rPr>
          <w:rFonts w:eastAsia="Times New Roman" w:cs="Calibri"/>
          <w:color w:val="202124"/>
          <w:lang w:val="en-US"/>
        </w:rPr>
      </w:pPr>
      <w:r w:rsidRPr="008C761D">
        <w:rPr>
          <w:rFonts w:eastAsia="Times New Roman" w:cs="Calibri"/>
          <w:color w:val="202124"/>
          <w:lang w:val="en-US"/>
        </w:rPr>
        <w:t>2</w:t>
      </w:r>
      <w:r w:rsidR="00E93DCC" w:rsidRPr="008C761D">
        <w:rPr>
          <w:rFonts w:eastAsia="Times New Roman" w:cs="Calibri"/>
          <w:color w:val="202124"/>
          <w:lang w:val="en-US"/>
        </w:rPr>
        <w:t>)improved tax payment timeliness rate (VAT)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0283D7E3" w14:textId="77777777" w:rsidTr="002B77A4">
        <w:trPr>
          <w:trHeight w:val="395"/>
        </w:trPr>
        <w:tc>
          <w:tcPr>
            <w:tcW w:w="4608" w:type="dxa"/>
            <w:shd w:val="clear" w:color="auto" w:fill="E8E8E8"/>
          </w:tcPr>
          <w:p w14:paraId="16D00C90"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467E9E18"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377F17BE" w14:textId="77777777" w:rsidTr="002B77A4">
        <w:trPr>
          <w:trHeight w:val="278"/>
        </w:trPr>
        <w:tc>
          <w:tcPr>
            <w:tcW w:w="4608" w:type="dxa"/>
            <w:shd w:val="clear" w:color="auto" w:fill="E8E8E8"/>
          </w:tcPr>
          <w:p w14:paraId="5F222134" w14:textId="77777777" w:rsidR="00C025EB" w:rsidRPr="008C761D" w:rsidRDefault="00C025EB" w:rsidP="0037730E">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Rate on number of timely payments - 60%</w:t>
            </w:r>
          </w:p>
          <w:p w14:paraId="23726F24" w14:textId="3B60BE47" w:rsidR="00F004A4" w:rsidRPr="008C761D" w:rsidRDefault="00C025EB" w:rsidP="0037730E">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Rate on amount of timely payments - 70%</w:t>
            </w:r>
          </w:p>
        </w:tc>
        <w:tc>
          <w:tcPr>
            <w:tcW w:w="4608" w:type="dxa"/>
            <w:shd w:val="clear" w:color="auto" w:fill="E8E8E8"/>
          </w:tcPr>
          <w:p w14:paraId="119D6266" w14:textId="77777777" w:rsidR="00C025EB" w:rsidRPr="008C761D" w:rsidRDefault="00C025EB" w:rsidP="0037730E">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Rate on number of timely payments </w:t>
            </w:r>
            <w:proofErr w:type="gramStart"/>
            <w:r w:rsidRPr="008C761D">
              <w:rPr>
                <w:rFonts w:eastAsia="Times New Roman" w:cs="Calibri"/>
                <w:color w:val="202124"/>
                <w:sz w:val="20"/>
                <w:szCs w:val="20"/>
                <w:lang w:val="en-US"/>
              </w:rPr>
              <w:t>–  90</w:t>
            </w:r>
            <w:proofErr w:type="gramEnd"/>
            <w:r w:rsidRPr="008C761D">
              <w:rPr>
                <w:rFonts w:eastAsia="Times New Roman" w:cs="Calibri"/>
                <w:color w:val="202124"/>
                <w:sz w:val="20"/>
                <w:szCs w:val="20"/>
                <w:lang w:val="en-US"/>
              </w:rPr>
              <w:t>%</w:t>
            </w:r>
          </w:p>
          <w:p w14:paraId="43448A6C" w14:textId="5DD48DC3" w:rsidR="00F004A4" w:rsidRPr="008C761D" w:rsidRDefault="00C025EB" w:rsidP="0037730E">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Rate on amount of timely payments - - 90%</w:t>
            </w:r>
          </w:p>
        </w:tc>
      </w:tr>
    </w:tbl>
    <w:p w14:paraId="03CFDFFB" w14:textId="77777777" w:rsidR="0037730E" w:rsidRPr="0037730E" w:rsidRDefault="0037730E" w:rsidP="00E93DCC">
      <w:pPr>
        <w:spacing w:line="240" w:lineRule="auto"/>
        <w:jc w:val="both"/>
        <w:rPr>
          <w:rFonts w:eastAsia="Times New Roman" w:cs="Calibri"/>
          <w:color w:val="202124"/>
          <w:sz w:val="10"/>
          <w:szCs w:val="10"/>
          <w:lang w:val="en-US"/>
        </w:rPr>
      </w:pPr>
    </w:p>
    <w:p w14:paraId="2AB0AE01" w14:textId="1FF3D204" w:rsidR="00E93DCC" w:rsidRPr="008C761D" w:rsidRDefault="00083A12" w:rsidP="00E93DCC">
      <w:pPr>
        <w:spacing w:line="240" w:lineRule="auto"/>
        <w:jc w:val="both"/>
        <w:rPr>
          <w:rFonts w:eastAsia="Times New Roman" w:cs="Calibri"/>
          <w:color w:val="202124"/>
          <w:lang w:val="en-US"/>
        </w:rPr>
      </w:pPr>
      <w:r w:rsidRPr="008C761D">
        <w:rPr>
          <w:rFonts w:eastAsia="Times New Roman" w:cs="Calibri"/>
          <w:color w:val="202124"/>
          <w:lang w:val="en-US"/>
        </w:rPr>
        <w:t>3</w:t>
      </w:r>
      <w:r w:rsidR="00E93DCC" w:rsidRPr="008C761D">
        <w:rPr>
          <w:rFonts w:eastAsia="Times New Roman" w:cs="Calibri"/>
          <w:color w:val="202124"/>
          <w:lang w:val="en-US"/>
        </w:rPr>
        <w:t>)</w:t>
      </w:r>
      <w:r w:rsidR="00736F00" w:rsidRPr="008C761D">
        <w:rPr>
          <w:rFonts w:eastAsia="Times New Roman" w:cs="Calibri"/>
          <w:color w:val="202124"/>
          <w:lang w:val="en-US"/>
        </w:rPr>
        <w:t xml:space="preserve"> </w:t>
      </w:r>
      <w:r w:rsidR="00E93DCC" w:rsidRPr="008C761D">
        <w:rPr>
          <w:rFonts w:eastAsia="Times New Roman" w:cs="Calibri"/>
          <w:color w:val="202124"/>
          <w:lang w:val="en-US"/>
        </w:rPr>
        <w:t>improved age structure of the tax debt (VAT) – reduced share of the debt older than 12 months in the total tax debt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44935BBC" w14:textId="77777777" w:rsidTr="002B77A4">
        <w:trPr>
          <w:trHeight w:val="395"/>
        </w:trPr>
        <w:tc>
          <w:tcPr>
            <w:tcW w:w="4608" w:type="dxa"/>
            <w:shd w:val="clear" w:color="auto" w:fill="E8E8E8"/>
          </w:tcPr>
          <w:p w14:paraId="571016A8" w14:textId="77777777" w:rsidR="00F004A4" w:rsidRPr="008C761D" w:rsidRDefault="00F004A4" w:rsidP="002B77A4">
            <w:pPr>
              <w:spacing w:line="240" w:lineRule="auto"/>
              <w:jc w:val="both"/>
              <w:rPr>
                <w:rFonts w:eastAsia="Times New Roman" w:cs="Calibri"/>
                <w:b/>
                <w:bCs/>
                <w:i/>
                <w:iCs/>
                <w:color w:val="202124"/>
                <w:sz w:val="20"/>
                <w:szCs w:val="20"/>
                <w:lang w:val="en-US"/>
              </w:rPr>
            </w:pPr>
            <w:bookmarkStart w:id="26" w:name="_Hlk154061990"/>
            <w:r w:rsidRPr="008C761D">
              <w:rPr>
                <w:rFonts w:eastAsia="Times New Roman" w:cs="Calibri"/>
                <w:b/>
                <w:bCs/>
                <w:i/>
                <w:iCs/>
                <w:color w:val="202124"/>
                <w:sz w:val="20"/>
                <w:szCs w:val="20"/>
                <w:lang w:val="en-US"/>
              </w:rPr>
              <w:t>Baseline 2022</w:t>
            </w:r>
          </w:p>
        </w:tc>
        <w:tc>
          <w:tcPr>
            <w:tcW w:w="4608" w:type="dxa"/>
            <w:shd w:val="clear" w:color="auto" w:fill="E8E8E8"/>
          </w:tcPr>
          <w:p w14:paraId="1F421103"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5A584B88" w14:textId="77777777" w:rsidTr="002B77A4">
        <w:trPr>
          <w:trHeight w:val="278"/>
        </w:trPr>
        <w:tc>
          <w:tcPr>
            <w:tcW w:w="4608" w:type="dxa"/>
            <w:shd w:val="clear" w:color="auto" w:fill="E8E8E8"/>
          </w:tcPr>
          <w:p w14:paraId="64330540" w14:textId="283759FD" w:rsidR="00F004A4" w:rsidRPr="008C761D" w:rsidRDefault="00083A12" w:rsidP="002B77A4">
            <w:pPr>
              <w:tabs>
                <w:tab w:val="left" w:pos="1114"/>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Share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of VAT debt (principal</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 xml:space="preserve">debt) over 12 </w:t>
            </w:r>
            <w:proofErr w:type="gramStart"/>
            <w:r w:rsidRPr="008C761D">
              <w:rPr>
                <w:rFonts w:eastAsia="Times New Roman" w:cs="Calibri"/>
                <w:color w:val="202124"/>
                <w:sz w:val="20"/>
                <w:szCs w:val="20"/>
                <w:lang w:val="en-US"/>
              </w:rPr>
              <w:t>month</w:t>
            </w:r>
            <w:proofErr w:type="gramEnd"/>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sold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in</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total VAT debt</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at</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end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of FP - 77%</w:t>
            </w:r>
          </w:p>
        </w:tc>
        <w:tc>
          <w:tcPr>
            <w:tcW w:w="4608" w:type="dxa"/>
            <w:shd w:val="clear" w:color="auto" w:fill="E8E8E8"/>
          </w:tcPr>
          <w:p w14:paraId="145D4CCF" w14:textId="62716D85" w:rsidR="00F004A4"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Share</w:t>
            </w:r>
            <w:r w:rsidR="00367CB7">
              <w:rPr>
                <w:rFonts w:eastAsia="Times New Roman" w:cs="Calibri"/>
                <w:color w:val="202124"/>
                <w:sz w:val="20"/>
                <w:szCs w:val="20"/>
                <w:lang w:val="en-US"/>
              </w:rPr>
              <w:t xml:space="preserve"> </w:t>
            </w:r>
            <w:r w:rsidRPr="008C761D">
              <w:rPr>
                <w:rFonts w:eastAsia="Times New Roman" w:cs="Calibri"/>
                <w:color w:val="202124"/>
                <w:sz w:val="20"/>
                <w:szCs w:val="20"/>
                <w:lang w:val="en-US"/>
              </w:rPr>
              <w:t>of VAT debt (principal</w:t>
            </w:r>
            <w:r w:rsidR="00367CB7">
              <w:rPr>
                <w:rFonts w:eastAsia="Times New Roman" w:cs="Calibri"/>
                <w:color w:val="202124"/>
                <w:sz w:val="20"/>
                <w:szCs w:val="20"/>
                <w:lang w:val="en-US"/>
              </w:rPr>
              <w:t xml:space="preserve"> </w:t>
            </w:r>
            <w:r w:rsidRPr="008C761D">
              <w:rPr>
                <w:rFonts w:eastAsia="Times New Roman" w:cs="Calibri"/>
                <w:color w:val="202124"/>
                <w:sz w:val="20"/>
                <w:szCs w:val="20"/>
                <w:lang w:val="en-US"/>
              </w:rPr>
              <w:t xml:space="preserve">debt) over 12 </w:t>
            </w:r>
            <w:proofErr w:type="gramStart"/>
            <w:r w:rsidRPr="008C761D">
              <w:rPr>
                <w:rFonts w:eastAsia="Times New Roman" w:cs="Calibri"/>
                <w:color w:val="202124"/>
                <w:sz w:val="20"/>
                <w:szCs w:val="20"/>
                <w:lang w:val="en-US"/>
              </w:rPr>
              <w:t>month</w:t>
            </w:r>
            <w:proofErr w:type="gramEnd"/>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sold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in</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total VAT debt</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at</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end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of FP - 50%</w:t>
            </w:r>
          </w:p>
        </w:tc>
      </w:tr>
      <w:bookmarkEnd w:id="26"/>
    </w:tbl>
    <w:p w14:paraId="0856924D" w14:textId="77777777" w:rsidR="00F004A4" w:rsidRPr="008C761D" w:rsidRDefault="00F004A4" w:rsidP="00E93DCC">
      <w:pPr>
        <w:spacing w:line="240" w:lineRule="auto"/>
        <w:jc w:val="both"/>
        <w:rPr>
          <w:rFonts w:eastAsia="Times New Roman" w:cs="Calibri"/>
          <w:color w:val="202124"/>
          <w:lang w:val="en-US"/>
        </w:rPr>
      </w:pPr>
    </w:p>
    <w:p w14:paraId="7C374B0B" w14:textId="77777777" w:rsidR="00E93DCC" w:rsidRPr="008C761D" w:rsidRDefault="00083A12" w:rsidP="00E93DCC">
      <w:pPr>
        <w:spacing w:line="240" w:lineRule="auto"/>
        <w:jc w:val="both"/>
        <w:rPr>
          <w:rFonts w:eastAsia="Times New Roman" w:cs="Calibri"/>
          <w:color w:val="202124"/>
          <w:lang w:val="en-US"/>
        </w:rPr>
      </w:pPr>
      <w:r w:rsidRPr="008C761D">
        <w:rPr>
          <w:rFonts w:eastAsia="Times New Roman" w:cs="Calibri"/>
          <w:color w:val="202124"/>
          <w:lang w:val="en-US"/>
        </w:rPr>
        <w:t>4</w:t>
      </w:r>
      <w:r w:rsidR="00E93DCC" w:rsidRPr="008C761D">
        <w:rPr>
          <w:rFonts w:eastAsia="Times New Roman" w:cs="Calibri"/>
          <w:color w:val="202124"/>
          <w:lang w:val="en-US"/>
        </w:rPr>
        <w:t>)Increased number of taxpayers who voluntarily comply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F004A4" w:rsidRPr="008C761D" w14:paraId="59314265" w14:textId="77777777" w:rsidTr="002B77A4">
        <w:trPr>
          <w:trHeight w:val="395"/>
        </w:trPr>
        <w:tc>
          <w:tcPr>
            <w:tcW w:w="4608" w:type="dxa"/>
            <w:shd w:val="clear" w:color="auto" w:fill="E8E8E8"/>
          </w:tcPr>
          <w:p w14:paraId="7046D23D" w14:textId="77777777" w:rsidR="00F004A4" w:rsidRPr="008C761D" w:rsidRDefault="00F004A4" w:rsidP="002B77A4">
            <w:pPr>
              <w:spacing w:line="240" w:lineRule="auto"/>
              <w:jc w:val="both"/>
              <w:rPr>
                <w:rFonts w:eastAsia="Times New Roman" w:cs="Calibri"/>
                <w:b/>
                <w:bCs/>
                <w:i/>
                <w:iCs/>
                <w:color w:val="202124"/>
                <w:sz w:val="20"/>
                <w:szCs w:val="20"/>
                <w:lang w:val="en-US"/>
              </w:rPr>
            </w:pPr>
            <w:bookmarkStart w:id="27" w:name="_Hlk154061622"/>
            <w:r w:rsidRPr="008C761D">
              <w:rPr>
                <w:rFonts w:eastAsia="Times New Roman" w:cs="Calibri"/>
                <w:b/>
                <w:bCs/>
                <w:i/>
                <w:iCs/>
                <w:color w:val="202124"/>
                <w:sz w:val="20"/>
                <w:szCs w:val="20"/>
                <w:lang w:val="en-US"/>
              </w:rPr>
              <w:t>Baseline 2022</w:t>
            </w:r>
          </w:p>
        </w:tc>
        <w:tc>
          <w:tcPr>
            <w:tcW w:w="4608" w:type="dxa"/>
            <w:shd w:val="clear" w:color="auto" w:fill="E8E8E8"/>
          </w:tcPr>
          <w:p w14:paraId="67FC6811" w14:textId="77777777" w:rsidR="00F004A4" w:rsidRPr="008C761D" w:rsidRDefault="00F004A4"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F004A4" w:rsidRPr="008C761D" w14:paraId="1E7778D5" w14:textId="77777777" w:rsidTr="002B77A4">
        <w:trPr>
          <w:trHeight w:val="278"/>
        </w:trPr>
        <w:tc>
          <w:tcPr>
            <w:tcW w:w="4608" w:type="dxa"/>
            <w:shd w:val="clear" w:color="auto" w:fill="E8E8E8"/>
          </w:tcPr>
          <w:p w14:paraId="51CCFDF3" w14:textId="6798AD96" w:rsidR="00F004A4"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Percentage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of</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timely</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submitted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tax</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returns</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and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tax</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payments</w:t>
            </w:r>
          </w:p>
        </w:tc>
        <w:tc>
          <w:tcPr>
            <w:tcW w:w="4608" w:type="dxa"/>
            <w:shd w:val="clear" w:color="auto" w:fill="E8E8E8"/>
          </w:tcPr>
          <w:p w14:paraId="40372446" w14:textId="50DBCBFC" w:rsidR="00F004A4"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Percentage</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of</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timely</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submitted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returns</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and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tax</w:t>
            </w:r>
            <w:r w:rsidR="00C36177" w:rsidRPr="008C761D">
              <w:rPr>
                <w:rFonts w:eastAsia="Times New Roman" w:cs="Calibri"/>
                <w:color w:val="202124"/>
                <w:sz w:val="20"/>
                <w:szCs w:val="20"/>
                <w:lang w:val="en-US"/>
              </w:rPr>
              <w:t xml:space="preserve"> </w:t>
            </w:r>
            <w:r w:rsidR="00367CB7" w:rsidRPr="008C761D">
              <w:rPr>
                <w:rFonts w:eastAsia="Times New Roman" w:cs="Calibri"/>
                <w:color w:val="202124"/>
                <w:sz w:val="20"/>
                <w:szCs w:val="20"/>
                <w:lang w:val="en-US"/>
              </w:rPr>
              <w:t>payment</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compared</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to</w:t>
            </w:r>
            <w:r w:rsidR="00C36177"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C36177" w:rsidRPr="008C761D">
              <w:rPr>
                <w:rFonts w:eastAsia="Times New Roman" w:cs="Calibri"/>
                <w:color w:val="202124"/>
                <w:sz w:val="20"/>
                <w:szCs w:val="20"/>
                <w:lang w:val="en-US"/>
              </w:rPr>
              <w:t xml:space="preserve"> </w:t>
            </w:r>
            <w:r w:rsidR="00367CB7" w:rsidRPr="008C761D">
              <w:rPr>
                <w:rFonts w:eastAsia="Times New Roman" w:cs="Calibri"/>
                <w:color w:val="202124"/>
                <w:sz w:val="20"/>
                <w:szCs w:val="20"/>
                <w:lang w:val="en-US"/>
              </w:rPr>
              <w:t>previous</w:t>
            </w:r>
            <w:r w:rsidR="00C36177" w:rsidRPr="008C761D">
              <w:rPr>
                <w:rFonts w:eastAsia="Times New Roman" w:cs="Calibri"/>
                <w:color w:val="202124"/>
                <w:sz w:val="20"/>
                <w:szCs w:val="20"/>
                <w:lang w:val="en-US"/>
              </w:rPr>
              <w:t xml:space="preserve"> </w:t>
            </w:r>
            <w:r w:rsidR="00367CB7" w:rsidRPr="008C761D">
              <w:rPr>
                <w:rFonts w:eastAsia="Times New Roman" w:cs="Calibri"/>
                <w:color w:val="202124"/>
                <w:sz w:val="20"/>
                <w:szCs w:val="20"/>
                <w:lang w:val="en-US"/>
              </w:rPr>
              <w:t>year</w:t>
            </w:r>
          </w:p>
        </w:tc>
      </w:tr>
      <w:bookmarkEnd w:id="27"/>
    </w:tbl>
    <w:p w14:paraId="68635054" w14:textId="77777777" w:rsidR="00F004A4" w:rsidRPr="008C761D" w:rsidRDefault="00F004A4" w:rsidP="00E93DCC">
      <w:pPr>
        <w:spacing w:line="240" w:lineRule="auto"/>
        <w:jc w:val="both"/>
        <w:rPr>
          <w:rFonts w:eastAsia="Times New Roman" w:cs="Calibri"/>
          <w:color w:val="202124"/>
          <w:lang w:val="en-US"/>
        </w:rPr>
      </w:pPr>
    </w:p>
    <w:p w14:paraId="0E2E35FE" w14:textId="77777777" w:rsidR="00736F00" w:rsidRPr="008C761D" w:rsidRDefault="00736F00" w:rsidP="00736F00">
      <w:pPr>
        <w:spacing w:line="240" w:lineRule="auto"/>
        <w:jc w:val="both"/>
        <w:rPr>
          <w:rFonts w:cs="Calibri"/>
          <w:b/>
          <w:color w:val="0070C0"/>
          <w:sz w:val="24"/>
          <w:szCs w:val="24"/>
          <w:lang w:val="en-US"/>
        </w:rPr>
      </w:pPr>
      <w:r w:rsidRPr="008C761D">
        <w:rPr>
          <w:rFonts w:cs="Calibri"/>
          <w:b/>
          <w:color w:val="0070C0"/>
          <w:sz w:val="24"/>
          <w:szCs w:val="24"/>
          <w:lang w:val="en-US"/>
        </w:rPr>
        <w:t>Measure 1: Strengthen of administrative capacity for better revenue collection and tax compliance</w:t>
      </w:r>
    </w:p>
    <w:p w14:paraId="3523F0A6" w14:textId="77777777" w:rsidR="00A64FD7" w:rsidRPr="008C761D" w:rsidRDefault="00A64FD7" w:rsidP="00E84CD0">
      <w:pPr>
        <w:pStyle w:val="normalPFMIoutcomes"/>
        <w:spacing w:line="240" w:lineRule="auto"/>
        <w:ind w:left="0" w:firstLine="0"/>
        <w:rPr>
          <w:rFonts w:cs="Calibri"/>
          <w:b/>
          <w:bCs/>
          <w:i/>
          <w:iCs/>
          <w:color w:val="4F81BD"/>
          <w:sz w:val="22"/>
          <w:szCs w:val="22"/>
          <w:lang w:val="en-US"/>
        </w:rPr>
      </w:pPr>
      <w:r w:rsidRPr="008C761D">
        <w:rPr>
          <w:rFonts w:cs="Calibri"/>
          <w:b/>
          <w:bCs/>
          <w:i/>
          <w:iCs/>
          <w:color w:val="4F81BD"/>
          <w:sz w:val="22"/>
          <w:szCs w:val="22"/>
          <w:lang w:val="en-US"/>
        </w:rPr>
        <w:t>Measure outcome</w:t>
      </w:r>
    </w:p>
    <w:p w14:paraId="3ED3EAD2" w14:textId="77777777" w:rsidR="00E93DCC" w:rsidRPr="008C761D" w:rsidRDefault="00E93DCC" w:rsidP="00E84CD0">
      <w:pPr>
        <w:pStyle w:val="normalPFMIoutcomes"/>
        <w:spacing w:line="240" w:lineRule="auto"/>
        <w:ind w:left="0" w:firstLine="0"/>
        <w:rPr>
          <w:rFonts w:cs="Calibri"/>
          <w:b/>
          <w:bCs/>
          <w:i/>
          <w:iCs/>
          <w:color w:val="4F81BD"/>
          <w:sz w:val="22"/>
          <w:szCs w:val="22"/>
          <w:lang w:val="en-US"/>
        </w:rPr>
      </w:pPr>
    </w:p>
    <w:p w14:paraId="62E43DF3" w14:textId="2965535A" w:rsidR="00E93DCC" w:rsidRPr="008C761D" w:rsidRDefault="00E93DCC" w:rsidP="00E84CD0">
      <w:pPr>
        <w:pStyle w:val="normalPFMIoutcomes"/>
        <w:spacing w:line="240" w:lineRule="auto"/>
        <w:ind w:left="0" w:firstLine="0"/>
        <w:rPr>
          <w:rFonts w:eastAsia="Calibri" w:cs="Calibri"/>
          <w:sz w:val="22"/>
          <w:szCs w:val="22"/>
          <w:lang w:val="en-US" w:eastAsia="en-US"/>
        </w:rPr>
      </w:pPr>
      <w:r w:rsidRPr="008C761D">
        <w:rPr>
          <w:rFonts w:eastAsia="Calibri" w:cs="Calibri"/>
          <w:sz w:val="22"/>
          <w:szCs w:val="22"/>
          <w:lang w:val="en-US" w:eastAsia="en-US"/>
        </w:rPr>
        <w:t>-</w:t>
      </w:r>
      <w:r w:rsidR="00736F00" w:rsidRPr="008C761D">
        <w:rPr>
          <w:rFonts w:eastAsia="Calibri" w:cs="Calibri"/>
          <w:sz w:val="22"/>
          <w:szCs w:val="22"/>
          <w:lang w:val="en-US" w:eastAsia="en-US"/>
        </w:rPr>
        <w:tab/>
        <w:t>The purpose of the measure is to build the capacities of the tax administration for the administration of tax revenues and contributions by strengthening administrative resources, more effective and efficient management of the overdue tax debt and management of compliance risk.</w:t>
      </w:r>
    </w:p>
    <w:p w14:paraId="69296DF0" w14:textId="77777777" w:rsidR="00E93DCC" w:rsidRPr="008C761D" w:rsidRDefault="00E93DCC" w:rsidP="00E84CD0">
      <w:pPr>
        <w:pStyle w:val="normalPFMIoutcomes"/>
        <w:spacing w:line="240" w:lineRule="auto"/>
        <w:ind w:left="0" w:firstLine="0"/>
        <w:rPr>
          <w:rFonts w:eastAsia="Calibri" w:cs="Calibri"/>
          <w:sz w:val="22"/>
          <w:szCs w:val="22"/>
          <w:lang w:val="en-US" w:eastAsia="en-US"/>
        </w:rPr>
      </w:pPr>
    </w:p>
    <w:p w14:paraId="756B8825" w14:textId="77777777" w:rsidR="00A64FD7" w:rsidRPr="008C761D" w:rsidRDefault="00A64FD7" w:rsidP="00E84CD0">
      <w:pPr>
        <w:pStyle w:val="normalPFMIoutcomes"/>
        <w:spacing w:line="240" w:lineRule="auto"/>
        <w:ind w:left="0" w:firstLine="0"/>
        <w:rPr>
          <w:rFonts w:cs="Calibri"/>
          <w:b/>
          <w:bCs/>
          <w:i/>
          <w:iCs/>
          <w:color w:val="4F81BD"/>
          <w:sz w:val="22"/>
          <w:szCs w:val="22"/>
          <w:lang w:val="en-US"/>
        </w:rPr>
      </w:pPr>
      <w:r w:rsidRPr="008C761D">
        <w:rPr>
          <w:rFonts w:cs="Calibri"/>
          <w:b/>
          <w:bCs/>
          <w:i/>
          <w:iCs/>
          <w:color w:val="4F81BD"/>
          <w:sz w:val="22"/>
          <w:szCs w:val="22"/>
          <w:lang w:val="en-US"/>
        </w:rPr>
        <w:t>Reference to findings from external assessments:</w:t>
      </w:r>
    </w:p>
    <w:p w14:paraId="3952EC3A" w14:textId="77777777" w:rsidR="008F758B" w:rsidRPr="008C761D" w:rsidRDefault="008F758B" w:rsidP="00E84CD0">
      <w:pPr>
        <w:pStyle w:val="normalPFMIoutcomes"/>
        <w:spacing w:line="240" w:lineRule="auto"/>
        <w:ind w:left="0" w:firstLine="0"/>
        <w:rPr>
          <w:rFonts w:cs="Calibri"/>
          <w:b/>
          <w:bCs/>
          <w:i/>
          <w:iCs/>
          <w:color w:val="4F81BD"/>
          <w:sz w:val="22"/>
          <w:szCs w:val="22"/>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589"/>
        <w:gridCol w:w="7625"/>
      </w:tblGrid>
      <w:tr w:rsidR="008F758B" w:rsidRPr="008C761D" w14:paraId="7C0151F2" w14:textId="77777777" w:rsidTr="00E059A9">
        <w:tc>
          <w:tcPr>
            <w:tcW w:w="1589" w:type="dxa"/>
            <w:shd w:val="clear" w:color="auto" w:fill="DDDDDD"/>
          </w:tcPr>
          <w:p w14:paraId="3D3D3F6B" w14:textId="77777777" w:rsidR="008F758B" w:rsidRPr="008C761D" w:rsidRDefault="006A55CA" w:rsidP="00F46E0B">
            <w:pPr>
              <w:spacing w:before="80" w:after="0" w:line="240"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PJRFO</w:t>
            </w:r>
          </w:p>
        </w:tc>
        <w:tc>
          <w:tcPr>
            <w:tcW w:w="7625" w:type="dxa"/>
            <w:shd w:val="clear" w:color="auto" w:fill="DDDDDD"/>
          </w:tcPr>
          <w:p w14:paraId="71B6B73F" w14:textId="77777777" w:rsidR="008F758B" w:rsidRPr="000A5366" w:rsidRDefault="006A55CA" w:rsidP="00F46E0B">
            <w:pPr>
              <w:spacing w:after="120" w:line="264" w:lineRule="auto"/>
              <w:jc w:val="both"/>
              <w:rPr>
                <w:rFonts w:asciiTheme="minorHAnsi" w:eastAsia="MS PGothic" w:hAnsiTheme="minorHAnsi" w:cs="Calibri"/>
                <w:sz w:val="20"/>
                <w:szCs w:val="20"/>
                <w:lang w:val="en-US" w:eastAsia="zh-CN"/>
              </w:rPr>
            </w:pPr>
            <w:r w:rsidRPr="000A5366">
              <w:rPr>
                <w:rFonts w:asciiTheme="minorHAnsi" w:eastAsia="MS PGothic" w:hAnsiTheme="minorHAnsi" w:cs="Calibri"/>
                <w:b/>
                <w:bCs/>
                <w:iCs/>
                <w:sz w:val="20"/>
                <w:szCs w:val="20"/>
                <w:lang w:val="en-US" w:eastAsia="zh-CN"/>
              </w:rPr>
              <w:t>PEFA Assessment Report, March 2022</w:t>
            </w:r>
            <w:r w:rsidRPr="000A5366">
              <w:rPr>
                <w:rFonts w:asciiTheme="minorHAnsi" w:eastAsia="MS PGothic" w:hAnsiTheme="minorHAnsi" w:cs="Calibri"/>
                <w:sz w:val="20"/>
                <w:szCs w:val="20"/>
                <w:lang w:val="en-US" w:eastAsia="zh-CN"/>
              </w:rPr>
              <w:t>:</w:t>
            </w:r>
          </w:p>
          <w:p w14:paraId="09A0E1C1" w14:textId="77777777" w:rsidR="008F758B" w:rsidRPr="000A5366" w:rsidRDefault="006A55CA" w:rsidP="00F46E0B">
            <w:pPr>
              <w:spacing w:after="120" w:line="264" w:lineRule="auto"/>
              <w:jc w:val="both"/>
              <w:rPr>
                <w:rFonts w:asciiTheme="minorHAnsi" w:eastAsia="MS PGothic" w:hAnsiTheme="minorHAnsi" w:cs="Calibri"/>
                <w:sz w:val="20"/>
                <w:szCs w:val="20"/>
                <w:lang w:val="en-US" w:eastAsia="zh-CN"/>
              </w:rPr>
            </w:pPr>
            <w:r w:rsidRPr="000A5366">
              <w:rPr>
                <w:rFonts w:asciiTheme="minorHAnsi" w:eastAsia="MS PGothic" w:hAnsiTheme="minorHAnsi" w:cs="Calibri"/>
                <w:sz w:val="20"/>
                <w:szCs w:val="20"/>
                <w:lang w:val="en-US" w:eastAsia="zh-CN"/>
              </w:rPr>
              <w:t xml:space="preserve">In the area of ​​tax administration, the institutional reforms determined by the Public Finance Management Reform Program 2018-2021 and the Strategy for the Reform of the Tax System (2021-2025) are operationalized through the Strategic Plan of the PRO for the period 2021-2023. The plan establishes three strategic programs for the tax administration: (i) strengthening of administrative capacities, (ii) protection against tax fraud and reduction of the volume of the shadow economy, and (iii) mobilization of tax revenues. </w:t>
            </w:r>
          </w:p>
        </w:tc>
      </w:tr>
      <w:tr w:rsidR="008F758B" w:rsidRPr="008C761D" w14:paraId="42DA3094" w14:textId="77777777" w:rsidTr="00E059A9">
        <w:tc>
          <w:tcPr>
            <w:tcW w:w="1589" w:type="dxa"/>
            <w:shd w:val="clear" w:color="auto" w:fill="DDDDDD"/>
          </w:tcPr>
          <w:p w14:paraId="59B1B0E4" w14:textId="77777777" w:rsidR="008F758B" w:rsidRPr="008C761D" w:rsidRDefault="006A55CA" w:rsidP="00F46E0B">
            <w:pPr>
              <w:spacing w:before="80" w:after="0" w:line="240"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PPRU</w:t>
            </w:r>
          </w:p>
        </w:tc>
        <w:tc>
          <w:tcPr>
            <w:tcW w:w="7625" w:type="dxa"/>
            <w:shd w:val="clear" w:color="auto" w:fill="DDDDDD"/>
          </w:tcPr>
          <w:p w14:paraId="10DBFDF6" w14:textId="77777777" w:rsidR="008F758B" w:rsidRPr="000A5366" w:rsidRDefault="006A55CA" w:rsidP="00F46E0B">
            <w:pPr>
              <w:spacing w:after="120" w:line="264" w:lineRule="auto"/>
              <w:jc w:val="both"/>
              <w:rPr>
                <w:rFonts w:asciiTheme="minorHAnsi" w:eastAsia="MS PGothic" w:hAnsiTheme="minorHAnsi" w:cs="Calibri"/>
                <w:b/>
                <w:bCs/>
                <w:iCs/>
                <w:sz w:val="20"/>
                <w:szCs w:val="20"/>
                <w:lang w:val="en-US" w:eastAsia="zh-CN"/>
              </w:rPr>
            </w:pPr>
            <w:r w:rsidRPr="000A5366">
              <w:rPr>
                <w:rFonts w:asciiTheme="minorHAnsi" w:eastAsia="MS PGothic" w:hAnsiTheme="minorHAnsi" w:cs="Calibri"/>
                <w:b/>
                <w:bCs/>
                <w:iCs/>
                <w:sz w:val="20"/>
                <w:szCs w:val="20"/>
                <w:lang w:val="en-US" w:eastAsia="zh-CN" w:bidi="en-US"/>
              </w:rPr>
              <w:t>SIGMA Monitoring Report - Principles of Public Administration, November 2021</w:t>
            </w:r>
          </w:p>
          <w:p w14:paraId="62AA85C1"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However, the analysis of a sample of services shows that only the filing and payment of personal tax has significantly improved with the introduction of the new e-Personal Tax system in 2018, including the preparation of pre-filled annual tax returns for all taxpayers.</w:t>
            </w:r>
          </w:p>
        </w:tc>
      </w:tr>
      <w:tr w:rsidR="008F758B" w:rsidRPr="008C761D" w14:paraId="3093C6E6" w14:textId="77777777" w:rsidTr="00E059A9">
        <w:tc>
          <w:tcPr>
            <w:tcW w:w="1589" w:type="dxa"/>
            <w:shd w:val="clear" w:color="auto" w:fill="DDDDDD"/>
          </w:tcPr>
          <w:p w14:paraId="47867415" w14:textId="77777777" w:rsidR="008F758B" w:rsidRPr="008C761D" w:rsidRDefault="006A55CA" w:rsidP="00F46E0B">
            <w:pPr>
              <w:spacing w:before="80" w:after="0" w:line="240"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IMF:</w:t>
            </w:r>
          </w:p>
          <w:p w14:paraId="0C202D10" w14:textId="77777777" w:rsidR="008F758B" w:rsidRPr="008C761D" w:rsidRDefault="008F758B" w:rsidP="00F46E0B">
            <w:pPr>
              <w:spacing w:before="80" w:after="0" w:line="240" w:lineRule="auto"/>
              <w:jc w:val="both"/>
              <w:rPr>
                <w:rFonts w:asciiTheme="minorHAnsi" w:eastAsia="MS PGothic" w:hAnsiTheme="minorHAnsi" w:cs="Calibri"/>
                <w:sz w:val="20"/>
                <w:szCs w:val="20"/>
                <w:lang w:val="en-US" w:eastAsia="zh-CN"/>
              </w:rPr>
            </w:pPr>
          </w:p>
        </w:tc>
        <w:tc>
          <w:tcPr>
            <w:tcW w:w="7625" w:type="dxa"/>
            <w:shd w:val="clear" w:color="auto" w:fill="DDDDDD"/>
          </w:tcPr>
          <w:p w14:paraId="496D73B6"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In the period from December 7, 2020 to February 5, 2021, an assessment of the tax administration of the Republic of North Macedonia was carried out using the Tax Administration Diagnostic Assessment Tool (TADAT).</w:t>
            </w:r>
          </w:p>
          <w:p w14:paraId="06FCF01A"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 xml:space="preserve">The TADAT performance evaluation report notes that while the Public Revenue Office (PRO) has developed some strong components within overall tax management, there are more important functions that are either at an early stage of development. Most of the strengths of the PRO are in the area of ​​services to taxpayers: a high degree of electronic filing that leads to good and timely filing; use of pre-filled tax returns, tax withholding at the time of payment and arrangements in the form of advance payments; extensive publication of data from its work. The benefits of these strengths, however, are not fully exploited due to the poor state of the information (IT) system, limited implementation of compliance risk management (CRM) and inadequate management of large taxpayers. </w:t>
            </w:r>
          </w:p>
        </w:tc>
      </w:tr>
      <w:tr w:rsidR="008F758B" w:rsidRPr="008C761D" w14:paraId="0F63DBAD" w14:textId="77777777" w:rsidTr="00E059A9">
        <w:tc>
          <w:tcPr>
            <w:tcW w:w="1589" w:type="dxa"/>
            <w:shd w:val="clear" w:color="auto" w:fill="DDDDDD"/>
          </w:tcPr>
          <w:p w14:paraId="30423AE6" w14:textId="77777777" w:rsidR="008F758B" w:rsidRPr="008C761D" w:rsidRDefault="006A55CA" w:rsidP="00F46E0B">
            <w:pPr>
              <w:spacing w:before="80" w:after="0" w:line="240"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WB:</w:t>
            </w:r>
          </w:p>
        </w:tc>
        <w:tc>
          <w:tcPr>
            <w:tcW w:w="7625" w:type="dxa"/>
            <w:shd w:val="clear" w:color="auto" w:fill="DDDDDD"/>
          </w:tcPr>
          <w:p w14:paraId="77DA5F1F"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Project on building effective, transparent, and accountable public finance institutions, October 2022</w:t>
            </w:r>
          </w:p>
          <w:p w14:paraId="0F8012BD"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 xml:space="preserve">Development objective of the project - To improve the efficiency, transparency, and sustainability of public expenditures and to increase the effectiveness of revenue </w:t>
            </w:r>
            <w:r w:rsidRPr="008C761D">
              <w:rPr>
                <w:rFonts w:asciiTheme="minorHAnsi" w:eastAsia="MS PGothic" w:hAnsiTheme="minorHAnsi" w:cs="Calibri"/>
                <w:sz w:val="20"/>
                <w:szCs w:val="20"/>
                <w:lang w:val="en-US" w:eastAsia="zh-CN"/>
              </w:rPr>
              <w:lastRenderedPageBreak/>
              <w:t>management.</w:t>
            </w:r>
          </w:p>
          <w:p w14:paraId="3F5B947B"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Indicators that reflect the achievement of the project's development objective (DPD) include, among others:</w:t>
            </w:r>
          </w:p>
          <w:p w14:paraId="375C18E3"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(d) VAT compliance gap (Target: compliance gap reduced to 19 percent) (effectiveness)</w:t>
            </w:r>
          </w:p>
          <w:p w14:paraId="63338D03"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Component 2: Strengthening tax management practices and systems in the PRO</w:t>
            </w:r>
          </w:p>
          <w:p w14:paraId="4BB5900B"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The objective of component 2 is to strengthen the operational effectiveness of the work of the PRO with a focus on strengthening its tax compliance management system and certain administrative functions. Funding of certain activities is foreseen, which complements the current investments of the PRO in the development of the basic modules (registration, submission and service management, accounting, payment and refund, debt management, assessments, legal affairs, and audit) of the integrated tax information system which is implemented within the national budget.</w:t>
            </w:r>
          </w:p>
        </w:tc>
      </w:tr>
      <w:tr w:rsidR="008F758B" w:rsidRPr="008C761D" w14:paraId="5D3667B3" w14:textId="77777777" w:rsidTr="00E059A9">
        <w:tc>
          <w:tcPr>
            <w:tcW w:w="1589" w:type="dxa"/>
            <w:shd w:val="clear" w:color="auto" w:fill="DDDDDD"/>
          </w:tcPr>
          <w:p w14:paraId="04EF41FC" w14:textId="77777777" w:rsidR="008F758B" w:rsidRPr="008C761D" w:rsidRDefault="006A55CA" w:rsidP="00F46E0B">
            <w:pPr>
              <w:spacing w:before="80" w:after="0" w:line="240"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lastRenderedPageBreak/>
              <w:t>EU:</w:t>
            </w:r>
          </w:p>
        </w:tc>
        <w:tc>
          <w:tcPr>
            <w:tcW w:w="7625" w:type="dxa"/>
            <w:shd w:val="clear" w:color="auto" w:fill="DDDDDD"/>
          </w:tcPr>
          <w:p w14:paraId="69C3149F"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EU Report 2023 (Chapter 16-Taxation)</w:t>
            </w:r>
          </w:p>
          <w:p w14:paraId="7BFAFAD0"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North Macedonia is moderately prepared in the area of ​​taxation. Some progress has been made, more specifically in the changes to its preferential tax regime in technological and industrial development zones. As a result, North Macedonia was removed from the list of non-cooperative jurisdictions for tax purposes in Annex II. The country has not yet started the automatic exchange of financial account information according to the Organization for Economic Co-operation and Development (OECD) standard.</w:t>
            </w:r>
          </w:p>
          <w:p w14:paraId="667502B5"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Since last year's recommendations were not fully implemented, they remain in effect. In the coming year, North Macedonia especially needs:</w:t>
            </w:r>
          </w:p>
          <w:p w14:paraId="31F5D16A"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w:t>
            </w:r>
            <w:r w:rsidRPr="008C761D">
              <w:rPr>
                <w:rFonts w:asciiTheme="minorHAnsi" w:eastAsia="MS PGothic" w:hAnsiTheme="minorHAnsi" w:cs="Calibri"/>
                <w:sz w:val="20"/>
                <w:szCs w:val="20"/>
                <w:lang w:val="en-US" w:eastAsia="zh-CN"/>
              </w:rPr>
              <w:tab/>
              <w:t>to develop a new integrated IT tax system for the Public Revenue Office (PRO), to improve its compliance in risk management and the process of strategic reforms of the PRO;</w:t>
            </w:r>
          </w:p>
          <w:p w14:paraId="3E6FAC6B" w14:textId="77777777" w:rsidR="003C20E4" w:rsidRPr="008C761D" w:rsidRDefault="006A55CA" w:rsidP="00CE2DF4">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w:t>
            </w:r>
            <w:r w:rsidRPr="008C761D">
              <w:rPr>
                <w:rFonts w:asciiTheme="minorHAnsi" w:eastAsia="MS PGothic" w:hAnsiTheme="minorHAnsi" w:cs="Calibri"/>
                <w:sz w:val="20"/>
                <w:szCs w:val="20"/>
                <w:lang w:val="en-US" w:eastAsia="zh-CN"/>
              </w:rPr>
              <w:tab/>
              <w:t>to start preparations for establishing a mechanism for the effective implementation of the automatic exchange of information on financial accounts with the EU member states, in accordance with the global standard of the OECD.</w:t>
            </w:r>
          </w:p>
        </w:tc>
      </w:tr>
      <w:tr w:rsidR="008F758B" w:rsidRPr="008C761D" w14:paraId="1BE2A846" w14:textId="77777777" w:rsidTr="00E059A9">
        <w:tc>
          <w:tcPr>
            <w:tcW w:w="1589" w:type="dxa"/>
            <w:shd w:val="clear" w:color="auto" w:fill="DDDDDD"/>
          </w:tcPr>
          <w:p w14:paraId="0B352E46" w14:textId="77777777" w:rsidR="008F758B" w:rsidRPr="008C761D" w:rsidRDefault="006A55CA" w:rsidP="00F46E0B">
            <w:pPr>
              <w:spacing w:before="80" w:after="0" w:line="240" w:lineRule="auto"/>
              <w:ind w:left="-94" w:right="-31"/>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US Treasury</w:t>
            </w:r>
          </w:p>
        </w:tc>
        <w:tc>
          <w:tcPr>
            <w:tcW w:w="7625" w:type="dxa"/>
            <w:shd w:val="clear" w:color="auto" w:fill="DDDDDD"/>
          </w:tcPr>
          <w:p w14:paraId="123CEAA8"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US DEPARTMENT OF THE TREASURY – “North Macedonia Public Revenue Office and Customs Administration (PRO/CUSTOMS) and US Department of the Treasury-Office of Technical Assistance (OTA)-The Revenue Policy and Administration Program”.</w:t>
            </w:r>
          </w:p>
          <w:p w14:paraId="4602DD7D"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The project is implemented in cooperation between the Public Revenue Office and Customs, which have special components as well as joint activities.</w:t>
            </w:r>
          </w:p>
          <w:p w14:paraId="76F7CF8F" w14:textId="77777777" w:rsidR="008F758B" w:rsidRPr="008C761D" w:rsidRDefault="006A55CA" w:rsidP="00F46E0B">
            <w:pPr>
              <w:spacing w:after="120" w:line="264" w:lineRule="auto"/>
              <w:jc w:val="both"/>
              <w:rPr>
                <w:rFonts w:asciiTheme="minorHAnsi" w:eastAsia="MS PGothic" w:hAnsiTheme="minorHAnsi" w:cs="Calibri"/>
                <w:sz w:val="20"/>
                <w:szCs w:val="20"/>
                <w:lang w:val="en-US" w:eastAsia="zh-CN"/>
              </w:rPr>
            </w:pPr>
            <w:r w:rsidRPr="008C761D">
              <w:rPr>
                <w:rFonts w:asciiTheme="minorHAnsi" w:eastAsia="MS PGothic" w:hAnsiTheme="minorHAnsi" w:cs="Calibri"/>
                <w:sz w:val="20"/>
                <w:szCs w:val="20"/>
                <w:lang w:val="en-US" w:eastAsia="zh-CN"/>
              </w:rPr>
              <w:t>Objective: The goal of this project is to strengthen the capacity of the Public Revenue Office to increase voluntary compliance and domestic resource mobilization through technical assistance in: 1) General Audit Capacity, 2) Debt Management, 3) Taxpayer Service, 4) Project Management, 5) Anti-Corruption, and 6) Human Resources, Training, and Development.</w:t>
            </w:r>
          </w:p>
        </w:tc>
      </w:tr>
    </w:tbl>
    <w:p w14:paraId="5484EADF" w14:textId="77777777" w:rsidR="000A5366" w:rsidRPr="008C761D" w:rsidRDefault="000A5366" w:rsidP="00E84CD0">
      <w:pPr>
        <w:spacing w:line="240" w:lineRule="auto"/>
        <w:jc w:val="both"/>
        <w:rPr>
          <w:rFonts w:cs="Calibri"/>
          <w:lang w:val="en-US"/>
        </w:rPr>
      </w:pPr>
    </w:p>
    <w:p w14:paraId="773D2CD4" w14:textId="77777777" w:rsidR="00A64FD7" w:rsidRPr="008C761D" w:rsidRDefault="00A64FD7" w:rsidP="00E84CD0">
      <w:pPr>
        <w:spacing w:line="240" w:lineRule="auto"/>
        <w:jc w:val="both"/>
        <w:rPr>
          <w:rFonts w:eastAsia="MS PGothic" w:cs="Calibri"/>
          <w:b/>
          <w:bCs/>
          <w:i/>
          <w:iCs/>
          <w:color w:val="4F81BD"/>
          <w:lang w:val="en-US" w:eastAsia="zh-CN"/>
        </w:rPr>
      </w:pPr>
      <w:bookmarkStart w:id="28" w:name="_Hlk94877200"/>
      <w:r w:rsidRPr="008C761D">
        <w:rPr>
          <w:rFonts w:eastAsia="MS PGothic" w:cs="Calibri"/>
          <w:b/>
          <w:bCs/>
          <w:i/>
          <w:iCs/>
          <w:color w:val="4F81BD"/>
          <w:lang w:val="en-US" w:eastAsia="zh-CN"/>
        </w:rPr>
        <w:t>Context/Background</w:t>
      </w:r>
    </w:p>
    <w:bookmarkEnd w:id="28"/>
    <w:p w14:paraId="3217DB82" w14:textId="77777777" w:rsidR="00B93449" w:rsidRPr="008C761D" w:rsidRDefault="00B93449" w:rsidP="00B93449">
      <w:pPr>
        <w:spacing w:before="240" w:line="240" w:lineRule="auto"/>
        <w:jc w:val="both"/>
        <w:rPr>
          <w:rFonts w:cs="Calibri"/>
          <w:lang w:val="en-US"/>
        </w:rPr>
      </w:pPr>
      <w:r w:rsidRPr="008C761D">
        <w:rPr>
          <w:rFonts w:cs="Calibri"/>
          <w:lang w:val="en-US"/>
        </w:rPr>
        <w:t xml:space="preserve">The primary objective of the Public Revenue Office is to ensure the realization of tax revenues, reduction of the loss of tax revenues (tax gap) and protection of the tax base, to ensure that every taxpayer </w:t>
      </w:r>
      <w:proofErr w:type="gramStart"/>
      <w:r w:rsidRPr="008C761D">
        <w:rPr>
          <w:rFonts w:cs="Calibri"/>
          <w:lang w:val="en-US"/>
        </w:rPr>
        <w:t>reports</w:t>
      </w:r>
      <w:proofErr w:type="gramEnd"/>
      <w:r w:rsidRPr="008C761D">
        <w:rPr>
          <w:rFonts w:cs="Calibri"/>
          <w:lang w:val="en-US"/>
        </w:rPr>
        <w:t xml:space="preserve"> and pays the correct amount of tax owed in accordance with by law, which guarantees maintaining trust in the tax system and in the tax administration. In the coming period, the Public Revenue Office will continue to strengthen its administrative capacities in several key areas of its operations. Particular attention will be paid to the strengthening of human resources, as </w:t>
      </w:r>
      <w:r w:rsidRPr="008C761D">
        <w:rPr>
          <w:rFonts w:cs="Calibri"/>
          <w:lang w:val="en-US"/>
        </w:rPr>
        <w:lastRenderedPageBreak/>
        <w:t>well as in the area of more effective and efficient management of overdue tax debt and management of compliance risks, by establishing management structures and applying management strategies that will ensure that non-compliance with tax laws and other risks in tax operations are kept to a minimum.</w:t>
      </w:r>
    </w:p>
    <w:p w14:paraId="584CC87E" w14:textId="77777777" w:rsidR="00B93449" w:rsidRPr="008C761D" w:rsidRDefault="00B93449" w:rsidP="00B93449">
      <w:pPr>
        <w:spacing w:before="240" w:line="240" w:lineRule="auto"/>
        <w:jc w:val="both"/>
        <w:rPr>
          <w:rFonts w:cs="Calibri"/>
          <w:lang w:val="en-US"/>
        </w:rPr>
      </w:pPr>
      <w:r w:rsidRPr="008C761D">
        <w:rPr>
          <w:rFonts w:cs="Calibri"/>
          <w:lang w:val="en-US"/>
        </w:rPr>
        <w:t xml:space="preserve">In the past few years, the Public Revenue Office has been establishing the foundations for effective tax debt management. We implement activities for early identification and quick intervention towards new debt, with proactive management of communication with debtors and application of an approach of indirect positive influence to improve compliance in debt payment. In doing so, we use the data we have as a knowledge base for building approaches to debtors. </w:t>
      </w:r>
    </w:p>
    <w:p w14:paraId="14B46171" w14:textId="77777777" w:rsidR="00B93449" w:rsidRPr="008C761D" w:rsidRDefault="00B93449" w:rsidP="00B93449">
      <w:pPr>
        <w:spacing w:before="240" w:line="240" w:lineRule="auto"/>
        <w:jc w:val="both"/>
        <w:rPr>
          <w:rFonts w:cs="Calibri"/>
          <w:lang w:val="en-US"/>
        </w:rPr>
      </w:pPr>
      <w:r w:rsidRPr="008C761D">
        <w:rPr>
          <w:rFonts w:cs="Calibri"/>
          <w:lang w:val="en-US"/>
        </w:rPr>
        <w:t>We are also working on determining the real value of the recoverable tax debt and the compliance of the recorded debt with the actual situation. We identified the gaps in the regulation and proposed legal changes. At the same time, we are gradually updating the internal regulation for collection and management of the overdue tax debt, in order to ensure unified action and consistency of the PRO through unambiguous and precise regulation of internal methodologies and work procedures. The newly adopted internal regulation also includes a regulation on the procedures for establishing a tax guarantee for the most complex cases of unpaid tax debts, for which the responsibility for payment is transferred to third parties in accordance with the law. Through the project to introduce a center of excellence, a model has been developed for the functioning of a new organizational unit in the internal structure of the PRO, which will unite specialized professional knowledge and centrally for debtors from the entire territory of the North Macedonia will carry out actions for inventory, assessment, seizure and public sale of movable property and real estate as a supplement to the other actions under the competence of the Debt Collection Departments in the Regional Directorates and the Directorate for Large Taxpayers for the collection of arrears of tax debts in a forced collection procedure, securing a tax claim before forced collection and deferred payment of a tax debt. In the coming period, the activities for the establishment and functioning of the new organizational unit Center for tax enforcement will continue, with which we expect to achieve greater efficiency in the collection of debts through the specialization of human resources and the centralization of work processes (saving resources, optimal use of specialized resources) and other benefits.</w:t>
      </w:r>
    </w:p>
    <w:p w14:paraId="670AF375" w14:textId="77777777" w:rsidR="00B93449" w:rsidRPr="008C761D" w:rsidRDefault="00B93449" w:rsidP="00B93449">
      <w:pPr>
        <w:spacing w:before="240" w:line="240" w:lineRule="auto"/>
        <w:jc w:val="both"/>
        <w:rPr>
          <w:rFonts w:cs="Calibri"/>
          <w:lang w:val="en-US"/>
        </w:rPr>
      </w:pPr>
      <w:r w:rsidRPr="008C761D">
        <w:rPr>
          <w:rFonts w:cs="Calibri"/>
          <w:lang w:val="en-US"/>
        </w:rPr>
        <w:t>In accordance with the recommendations from the IMF to strengthen compliance management as well as the Risk Management Strategy in the processes of the PRO 2023-2025 - the Compliance Management Committee was established with more powers and responsibilities, including:</w:t>
      </w:r>
    </w:p>
    <w:p w14:paraId="4247BFC9" w14:textId="77777777" w:rsidR="00B93449" w:rsidRPr="008C761D" w:rsidRDefault="00B93449" w:rsidP="00B93449">
      <w:pPr>
        <w:spacing w:before="240" w:line="240" w:lineRule="auto"/>
        <w:jc w:val="both"/>
        <w:rPr>
          <w:rFonts w:cs="Calibri"/>
          <w:lang w:val="en-US"/>
        </w:rPr>
      </w:pPr>
      <w:r w:rsidRPr="008C761D">
        <w:rPr>
          <w:rFonts w:cs="Calibri"/>
          <w:lang w:val="en-US"/>
        </w:rPr>
        <w:t>- Performs assessment and analysis with the compliance of the operation;</w:t>
      </w:r>
    </w:p>
    <w:p w14:paraId="2D978E1A" w14:textId="77777777" w:rsidR="00B93449" w:rsidRPr="008C761D" w:rsidRDefault="00B93449" w:rsidP="00B93449">
      <w:pPr>
        <w:spacing w:before="240" w:line="240" w:lineRule="auto"/>
        <w:jc w:val="both"/>
        <w:rPr>
          <w:rFonts w:cs="Calibri"/>
          <w:lang w:val="en-US"/>
        </w:rPr>
      </w:pPr>
      <w:r w:rsidRPr="008C761D">
        <w:rPr>
          <w:rFonts w:cs="Calibri"/>
          <w:lang w:val="en-US"/>
        </w:rPr>
        <w:t>-Identifies the risks that significantly affect tax compliance and determines the priority risks for which measures should be taken;</w:t>
      </w:r>
    </w:p>
    <w:p w14:paraId="0998DA07" w14:textId="77777777" w:rsidR="00B93449" w:rsidRPr="008C761D" w:rsidRDefault="00B93449" w:rsidP="00B93449">
      <w:pPr>
        <w:spacing w:before="240" w:line="240" w:lineRule="auto"/>
        <w:jc w:val="both"/>
        <w:rPr>
          <w:rFonts w:cs="Calibri"/>
          <w:lang w:val="en-US"/>
        </w:rPr>
      </w:pPr>
      <w:r w:rsidRPr="008C761D">
        <w:rPr>
          <w:rFonts w:cs="Calibri"/>
          <w:lang w:val="en-US"/>
        </w:rPr>
        <w:t>- Prepares a plan to improve compliance (annual operational plans with measures to deal with risks) adopted according to the prioritization of risks;</w:t>
      </w:r>
    </w:p>
    <w:p w14:paraId="5E027CC2" w14:textId="20B06AE3" w:rsidR="0023078B" w:rsidRPr="008C761D" w:rsidRDefault="00B93449" w:rsidP="0023078B">
      <w:pPr>
        <w:spacing w:before="240" w:line="240" w:lineRule="auto"/>
        <w:jc w:val="both"/>
        <w:rPr>
          <w:rFonts w:cs="Calibri"/>
          <w:lang w:val="en-US"/>
        </w:rPr>
      </w:pPr>
      <w:r w:rsidRPr="008C761D">
        <w:rPr>
          <w:rFonts w:cs="Calibri"/>
          <w:lang w:val="en-US"/>
        </w:rPr>
        <w:t>- Coordinates activities for the implementation of the adopted annual plan;</w:t>
      </w:r>
    </w:p>
    <w:p w14:paraId="0A6EC663" w14:textId="77777777" w:rsidR="00B93449" w:rsidRPr="008C761D" w:rsidRDefault="00B93449" w:rsidP="0023078B">
      <w:pPr>
        <w:spacing w:before="240" w:line="240" w:lineRule="auto"/>
        <w:jc w:val="both"/>
        <w:rPr>
          <w:rFonts w:cs="Calibri"/>
          <w:lang w:val="en-US"/>
        </w:rPr>
      </w:pPr>
      <w:r w:rsidRPr="008C761D">
        <w:rPr>
          <w:rFonts w:cs="Calibri"/>
          <w:lang w:val="en-US"/>
        </w:rPr>
        <w:t>- Approves the indicators for monitoring tax compliance;</w:t>
      </w:r>
    </w:p>
    <w:p w14:paraId="5E1FB2F9" w14:textId="55B1F602" w:rsidR="0023078B" w:rsidRPr="008C761D" w:rsidRDefault="0023078B" w:rsidP="0023078B">
      <w:pPr>
        <w:spacing w:before="240" w:line="240" w:lineRule="auto"/>
        <w:jc w:val="both"/>
        <w:rPr>
          <w:rFonts w:cs="Calibri"/>
          <w:lang w:val="en-US"/>
        </w:rPr>
      </w:pPr>
      <w:r w:rsidRPr="008C761D">
        <w:rPr>
          <w:rFonts w:cs="Calibri"/>
          <w:lang w:val="en-US"/>
        </w:rPr>
        <w:t xml:space="preserve"> </w:t>
      </w:r>
      <w:r w:rsidR="00B93449" w:rsidRPr="008C761D">
        <w:rPr>
          <w:rFonts w:cs="Calibri"/>
          <w:lang w:val="en-US"/>
        </w:rPr>
        <w:t>Reviews the reports and monitors the results of the measures and activities carried out according to the Plans for improving compliance;</w:t>
      </w:r>
    </w:p>
    <w:p w14:paraId="0ADF35F0" w14:textId="77777777" w:rsidR="00B93449" w:rsidRPr="008C761D" w:rsidRDefault="00B93449" w:rsidP="00B93449">
      <w:pPr>
        <w:spacing w:before="240" w:line="240" w:lineRule="auto"/>
        <w:jc w:val="both"/>
        <w:rPr>
          <w:rFonts w:cs="Calibri"/>
          <w:lang w:val="en-US"/>
        </w:rPr>
      </w:pPr>
      <w:r w:rsidRPr="008C761D">
        <w:rPr>
          <w:rFonts w:cs="Calibri"/>
          <w:lang w:val="en-US"/>
        </w:rPr>
        <w:t>- Revises the measures for dealing with compliance risks;</w:t>
      </w:r>
    </w:p>
    <w:p w14:paraId="30250165" w14:textId="77777777" w:rsidR="00B93449" w:rsidRPr="008C761D" w:rsidRDefault="00B93449" w:rsidP="00B93449">
      <w:pPr>
        <w:spacing w:before="240" w:line="240" w:lineRule="auto"/>
        <w:jc w:val="both"/>
        <w:rPr>
          <w:rFonts w:cs="Calibri"/>
          <w:lang w:val="en-US"/>
        </w:rPr>
      </w:pPr>
      <w:r w:rsidRPr="008C761D">
        <w:rPr>
          <w:rFonts w:cs="Calibri"/>
          <w:lang w:val="en-US"/>
        </w:rPr>
        <w:lastRenderedPageBreak/>
        <w:t>- Proposes reengineering of certain business processes, in order to improve compliance in operations;</w:t>
      </w:r>
    </w:p>
    <w:p w14:paraId="16B344EE" w14:textId="77777777" w:rsidR="00B93449" w:rsidRPr="008C761D" w:rsidRDefault="00B93449" w:rsidP="00B93449">
      <w:pPr>
        <w:spacing w:before="240" w:line="240" w:lineRule="auto"/>
        <w:jc w:val="both"/>
        <w:rPr>
          <w:rFonts w:cs="Calibri"/>
          <w:lang w:val="en-US"/>
        </w:rPr>
      </w:pPr>
      <w:r w:rsidRPr="008C761D">
        <w:rPr>
          <w:rFonts w:cs="Calibri"/>
          <w:lang w:val="en-US"/>
        </w:rPr>
        <w:t>- Adopts/revises guidelines and operational work instructions in order to improve tax compliance;</w:t>
      </w:r>
    </w:p>
    <w:p w14:paraId="1048AC6D" w14:textId="77777777" w:rsidR="00B93449" w:rsidRPr="008C761D" w:rsidRDefault="00B93449" w:rsidP="0023078B">
      <w:pPr>
        <w:spacing w:before="240" w:line="240" w:lineRule="auto"/>
        <w:jc w:val="both"/>
        <w:rPr>
          <w:rFonts w:cs="Calibri"/>
          <w:lang w:val="en-US"/>
        </w:rPr>
      </w:pPr>
      <w:r w:rsidRPr="008C761D">
        <w:rPr>
          <w:rFonts w:cs="Calibri"/>
          <w:lang w:val="en-US"/>
        </w:rPr>
        <w:t>- Coordinates certain activities with the reform committee and the working body for ITIS;</w:t>
      </w:r>
    </w:p>
    <w:p w14:paraId="7B71429F" w14:textId="77777777" w:rsidR="00B93449" w:rsidRPr="008C761D" w:rsidRDefault="0023078B" w:rsidP="00B93449">
      <w:pPr>
        <w:spacing w:before="240" w:line="240" w:lineRule="auto"/>
        <w:jc w:val="both"/>
        <w:rPr>
          <w:rFonts w:cs="Calibri"/>
          <w:lang w:val="en-US"/>
        </w:rPr>
      </w:pPr>
      <w:r w:rsidRPr="008C761D">
        <w:rPr>
          <w:rFonts w:cs="Calibri"/>
          <w:lang w:val="en-US"/>
        </w:rPr>
        <w:t xml:space="preserve"> </w:t>
      </w:r>
      <w:r w:rsidR="00B93449" w:rsidRPr="008C761D">
        <w:rPr>
          <w:rFonts w:cs="Calibri"/>
          <w:lang w:val="en-US"/>
        </w:rPr>
        <w:t>- Delegates tasks to the organizational units and employees needed for the implementation of the compliance management system, monitors the implementation, approves reports, and takes specific measures to remove non-conformities in the compliance management system, organizes meetings and gives directions for improving the functioning of the system for compliance management;</w:t>
      </w:r>
    </w:p>
    <w:p w14:paraId="4315BC48" w14:textId="77777777" w:rsidR="00B93449" w:rsidRPr="008C761D" w:rsidRDefault="00B93449" w:rsidP="00B93449">
      <w:pPr>
        <w:spacing w:before="240" w:line="240" w:lineRule="auto"/>
        <w:jc w:val="both"/>
        <w:rPr>
          <w:rFonts w:cs="Calibri"/>
          <w:lang w:val="en-US"/>
        </w:rPr>
      </w:pPr>
      <w:r w:rsidRPr="008C761D">
        <w:rPr>
          <w:rFonts w:cs="Calibri"/>
          <w:lang w:val="en-US"/>
        </w:rPr>
        <w:t>- Makes proposals - decisions to improve the compliance of operations;</w:t>
      </w:r>
    </w:p>
    <w:p w14:paraId="33E4ED00" w14:textId="77777777" w:rsidR="00B93449" w:rsidRPr="008C761D" w:rsidRDefault="00B93449" w:rsidP="00B93449">
      <w:pPr>
        <w:spacing w:before="240" w:line="240" w:lineRule="auto"/>
        <w:jc w:val="both"/>
        <w:rPr>
          <w:rFonts w:cs="Calibri"/>
          <w:lang w:val="en-US"/>
        </w:rPr>
      </w:pPr>
      <w:r w:rsidRPr="008C761D">
        <w:rPr>
          <w:rFonts w:cs="Calibri"/>
          <w:lang w:val="en-US"/>
        </w:rPr>
        <w:t>- Performs other tasks in the function of establishing and managing the compliance system.</w:t>
      </w:r>
    </w:p>
    <w:p w14:paraId="79C46A66" w14:textId="78B8DFA1" w:rsidR="0023078B" w:rsidRPr="008C761D" w:rsidRDefault="00B93449" w:rsidP="00FD485A">
      <w:pPr>
        <w:spacing w:after="0" w:line="240" w:lineRule="auto"/>
        <w:jc w:val="both"/>
        <w:rPr>
          <w:rFonts w:cs="Calibri"/>
          <w:lang w:val="en-US"/>
        </w:rPr>
      </w:pPr>
      <w:r w:rsidRPr="008C761D">
        <w:rPr>
          <w:rFonts w:cs="Calibri"/>
          <w:lang w:val="en-US"/>
        </w:rPr>
        <w:t>The strategic plan of the PRO provides the general guidelines as priority goals, the measures that should be taken for their realization and the activities, which, with consistent application by the employees and with provided adequate funding, will ensure the realization of the basic mission and vision of the institution and will represent the foundation for building a modern tax authority with a high reputation and integrity among taxpayers, the domestic and international public - trust in professionalism, efficiency, transparency and service orientation.</w:t>
      </w:r>
    </w:p>
    <w:p w14:paraId="6768159A" w14:textId="77777777" w:rsidR="00DF185F" w:rsidRPr="008C761D" w:rsidRDefault="00DF185F" w:rsidP="00DF185F">
      <w:pPr>
        <w:spacing w:after="0" w:line="240" w:lineRule="auto"/>
        <w:jc w:val="both"/>
        <w:rPr>
          <w:rFonts w:cs="Calibri"/>
          <w:lang w:val="en-US"/>
        </w:rPr>
      </w:pPr>
    </w:p>
    <w:p w14:paraId="7F32C688" w14:textId="14392900" w:rsidR="00A64FD7" w:rsidRPr="000A5366" w:rsidRDefault="008F758B" w:rsidP="00FD485A">
      <w:pPr>
        <w:spacing w:line="240" w:lineRule="auto"/>
        <w:jc w:val="both"/>
        <w:rPr>
          <w:rFonts w:cs="Calibri"/>
          <w:b/>
          <w:bCs/>
          <w:iCs/>
          <w:color w:val="0070C0"/>
          <w:lang w:val="en-US"/>
        </w:rPr>
      </w:pPr>
      <w:r w:rsidRPr="000A5366">
        <w:rPr>
          <w:rFonts w:cs="Calibri"/>
          <w:b/>
          <w:bCs/>
          <w:iCs/>
          <w:color w:val="0070C0"/>
          <w:lang w:val="en-US"/>
        </w:rPr>
        <w:t>Activity</w:t>
      </w:r>
      <w:r w:rsidR="00B93449" w:rsidRPr="000A5366">
        <w:rPr>
          <w:rFonts w:cs="Calibri"/>
          <w:b/>
          <w:bCs/>
          <w:iCs/>
          <w:color w:val="0070C0"/>
          <w:lang w:val="en-US"/>
        </w:rPr>
        <w:t xml:space="preserve"> </w:t>
      </w:r>
      <w:r w:rsidRPr="000A5366">
        <w:rPr>
          <w:rFonts w:cs="Calibri"/>
          <w:b/>
          <w:bCs/>
          <w:iCs/>
          <w:color w:val="0070C0"/>
          <w:lang w:val="en-US"/>
        </w:rPr>
        <w:t xml:space="preserve">1: </w:t>
      </w:r>
      <w:r w:rsidR="00B93449" w:rsidRPr="000A5366">
        <w:rPr>
          <w:rFonts w:cs="Calibri"/>
          <w:b/>
          <w:bCs/>
          <w:iCs/>
          <w:color w:val="0070C0"/>
          <w:lang w:val="en-US"/>
        </w:rPr>
        <w:t>More effective and efficient management of overdue tax debt</w:t>
      </w:r>
    </w:p>
    <w:p w14:paraId="340A4E49" w14:textId="6FE69B2C" w:rsidR="00B93449" w:rsidRPr="008C761D" w:rsidRDefault="00B93449" w:rsidP="00B93449">
      <w:pPr>
        <w:spacing w:before="240" w:after="0" w:line="240" w:lineRule="auto"/>
        <w:jc w:val="both"/>
        <w:rPr>
          <w:rFonts w:cs="Calibri"/>
          <w:lang w:val="en-US"/>
        </w:rPr>
      </w:pPr>
      <w:r w:rsidRPr="008C761D">
        <w:rPr>
          <w:rFonts w:cs="Calibri"/>
          <w:lang w:val="en-US"/>
        </w:rPr>
        <w:t>•</w:t>
      </w:r>
      <w:r w:rsidR="00FD485A">
        <w:rPr>
          <w:rFonts w:cs="Calibri"/>
          <w:lang w:val="en-US"/>
        </w:rPr>
        <w:t xml:space="preserve"> </w:t>
      </w:r>
      <w:r w:rsidRPr="008C761D">
        <w:rPr>
          <w:rFonts w:cs="Calibri"/>
          <w:lang w:val="en-US"/>
        </w:rPr>
        <w:t>Establishment of a Tax Enforcement Center</w:t>
      </w:r>
    </w:p>
    <w:p w14:paraId="0A6A11FA" w14:textId="7CDBCD55" w:rsidR="00B93449" w:rsidRPr="008C761D" w:rsidRDefault="00B93449" w:rsidP="00B93449">
      <w:pPr>
        <w:spacing w:before="240" w:after="0" w:line="240" w:lineRule="auto"/>
        <w:jc w:val="both"/>
        <w:rPr>
          <w:rFonts w:cs="Calibri"/>
          <w:lang w:val="en-US"/>
        </w:rPr>
      </w:pPr>
      <w:r w:rsidRPr="008C761D">
        <w:rPr>
          <w:rFonts w:cs="Calibri"/>
          <w:lang w:val="en-US"/>
        </w:rPr>
        <w:t>•</w:t>
      </w:r>
      <w:r w:rsidR="00FD485A">
        <w:rPr>
          <w:rFonts w:cs="Calibri"/>
          <w:lang w:val="en-US"/>
        </w:rPr>
        <w:t xml:space="preserve"> </w:t>
      </w:r>
      <w:r w:rsidRPr="008C761D">
        <w:rPr>
          <w:rFonts w:cs="Calibri"/>
          <w:lang w:val="en-US"/>
        </w:rPr>
        <w:t>Prevention of the increase in unpaid tax liabilities, especially with targeted assistance and reduction of the "administrative" pressure on low-risk debtors, as well as by facilitating the payment of tax debt</w:t>
      </w:r>
    </w:p>
    <w:p w14:paraId="224053ED" w14:textId="17613AE1" w:rsidR="00B93449" w:rsidRPr="008C761D" w:rsidRDefault="00B93449" w:rsidP="00B93449">
      <w:pPr>
        <w:spacing w:before="240" w:after="0" w:line="240" w:lineRule="auto"/>
        <w:jc w:val="both"/>
        <w:rPr>
          <w:rFonts w:cs="Calibri"/>
          <w:lang w:val="en-US"/>
        </w:rPr>
      </w:pPr>
      <w:r w:rsidRPr="008C761D">
        <w:rPr>
          <w:rFonts w:cs="Calibri"/>
          <w:lang w:val="en-US"/>
        </w:rPr>
        <w:t>•</w:t>
      </w:r>
      <w:r w:rsidR="00FD485A">
        <w:rPr>
          <w:rFonts w:cs="Calibri"/>
          <w:lang w:val="en-US"/>
        </w:rPr>
        <w:t xml:space="preserve"> </w:t>
      </w:r>
      <w:r w:rsidRPr="008C761D">
        <w:rPr>
          <w:rFonts w:cs="Calibri"/>
          <w:lang w:val="en-US"/>
        </w:rPr>
        <w:t>More effective provision of payment and monetization of debts in proportion to the degree of risk of the debtor, through specialization of employees and consolidation of the internal organization</w:t>
      </w:r>
    </w:p>
    <w:p w14:paraId="18E0761B" w14:textId="081C8D1A" w:rsidR="00B93449" w:rsidRPr="008C761D" w:rsidRDefault="00B93449" w:rsidP="00B93449">
      <w:pPr>
        <w:spacing w:before="240" w:after="0" w:line="240" w:lineRule="auto"/>
        <w:jc w:val="both"/>
        <w:rPr>
          <w:rFonts w:cs="Calibri"/>
          <w:lang w:val="en-US"/>
        </w:rPr>
      </w:pPr>
      <w:r w:rsidRPr="008C761D">
        <w:rPr>
          <w:rFonts w:cs="Calibri"/>
          <w:lang w:val="en-US"/>
        </w:rPr>
        <w:t>•</w:t>
      </w:r>
      <w:r w:rsidR="00FD485A">
        <w:rPr>
          <w:rFonts w:cs="Calibri"/>
          <w:lang w:val="en-US"/>
        </w:rPr>
        <w:t xml:space="preserve"> </w:t>
      </w:r>
      <w:r w:rsidRPr="008C761D">
        <w:rPr>
          <w:rFonts w:cs="Calibri"/>
          <w:lang w:val="en-US"/>
        </w:rPr>
        <w:t>Resolving cases of old (accumulated) debts</w:t>
      </w:r>
    </w:p>
    <w:p w14:paraId="761F9676" w14:textId="4A5DDD3C" w:rsidR="00B93449" w:rsidRPr="008C761D" w:rsidRDefault="00B93449" w:rsidP="00B93449">
      <w:pPr>
        <w:spacing w:before="240" w:after="0" w:line="240" w:lineRule="auto"/>
        <w:jc w:val="both"/>
        <w:rPr>
          <w:rFonts w:cs="Calibri"/>
          <w:lang w:val="en-US"/>
        </w:rPr>
      </w:pPr>
      <w:r w:rsidRPr="008C761D">
        <w:rPr>
          <w:rFonts w:cs="Calibri"/>
          <w:lang w:val="en-US"/>
        </w:rPr>
        <w:t>•</w:t>
      </w:r>
      <w:r w:rsidR="00FD485A">
        <w:rPr>
          <w:rFonts w:cs="Calibri"/>
          <w:lang w:val="en-US"/>
        </w:rPr>
        <w:t xml:space="preserve"> </w:t>
      </w:r>
      <w:r w:rsidRPr="008C761D">
        <w:rPr>
          <w:rFonts w:cs="Calibri"/>
          <w:lang w:val="en-US"/>
        </w:rPr>
        <w:t>Adequate reactions of the PRO to the main causes of non-compliance and accumulated unpaid tax debts</w:t>
      </w:r>
    </w:p>
    <w:p w14:paraId="624B4C6C" w14:textId="7CEB949C" w:rsidR="0037730E" w:rsidRDefault="00B93449" w:rsidP="00B93449">
      <w:pPr>
        <w:spacing w:before="240" w:after="0" w:line="240" w:lineRule="auto"/>
        <w:jc w:val="both"/>
        <w:rPr>
          <w:rFonts w:cs="Calibri"/>
          <w:lang w:val="en-US"/>
        </w:rPr>
      </w:pPr>
      <w:r w:rsidRPr="008C761D">
        <w:rPr>
          <w:rFonts w:cs="Calibri"/>
          <w:lang w:val="en-US"/>
        </w:rPr>
        <w:t>Foundations for better management of tax debts - improvement of the framework (law, procedures, internal organization, etc.)</w:t>
      </w:r>
    </w:p>
    <w:p w14:paraId="74B11B81" w14:textId="77777777" w:rsidR="0037730E" w:rsidRPr="0037730E" w:rsidRDefault="0037730E" w:rsidP="00B93449">
      <w:pPr>
        <w:spacing w:before="240" w:after="0" w:line="240" w:lineRule="auto"/>
        <w:jc w:val="both"/>
        <w:rPr>
          <w:rFonts w:cs="Calibri"/>
          <w:sz w:val="16"/>
          <w:szCs w:val="16"/>
          <w:lang w:val="en-US"/>
        </w:rPr>
      </w:pPr>
    </w:p>
    <w:p w14:paraId="7E8D9651" w14:textId="77777777" w:rsidR="0037730E" w:rsidRDefault="00B93449" w:rsidP="0037730E">
      <w:pPr>
        <w:spacing w:line="240" w:lineRule="auto"/>
        <w:jc w:val="both"/>
        <w:rPr>
          <w:rFonts w:cs="Calibri"/>
          <w:b/>
          <w:bCs/>
          <w:iCs/>
          <w:color w:val="0070C0"/>
          <w:lang w:val="en-US"/>
        </w:rPr>
      </w:pPr>
      <w:r w:rsidRPr="00532C0E">
        <w:rPr>
          <w:rFonts w:cs="Calibri"/>
          <w:b/>
          <w:bCs/>
          <w:iCs/>
          <w:color w:val="0070C0"/>
          <w:lang w:val="en-US"/>
        </w:rPr>
        <w:t>Activity 2: Improving Compliance risk management</w:t>
      </w:r>
    </w:p>
    <w:p w14:paraId="4E24AA2C" w14:textId="77777777" w:rsidR="0037730E" w:rsidRDefault="00B93449" w:rsidP="0037730E">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w:t>
      </w:r>
      <w:r w:rsidR="00FD485A">
        <w:rPr>
          <w:rFonts w:eastAsia="Calibri" w:cs="Calibri"/>
          <w:b w:val="0"/>
          <w:bCs w:val="0"/>
          <w:i w:val="0"/>
          <w:iCs w:val="0"/>
          <w:color w:val="auto"/>
          <w:sz w:val="22"/>
          <w:szCs w:val="22"/>
          <w:lang w:val="en-US" w:eastAsia="en-US"/>
        </w:rPr>
        <w:t xml:space="preserve"> </w:t>
      </w:r>
      <w:r w:rsidRPr="008C761D">
        <w:rPr>
          <w:rFonts w:eastAsia="Calibri" w:cs="Calibri"/>
          <w:b w:val="0"/>
          <w:bCs w:val="0"/>
          <w:i w:val="0"/>
          <w:iCs w:val="0"/>
          <w:color w:val="auto"/>
          <w:sz w:val="22"/>
          <w:szCs w:val="22"/>
          <w:lang w:val="en-US" w:eastAsia="en-US"/>
        </w:rPr>
        <w:t>Further strengthening of risk management capacities within the Compliance Management Unit</w:t>
      </w:r>
    </w:p>
    <w:p w14:paraId="64175F42" w14:textId="77777777" w:rsidR="0037730E" w:rsidRDefault="0037730E" w:rsidP="0037730E">
      <w:pPr>
        <w:pStyle w:val="Heading4"/>
        <w:spacing w:line="240" w:lineRule="auto"/>
        <w:rPr>
          <w:rFonts w:eastAsia="Calibri" w:cs="Calibri"/>
          <w:b w:val="0"/>
          <w:bCs w:val="0"/>
          <w:i w:val="0"/>
          <w:iCs w:val="0"/>
          <w:color w:val="auto"/>
          <w:sz w:val="22"/>
          <w:szCs w:val="22"/>
          <w:lang w:val="en-US" w:eastAsia="en-US"/>
        </w:rPr>
      </w:pPr>
      <w:r>
        <w:rPr>
          <w:rFonts w:cs="Calibri"/>
          <w:lang w:val="en-US"/>
        </w:rPr>
        <w:t xml:space="preserve"> </w:t>
      </w:r>
      <w:r w:rsidRPr="008C761D">
        <w:rPr>
          <w:rFonts w:eastAsia="Calibri" w:cs="Calibri"/>
          <w:b w:val="0"/>
          <w:bCs w:val="0"/>
          <w:i w:val="0"/>
          <w:iCs w:val="0"/>
          <w:color w:val="auto"/>
          <w:sz w:val="22"/>
          <w:szCs w:val="22"/>
          <w:lang w:val="en-US" w:eastAsia="en-US"/>
        </w:rPr>
        <w:t>•</w:t>
      </w:r>
      <w:r>
        <w:rPr>
          <w:rFonts w:eastAsia="Calibri" w:cs="Calibri"/>
          <w:b w:val="0"/>
          <w:bCs w:val="0"/>
          <w:i w:val="0"/>
          <w:iCs w:val="0"/>
          <w:color w:val="auto"/>
          <w:sz w:val="22"/>
          <w:szCs w:val="22"/>
          <w:lang w:val="en-US" w:eastAsia="en-US"/>
        </w:rPr>
        <w:t xml:space="preserve"> </w:t>
      </w:r>
      <w:r w:rsidRPr="008C761D">
        <w:rPr>
          <w:rFonts w:eastAsia="Calibri" w:cs="Calibri"/>
          <w:b w:val="0"/>
          <w:bCs w:val="0"/>
          <w:i w:val="0"/>
          <w:iCs w:val="0"/>
          <w:color w:val="auto"/>
          <w:sz w:val="22"/>
          <w:szCs w:val="22"/>
          <w:lang w:val="en-US" w:eastAsia="en-US"/>
        </w:rPr>
        <w:t>Developing analytical capabilities within the Compliance Management Unit and the Compliance Committee as a prerequisite for risk management through appropriate training</w:t>
      </w:r>
      <w:r>
        <w:rPr>
          <w:rFonts w:eastAsia="Calibri" w:cs="Calibri"/>
          <w:b w:val="0"/>
          <w:bCs w:val="0"/>
          <w:i w:val="0"/>
          <w:iCs w:val="0"/>
          <w:color w:val="auto"/>
          <w:sz w:val="22"/>
          <w:szCs w:val="22"/>
          <w:lang w:val="en-US" w:eastAsia="en-US"/>
        </w:rPr>
        <w:t xml:space="preserve"> </w:t>
      </w:r>
    </w:p>
    <w:p w14:paraId="225E9D04" w14:textId="22BA673D" w:rsidR="0037730E" w:rsidRPr="008C761D" w:rsidRDefault="0037730E" w:rsidP="0037730E">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w:t>
      </w:r>
      <w:r>
        <w:rPr>
          <w:rFonts w:eastAsia="Calibri" w:cs="Calibri"/>
          <w:b w:val="0"/>
          <w:bCs w:val="0"/>
          <w:i w:val="0"/>
          <w:iCs w:val="0"/>
          <w:color w:val="auto"/>
          <w:sz w:val="22"/>
          <w:szCs w:val="22"/>
          <w:lang w:val="en-US" w:eastAsia="en-US"/>
        </w:rPr>
        <w:t xml:space="preserve"> </w:t>
      </w:r>
      <w:r w:rsidRPr="008C761D">
        <w:rPr>
          <w:rFonts w:eastAsia="Calibri" w:cs="Calibri"/>
          <w:b w:val="0"/>
          <w:bCs w:val="0"/>
          <w:i w:val="0"/>
          <w:iCs w:val="0"/>
          <w:color w:val="auto"/>
          <w:sz w:val="22"/>
          <w:szCs w:val="22"/>
          <w:lang w:val="en-US" w:eastAsia="en-US"/>
        </w:rPr>
        <w:t>Preparation of a Plan to improve the compliance of the PRO</w:t>
      </w:r>
    </w:p>
    <w:p w14:paraId="617A86DE" w14:textId="181CC281" w:rsidR="0037730E" w:rsidRPr="008C761D" w:rsidRDefault="0037730E" w:rsidP="0037730E">
      <w:pPr>
        <w:pStyle w:val="Heading4"/>
        <w:spacing w:line="240" w:lineRule="auto"/>
        <w:rPr>
          <w:rFonts w:eastAsia="Calibri" w:cs="Calibri"/>
          <w:b w:val="0"/>
          <w:bCs w:val="0"/>
          <w:i w:val="0"/>
          <w:iCs w:val="0"/>
          <w:color w:val="auto"/>
          <w:sz w:val="22"/>
          <w:szCs w:val="22"/>
          <w:lang w:val="en-US" w:eastAsia="en-US"/>
        </w:rPr>
      </w:pPr>
    </w:p>
    <w:p w14:paraId="4B0D42BC" w14:textId="3A802790" w:rsidR="00B93449" w:rsidRDefault="00B93449" w:rsidP="0037730E">
      <w:pPr>
        <w:spacing w:line="240" w:lineRule="auto"/>
        <w:jc w:val="both"/>
        <w:rPr>
          <w:rFonts w:cs="Calibri"/>
          <w:lang w:val="en-US"/>
        </w:rPr>
      </w:pPr>
    </w:p>
    <w:p w14:paraId="52A9E364" w14:textId="77777777" w:rsidR="00B93449" w:rsidRPr="008C761D" w:rsidRDefault="00B93449" w:rsidP="00B93449">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lastRenderedPageBreak/>
        <w:t>Within the framework of the annual Action Plans for the implementation of the PFM program, additional activities for this measure can be defined, which would result from the revised Strategic Plan for the relevant period.</w:t>
      </w:r>
    </w:p>
    <w:p w14:paraId="6708894A" w14:textId="77777777" w:rsidR="00A64FD7" w:rsidRPr="008C761D" w:rsidRDefault="00A64FD7" w:rsidP="0023078B">
      <w:pPr>
        <w:pStyle w:val="Heading4"/>
        <w:spacing w:line="240" w:lineRule="auto"/>
        <w:rPr>
          <w:rFonts w:cs="Calibri"/>
          <w:sz w:val="22"/>
          <w:szCs w:val="22"/>
          <w:lang w:val="en-US"/>
        </w:rPr>
      </w:pPr>
      <w:r w:rsidRPr="008C761D">
        <w:rPr>
          <w:rFonts w:cs="Calibri"/>
          <w:sz w:val="22"/>
          <w:szCs w:val="22"/>
          <w:lang w:val="en-US"/>
        </w:rPr>
        <w:t>Implementation</w:t>
      </w:r>
    </w:p>
    <w:tbl>
      <w:tblPr>
        <w:tblW w:w="9322" w:type="dxa"/>
        <w:tblBorders>
          <w:insideH w:val="single" w:sz="4" w:space="0" w:color="FFFFFF"/>
        </w:tblBorders>
        <w:tblLayout w:type="fixed"/>
        <w:tblLook w:val="0080" w:firstRow="0" w:lastRow="0" w:firstColumn="1" w:lastColumn="0" w:noHBand="0" w:noVBand="0"/>
      </w:tblPr>
      <w:tblGrid>
        <w:gridCol w:w="2518"/>
        <w:gridCol w:w="6804"/>
      </w:tblGrid>
      <w:tr w:rsidR="000832C6" w:rsidRPr="008C761D" w14:paraId="1C417B27" w14:textId="77777777" w:rsidTr="008D2403">
        <w:tc>
          <w:tcPr>
            <w:tcW w:w="2518" w:type="dxa"/>
            <w:tcBorders>
              <w:top w:val="nil"/>
              <w:bottom w:val="single" w:sz="4" w:space="0" w:color="FFFFFF"/>
            </w:tcBorders>
            <w:shd w:val="clear" w:color="auto" w:fill="1F3864"/>
          </w:tcPr>
          <w:p w14:paraId="4D87BFFD" w14:textId="704B6C72"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Completed</w:t>
            </w:r>
            <w:r w:rsidR="00070786">
              <w:rPr>
                <w:rFonts w:cs="Calibri"/>
                <w:b/>
                <w:sz w:val="20"/>
                <w:szCs w:val="20"/>
                <w:lang w:val="en-US"/>
              </w:rPr>
              <w:t xml:space="preserve"> </w:t>
            </w:r>
            <w:r w:rsidRPr="008C761D">
              <w:rPr>
                <w:rFonts w:cs="Calibri"/>
                <w:b/>
                <w:sz w:val="20"/>
                <w:szCs w:val="20"/>
                <w:lang w:val="en-US"/>
              </w:rPr>
              <w:t>in</w:t>
            </w:r>
            <w:r w:rsidR="00070786">
              <w:rPr>
                <w:rFonts w:cs="Calibri"/>
                <w:b/>
                <w:sz w:val="20"/>
                <w:szCs w:val="20"/>
                <w:lang w:val="en-US"/>
              </w:rPr>
              <w:t xml:space="preserve"> </w:t>
            </w:r>
            <w:r w:rsidRPr="008C761D">
              <w:rPr>
                <w:rFonts w:cs="Calibri"/>
                <w:b/>
                <w:sz w:val="20"/>
                <w:szCs w:val="20"/>
                <w:lang w:val="en-US"/>
              </w:rPr>
              <w:t>year:</w:t>
            </w:r>
          </w:p>
        </w:tc>
        <w:tc>
          <w:tcPr>
            <w:tcW w:w="6804" w:type="dxa"/>
            <w:tcBorders>
              <w:top w:val="nil"/>
              <w:bottom w:val="single" w:sz="4" w:space="0" w:color="FFFFFF"/>
            </w:tcBorders>
            <w:shd w:val="clear" w:color="auto" w:fill="D9E2F3"/>
          </w:tcPr>
          <w:p w14:paraId="6BDD1A29" w14:textId="77777777" w:rsidR="000832C6" w:rsidRPr="008C761D" w:rsidRDefault="000832C6" w:rsidP="00E84CD0">
            <w:pPr>
              <w:spacing w:line="240" w:lineRule="auto"/>
              <w:jc w:val="both"/>
              <w:rPr>
                <w:rFonts w:cs="Calibri"/>
                <w:sz w:val="20"/>
                <w:szCs w:val="20"/>
                <w:lang w:val="en-US"/>
              </w:rPr>
            </w:pPr>
            <w:r w:rsidRPr="008C761D">
              <w:rPr>
                <w:rFonts w:cs="Calibri"/>
                <w:sz w:val="20"/>
                <w:szCs w:val="20"/>
                <w:lang w:val="en-US"/>
              </w:rPr>
              <w:t>202</w:t>
            </w:r>
            <w:r w:rsidR="0023078B" w:rsidRPr="008C761D">
              <w:rPr>
                <w:rFonts w:cs="Calibri"/>
                <w:sz w:val="20"/>
                <w:szCs w:val="20"/>
                <w:lang w:val="en-US"/>
              </w:rPr>
              <w:t>7</w:t>
            </w:r>
          </w:p>
        </w:tc>
      </w:tr>
      <w:tr w:rsidR="000832C6" w:rsidRPr="008C761D" w14:paraId="4ED30FC7" w14:textId="77777777" w:rsidTr="008D2403">
        <w:tc>
          <w:tcPr>
            <w:tcW w:w="2518" w:type="dxa"/>
            <w:tcBorders>
              <w:top w:val="single" w:sz="4" w:space="0" w:color="FFFFFF"/>
              <w:bottom w:val="single" w:sz="4" w:space="0" w:color="FFFFFF"/>
            </w:tcBorders>
            <w:shd w:val="clear" w:color="auto" w:fill="1F3864"/>
          </w:tcPr>
          <w:p w14:paraId="171E3C25" w14:textId="77777777"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Deliverables:</w:t>
            </w:r>
          </w:p>
        </w:tc>
        <w:tc>
          <w:tcPr>
            <w:tcW w:w="6804" w:type="dxa"/>
            <w:tcBorders>
              <w:top w:val="single" w:sz="4" w:space="0" w:color="FFFFFF"/>
              <w:bottom w:val="single" w:sz="4" w:space="0" w:color="FFFFFF"/>
            </w:tcBorders>
            <w:shd w:val="clear" w:color="auto" w:fill="D9E2F3"/>
          </w:tcPr>
          <w:p w14:paraId="5B0B5516" w14:textId="77777777" w:rsidR="00B93449" w:rsidRPr="008C761D" w:rsidRDefault="00B93449" w:rsidP="00532C0E">
            <w:pPr>
              <w:numPr>
                <w:ilvl w:val="0"/>
                <w:numId w:val="44"/>
              </w:numPr>
              <w:spacing w:after="120" w:line="240" w:lineRule="auto"/>
              <w:ind w:left="273" w:hanging="180"/>
              <w:jc w:val="both"/>
              <w:rPr>
                <w:rFonts w:cs="Calibri"/>
                <w:sz w:val="20"/>
                <w:szCs w:val="20"/>
                <w:lang w:val="en-US"/>
              </w:rPr>
            </w:pPr>
            <w:r w:rsidRPr="008C761D">
              <w:rPr>
                <w:rFonts w:cs="Calibri"/>
                <w:sz w:val="20"/>
                <w:szCs w:val="20"/>
                <w:lang w:val="en-US"/>
              </w:rPr>
              <w:t>Implemented measures and activities to strengthen "social" awareness of the tax responsibility of the founders and managers of companies and inter-institutional compliance in practicing the mechanisms for this responsibility</w:t>
            </w:r>
          </w:p>
          <w:p w14:paraId="5CCC21CE" w14:textId="77777777" w:rsidR="00B93449" w:rsidRPr="008C761D" w:rsidRDefault="00B93449" w:rsidP="00532C0E">
            <w:pPr>
              <w:numPr>
                <w:ilvl w:val="0"/>
                <w:numId w:val="44"/>
              </w:numPr>
              <w:spacing w:after="120" w:line="240" w:lineRule="auto"/>
              <w:ind w:left="273" w:hanging="180"/>
              <w:jc w:val="both"/>
              <w:rPr>
                <w:rFonts w:cs="Calibri"/>
                <w:sz w:val="20"/>
                <w:szCs w:val="20"/>
                <w:lang w:val="en-US"/>
              </w:rPr>
            </w:pPr>
            <w:r w:rsidRPr="008C761D">
              <w:rPr>
                <w:rFonts w:cs="Calibri"/>
                <w:sz w:val="20"/>
                <w:szCs w:val="20"/>
                <w:lang w:val="en-US"/>
              </w:rPr>
              <w:t>Proposal for changes and additions to the Law on Tax Procedure (which are not related to the redesign of business processes) - harmonized with the Ministry of Finance and launched in the adoption procedure</w:t>
            </w:r>
          </w:p>
          <w:p w14:paraId="1E39BC7F" w14:textId="77777777" w:rsidR="00B93449" w:rsidRPr="008C761D" w:rsidRDefault="00B93449" w:rsidP="00532C0E">
            <w:pPr>
              <w:numPr>
                <w:ilvl w:val="0"/>
                <w:numId w:val="44"/>
              </w:numPr>
              <w:spacing w:after="120" w:line="240" w:lineRule="auto"/>
              <w:ind w:left="273" w:hanging="180"/>
              <w:jc w:val="both"/>
              <w:rPr>
                <w:rFonts w:cs="Calibri"/>
                <w:sz w:val="20"/>
                <w:szCs w:val="20"/>
                <w:lang w:val="en-US"/>
              </w:rPr>
            </w:pPr>
            <w:r w:rsidRPr="008C761D">
              <w:rPr>
                <w:rFonts w:cs="Calibri"/>
                <w:sz w:val="20"/>
                <w:szCs w:val="20"/>
                <w:lang w:val="en-US"/>
              </w:rPr>
              <w:t>Established and functional Tax Enforcement Center</w:t>
            </w:r>
          </w:p>
          <w:p w14:paraId="4D4E45A8" w14:textId="280113C1" w:rsidR="000832C6" w:rsidRPr="008C761D" w:rsidRDefault="00B93449" w:rsidP="00532C0E">
            <w:pPr>
              <w:numPr>
                <w:ilvl w:val="0"/>
                <w:numId w:val="44"/>
              </w:numPr>
              <w:spacing w:after="120" w:line="240" w:lineRule="auto"/>
              <w:ind w:left="273" w:hanging="180"/>
              <w:jc w:val="both"/>
              <w:rPr>
                <w:rFonts w:cs="Calibri"/>
                <w:sz w:val="20"/>
                <w:szCs w:val="20"/>
                <w:lang w:val="en-US"/>
              </w:rPr>
            </w:pPr>
            <w:r w:rsidRPr="008C761D">
              <w:rPr>
                <w:rFonts w:cs="Calibri"/>
                <w:sz w:val="20"/>
                <w:szCs w:val="20"/>
                <w:lang w:val="en-US"/>
              </w:rPr>
              <w:t>Adopted Plan to improve the compliance of the PRO</w:t>
            </w:r>
          </w:p>
        </w:tc>
      </w:tr>
      <w:tr w:rsidR="000832C6" w:rsidRPr="008C761D" w14:paraId="078E1510" w14:textId="77777777" w:rsidTr="008D2403">
        <w:tc>
          <w:tcPr>
            <w:tcW w:w="2518" w:type="dxa"/>
            <w:tcBorders>
              <w:top w:val="single" w:sz="4" w:space="0" w:color="FFFFFF"/>
              <w:bottom w:val="single" w:sz="4" w:space="0" w:color="FFFFFF"/>
            </w:tcBorders>
            <w:shd w:val="clear" w:color="auto" w:fill="1F3864"/>
          </w:tcPr>
          <w:p w14:paraId="121125A7" w14:textId="67443DB1"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Costs</w:t>
            </w:r>
            <w:r w:rsidR="00070786">
              <w:rPr>
                <w:rFonts w:cs="Calibri"/>
                <w:b/>
                <w:sz w:val="20"/>
                <w:szCs w:val="20"/>
                <w:lang w:val="en-US"/>
              </w:rPr>
              <w:t xml:space="preserve"> </w:t>
            </w:r>
            <w:r w:rsidRPr="008C761D">
              <w:rPr>
                <w:rFonts w:cs="Calibri"/>
                <w:b/>
                <w:sz w:val="20"/>
                <w:szCs w:val="20"/>
                <w:lang w:val="en-US"/>
              </w:rPr>
              <w:t>implications:</w:t>
            </w:r>
          </w:p>
        </w:tc>
        <w:tc>
          <w:tcPr>
            <w:tcW w:w="6804" w:type="dxa"/>
            <w:tcBorders>
              <w:top w:val="single" w:sz="4" w:space="0" w:color="FFFFFF"/>
              <w:bottom w:val="single" w:sz="4" w:space="0" w:color="FFFFFF"/>
            </w:tcBorders>
            <w:shd w:val="clear" w:color="auto" w:fill="D9E2F3"/>
          </w:tcPr>
          <w:p w14:paraId="36DE41C6" w14:textId="23D6E3DE" w:rsidR="000832C6" w:rsidRPr="00532C0E" w:rsidRDefault="0023078B" w:rsidP="00532C0E">
            <w:pPr>
              <w:spacing w:line="240" w:lineRule="auto"/>
              <w:rPr>
                <w:rFonts w:cs="Calibri"/>
                <w:sz w:val="20"/>
                <w:szCs w:val="20"/>
                <w:lang w:val="en-US"/>
              </w:rPr>
            </w:pPr>
            <w:r w:rsidRPr="00532C0E">
              <w:rPr>
                <w:rFonts w:cs="Calibri"/>
                <w:sz w:val="20"/>
                <w:szCs w:val="20"/>
                <w:lang w:val="en-US"/>
              </w:rPr>
              <w:t>212,000 euros</w:t>
            </w:r>
          </w:p>
        </w:tc>
      </w:tr>
      <w:tr w:rsidR="000832C6" w:rsidRPr="008C761D" w14:paraId="0FEF7C7F" w14:textId="77777777" w:rsidTr="008D2403">
        <w:trPr>
          <w:trHeight w:val="544"/>
        </w:trPr>
        <w:tc>
          <w:tcPr>
            <w:tcW w:w="2518" w:type="dxa"/>
            <w:tcBorders>
              <w:top w:val="single" w:sz="4" w:space="0" w:color="FFFFFF"/>
              <w:bottom w:val="single" w:sz="4" w:space="0" w:color="FFFFFF"/>
            </w:tcBorders>
            <w:shd w:val="clear" w:color="auto" w:fill="1F3864"/>
          </w:tcPr>
          <w:p w14:paraId="70CAA8E7" w14:textId="5E052330"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Responsible</w:t>
            </w:r>
            <w:r w:rsidR="00070786">
              <w:rPr>
                <w:rFonts w:cs="Calibri"/>
                <w:b/>
                <w:sz w:val="20"/>
                <w:szCs w:val="20"/>
                <w:lang w:val="en-US"/>
              </w:rPr>
              <w:t xml:space="preserve"> </w:t>
            </w:r>
            <w:r w:rsidRPr="008C761D">
              <w:rPr>
                <w:rFonts w:cs="Calibri"/>
                <w:b/>
                <w:sz w:val="20"/>
                <w:szCs w:val="20"/>
                <w:lang w:val="en-US"/>
              </w:rPr>
              <w:t xml:space="preserve">entity: </w:t>
            </w:r>
          </w:p>
        </w:tc>
        <w:tc>
          <w:tcPr>
            <w:tcW w:w="6804" w:type="dxa"/>
            <w:tcBorders>
              <w:top w:val="single" w:sz="4" w:space="0" w:color="FFFFFF"/>
              <w:bottom w:val="single" w:sz="4" w:space="0" w:color="FFFFFF"/>
            </w:tcBorders>
            <w:shd w:val="clear" w:color="auto" w:fill="D9E2F3"/>
          </w:tcPr>
          <w:p w14:paraId="29BE988F" w14:textId="067BEC22" w:rsidR="000832C6" w:rsidRPr="008C761D" w:rsidRDefault="000832C6" w:rsidP="00E84CD0">
            <w:pPr>
              <w:spacing w:line="240" w:lineRule="auto"/>
              <w:jc w:val="both"/>
              <w:rPr>
                <w:rFonts w:cs="Calibri"/>
                <w:sz w:val="20"/>
                <w:szCs w:val="20"/>
                <w:lang w:val="en-US"/>
              </w:rPr>
            </w:pPr>
            <w:r w:rsidRPr="008C761D">
              <w:rPr>
                <w:rFonts w:cs="Calibri"/>
                <w:sz w:val="20"/>
                <w:szCs w:val="20"/>
                <w:lang w:val="en-US"/>
              </w:rPr>
              <w:t>Public</w:t>
            </w:r>
            <w:r w:rsidR="00070786">
              <w:rPr>
                <w:rFonts w:cs="Calibri"/>
                <w:sz w:val="20"/>
                <w:szCs w:val="20"/>
                <w:lang w:val="en-US"/>
              </w:rPr>
              <w:t xml:space="preserve"> </w:t>
            </w:r>
            <w:r w:rsidRPr="008C761D">
              <w:rPr>
                <w:rFonts w:cs="Calibri"/>
                <w:sz w:val="20"/>
                <w:szCs w:val="20"/>
                <w:lang w:val="en-US"/>
              </w:rPr>
              <w:t>Revenue Office</w:t>
            </w:r>
          </w:p>
        </w:tc>
      </w:tr>
      <w:tr w:rsidR="000832C6" w:rsidRPr="008C761D" w14:paraId="78013623" w14:textId="77777777" w:rsidTr="008D2403">
        <w:tc>
          <w:tcPr>
            <w:tcW w:w="2518" w:type="dxa"/>
            <w:tcBorders>
              <w:top w:val="single" w:sz="4" w:space="0" w:color="FFFFFF"/>
              <w:bottom w:val="nil"/>
            </w:tcBorders>
            <w:shd w:val="clear" w:color="auto" w:fill="1F3864"/>
          </w:tcPr>
          <w:p w14:paraId="7187BFBE" w14:textId="77777777"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Risk:</w:t>
            </w:r>
          </w:p>
        </w:tc>
        <w:tc>
          <w:tcPr>
            <w:tcW w:w="6804" w:type="dxa"/>
            <w:tcBorders>
              <w:top w:val="single" w:sz="4" w:space="0" w:color="FFFFFF"/>
              <w:bottom w:val="nil"/>
            </w:tcBorders>
            <w:shd w:val="clear" w:color="auto" w:fill="D9E2F3"/>
          </w:tcPr>
          <w:p w14:paraId="66CAADD4" w14:textId="77777777" w:rsidR="00B93449" w:rsidRPr="008C761D" w:rsidRDefault="00B93449" w:rsidP="00532C0E">
            <w:pPr>
              <w:numPr>
                <w:ilvl w:val="0"/>
                <w:numId w:val="54"/>
              </w:numPr>
              <w:spacing w:after="0" w:line="240" w:lineRule="auto"/>
              <w:ind w:left="273" w:hanging="180"/>
              <w:jc w:val="both"/>
              <w:rPr>
                <w:rFonts w:cs="Calibri"/>
                <w:sz w:val="20"/>
                <w:szCs w:val="20"/>
                <w:lang w:val="en-US"/>
              </w:rPr>
            </w:pPr>
            <w:r w:rsidRPr="008C761D">
              <w:rPr>
                <w:rFonts w:cs="Calibri"/>
                <w:sz w:val="20"/>
                <w:szCs w:val="20"/>
                <w:lang w:val="en-US"/>
              </w:rPr>
              <w:t>Organizational and other risks that are related to the implementation of CDI</w:t>
            </w:r>
          </w:p>
          <w:p w14:paraId="087B886B" w14:textId="77777777" w:rsidR="00B93449" w:rsidRPr="008C761D" w:rsidRDefault="00B93449" w:rsidP="00532C0E">
            <w:pPr>
              <w:numPr>
                <w:ilvl w:val="0"/>
                <w:numId w:val="54"/>
              </w:numPr>
              <w:spacing w:after="0" w:line="240" w:lineRule="auto"/>
              <w:ind w:left="273" w:hanging="180"/>
              <w:jc w:val="both"/>
              <w:rPr>
                <w:rFonts w:cs="Calibri"/>
                <w:sz w:val="20"/>
                <w:szCs w:val="20"/>
                <w:lang w:val="en-US"/>
              </w:rPr>
            </w:pPr>
            <w:r w:rsidRPr="008C761D">
              <w:rPr>
                <w:rFonts w:cs="Calibri"/>
                <w:sz w:val="20"/>
                <w:szCs w:val="20"/>
                <w:lang w:val="en-US"/>
              </w:rPr>
              <w:t>Failure to implement compliance risk management</w:t>
            </w:r>
          </w:p>
          <w:p w14:paraId="062D21A7" w14:textId="77777777" w:rsidR="00B93449" w:rsidRPr="008C761D" w:rsidRDefault="00B93449" w:rsidP="00532C0E">
            <w:pPr>
              <w:numPr>
                <w:ilvl w:val="0"/>
                <w:numId w:val="54"/>
              </w:numPr>
              <w:spacing w:after="0" w:line="240" w:lineRule="auto"/>
              <w:ind w:left="273" w:hanging="180"/>
              <w:jc w:val="both"/>
              <w:rPr>
                <w:rFonts w:cs="Calibri"/>
                <w:sz w:val="20"/>
                <w:szCs w:val="20"/>
                <w:lang w:val="en-US"/>
              </w:rPr>
            </w:pPr>
            <w:r w:rsidRPr="008C761D">
              <w:rPr>
                <w:rFonts w:cs="Calibri"/>
                <w:sz w:val="20"/>
                <w:szCs w:val="20"/>
                <w:lang w:val="en-US"/>
              </w:rPr>
              <w:t>The process of enacting legal amendments has been delayed</w:t>
            </w:r>
          </w:p>
          <w:p w14:paraId="21EF64F8" w14:textId="0C70C0AA" w:rsidR="000832C6" w:rsidRPr="008C761D" w:rsidRDefault="00B93449" w:rsidP="00532C0E">
            <w:pPr>
              <w:numPr>
                <w:ilvl w:val="0"/>
                <w:numId w:val="54"/>
              </w:numPr>
              <w:spacing w:after="0" w:line="240" w:lineRule="auto"/>
              <w:ind w:left="273" w:hanging="180"/>
              <w:jc w:val="both"/>
              <w:rPr>
                <w:rFonts w:cs="Calibri"/>
                <w:sz w:val="20"/>
                <w:szCs w:val="20"/>
                <w:lang w:val="en-US"/>
              </w:rPr>
            </w:pPr>
            <w:r w:rsidRPr="008C761D">
              <w:rPr>
                <w:rFonts w:cs="Calibri"/>
                <w:sz w:val="20"/>
                <w:szCs w:val="20"/>
                <w:lang w:val="en-US"/>
              </w:rPr>
              <w:t>Failure to introduce compliance risk management</w:t>
            </w:r>
          </w:p>
        </w:tc>
      </w:tr>
    </w:tbl>
    <w:p w14:paraId="6186D7D2" w14:textId="77777777" w:rsidR="00A64FD7" w:rsidRPr="008C761D" w:rsidRDefault="00A64FD7" w:rsidP="00E84CD0">
      <w:pPr>
        <w:spacing w:line="240" w:lineRule="auto"/>
        <w:jc w:val="both"/>
        <w:rPr>
          <w:rFonts w:cs="Calibri"/>
          <w:b/>
          <w:color w:val="1F4E79"/>
          <w:lang w:val="en-US"/>
        </w:rPr>
      </w:pPr>
    </w:p>
    <w:p w14:paraId="7315DF86" w14:textId="77777777" w:rsidR="00B93449" w:rsidRPr="008C761D" w:rsidRDefault="00B93449" w:rsidP="00B93449">
      <w:pPr>
        <w:spacing w:line="240" w:lineRule="auto"/>
        <w:jc w:val="both"/>
        <w:rPr>
          <w:rFonts w:cs="Calibri"/>
          <w:b/>
          <w:color w:val="0070C0"/>
          <w:sz w:val="24"/>
          <w:szCs w:val="24"/>
          <w:lang w:val="en-US"/>
        </w:rPr>
      </w:pPr>
      <w:r w:rsidRPr="008C761D">
        <w:rPr>
          <w:rFonts w:cs="Calibri"/>
          <w:b/>
          <w:color w:val="0070C0"/>
          <w:sz w:val="24"/>
          <w:szCs w:val="24"/>
          <w:lang w:val="en-US"/>
        </w:rPr>
        <w:t>Measure 2: Digital transformation of the PRO with the establishment of an Integrated Tax Information System (ITIS)</w:t>
      </w:r>
    </w:p>
    <w:p w14:paraId="19753FB2" w14:textId="77777777" w:rsidR="00A64FD7" w:rsidRPr="008C761D" w:rsidRDefault="00A64FD7"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40873B9B" w14:textId="77777777" w:rsidR="00B93449" w:rsidRPr="008C761D" w:rsidRDefault="00B93449" w:rsidP="00B93449">
      <w:pPr>
        <w:spacing w:line="240" w:lineRule="auto"/>
        <w:jc w:val="both"/>
        <w:rPr>
          <w:rFonts w:cs="Calibri"/>
          <w:lang w:val="en-US"/>
        </w:rPr>
      </w:pPr>
      <w:r w:rsidRPr="008C761D">
        <w:rPr>
          <w:rFonts w:cs="Calibri"/>
          <w:lang w:val="en-US"/>
        </w:rPr>
        <w:t>The purpose of this measure is to continue strengthening the administrative capacity of the tax administration by improving business practices and making changes in accordance with the overall digital transformation, with the aim of improving the administration of tax revenues and contributions, providing quality service to customers, improving the skills and knowledge of tax officials</w:t>
      </w:r>
    </w:p>
    <w:p w14:paraId="5DC452AA" w14:textId="77777777" w:rsidR="008F758B" w:rsidRPr="008C761D" w:rsidRDefault="00A64FD7"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993"/>
        <w:gridCol w:w="7587"/>
      </w:tblGrid>
      <w:tr w:rsidR="008F758B" w:rsidRPr="008C761D" w14:paraId="23579EE4" w14:textId="77777777" w:rsidTr="00F46E0B">
        <w:tc>
          <w:tcPr>
            <w:tcW w:w="993" w:type="dxa"/>
            <w:shd w:val="clear" w:color="auto" w:fill="DDDDDD"/>
          </w:tcPr>
          <w:p w14:paraId="4FA4204B" w14:textId="77777777" w:rsidR="008F758B" w:rsidRPr="00532C0E" w:rsidRDefault="006A55CA" w:rsidP="00DF185F">
            <w:pPr>
              <w:spacing w:after="0" w:line="240" w:lineRule="auto"/>
              <w:jc w:val="both"/>
              <w:rPr>
                <w:rFonts w:eastAsia="Times New Roman" w:cs="Calibri"/>
                <w:b/>
                <w:color w:val="202124"/>
                <w:sz w:val="20"/>
                <w:szCs w:val="20"/>
                <w:lang w:val="en-US"/>
              </w:rPr>
            </w:pPr>
            <w:r w:rsidRPr="00532C0E">
              <w:rPr>
                <w:rFonts w:cs="Calibri"/>
                <w:b/>
                <w:sz w:val="20"/>
                <w:szCs w:val="20"/>
                <w:lang w:val="en-US"/>
              </w:rPr>
              <w:t>PJRFO</w:t>
            </w:r>
          </w:p>
        </w:tc>
        <w:tc>
          <w:tcPr>
            <w:tcW w:w="7587" w:type="dxa"/>
            <w:shd w:val="clear" w:color="auto" w:fill="DDDDDD"/>
          </w:tcPr>
          <w:p w14:paraId="6677C399" w14:textId="77777777" w:rsidR="008F758B" w:rsidRPr="008C761D" w:rsidRDefault="006A55CA" w:rsidP="00DF185F">
            <w:pPr>
              <w:spacing w:line="240" w:lineRule="auto"/>
              <w:rPr>
                <w:rFonts w:cs="Calibri"/>
                <w:sz w:val="20"/>
                <w:szCs w:val="20"/>
                <w:lang w:val="en-US"/>
              </w:rPr>
            </w:pPr>
            <w:r w:rsidRPr="008C761D">
              <w:rPr>
                <w:rFonts w:cs="Calibri"/>
                <w:b/>
                <w:bCs/>
                <w:i/>
                <w:iCs/>
                <w:sz w:val="20"/>
                <w:szCs w:val="20"/>
                <w:lang w:val="en-US"/>
              </w:rPr>
              <w:t>PEFA Assessment Report, March 2022</w:t>
            </w:r>
            <w:r w:rsidRPr="008C761D">
              <w:rPr>
                <w:rFonts w:cs="Calibri"/>
                <w:sz w:val="20"/>
                <w:szCs w:val="20"/>
                <w:lang w:val="en-US"/>
              </w:rPr>
              <w:t>:</w:t>
            </w:r>
          </w:p>
          <w:p w14:paraId="1B97A312" w14:textId="77777777" w:rsidR="008F758B" w:rsidRPr="008C761D" w:rsidRDefault="006A55CA" w:rsidP="00DF185F">
            <w:pPr>
              <w:spacing w:line="240" w:lineRule="auto"/>
              <w:jc w:val="both"/>
              <w:rPr>
                <w:rFonts w:cs="Calibri"/>
                <w:sz w:val="20"/>
                <w:szCs w:val="20"/>
                <w:lang w:val="en-US"/>
              </w:rPr>
            </w:pPr>
            <w:r w:rsidRPr="008C761D">
              <w:rPr>
                <w:rFonts w:cs="Calibri"/>
                <w:sz w:val="20"/>
                <w:szCs w:val="20"/>
                <w:lang w:val="en-US"/>
              </w:rPr>
              <w:t>In the area of ​​tax administration, the institutional reforms determined by the Public Finance Management Reform Program 2018-2021 and the Strategy for the Reform of the Tax System (2021-2025) are operationalized through the Strategic Plan of the PRO for the period 2021-2023. One of the key activities envisaged is the installation of a new integrated information technology (IT) system that will support the basic functions of the tax administration and replace the existing information systems that are outdated, fragmented, incomplete or too rigid to cope with the changes of the laws and with the basic functions of the tax administration. After reviewing the detailed project and business processes, the PRO started developing the integrated Tax Information System.</w:t>
            </w:r>
          </w:p>
        </w:tc>
      </w:tr>
      <w:tr w:rsidR="008F758B" w:rsidRPr="008C761D" w14:paraId="6342E2EE" w14:textId="77777777" w:rsidTr="00F46E0B">
        <w:tc>
          <w:tcPr>
            <w:tcW w:w="993" w:type="dxa"/>
            <w:shd w:val="clear" w:color="auto" w:fill="DDDDDD"/>
          </w:tcPr>
          <w:p w14:paraId="737750E4" w14:textId="77777777" w:rsidR="008F758B" w:rsidRPr="00532C0E" w:rsidRDefault="006A55CA" w:rsidP="00DF185F">
            <w:pPr>
              <w:spacing w:after="0" w:line="240" w:lineRule="auto"/>
              <w:jc w:val="both"/>
              <w:rPr>
                <w:rFonts w:eastAsia="Times New Roman" w:cs="Calibri"/>
                <w:b/>
                <w:color w:val="202124"/>
                <w:sz w:val="20"/>
                <w:szCs w:val="20"/>
                <w:lang w:val="en-US"/>
              </w:rPr>
            </w:pPr>
            <w:r w:rsidRPr="00532C0E">
              <w:rPr>
                <w:rFonts w:cs="Calibri"/>
                <w:b/>
                <w:sz w:val="20"/>
                <w:szCs w:val="20"/>
                <w:lang w:val="en-US"/>
              </w:rPr>
              <w:t>PPRU</w:t>
            </w:r>
          </w:p>
        </w:tc>
        <w:tc>
          <w:tcPr>
            <w:tcW w:w="7587" w:type="dxa"/>
            <w:shd w:val="clear" w:color="auto" w:fill="DDDDDD"/>
          </w:tcPr>
          <w:p w14:paraId="43672048" w14:textId="77777777" w:rsidR="008F758B" w:rsidRPr="008C761D" w:rsidRDefault="006A55CA" w:rsidP="00DF185F">
            <w:pPr>
              <w:spacing w:line="240" w:lineRule="auto"/>
              <w:rPr>
                <w:rFonts w:cs="Calibri"/>
                <w:b/>
                <w:bCs/>
                <w:i/>
                <w:iCs/>
                <w:sz w:val="20"/>
                <w:szCs w:val="20"/>
                <w:lang w:val="en-US"/>
              </w:rPr>
            </w:pPr>
            <w:r w:rsidRPr="008C761D">
              <w:rPr>
                <w:rFonts w:cs="Calibri"/>
                <w:b/>
                <w:bCs/>
                <w:i/>
                <w:iCs/>
                <w:sz w:val="20"/>
                <w:szCs w:val="20"/>
                <w:lang w:val="en-US" w:bidi="en-US"/>
              </w:rPr>
              <w:t>SIGMA Monitoring Report - Principles of Public Administration, November 2021</w:t>
            </w:r>
          </w:p>
          <w:p w14:paraId="664E41E5" w14:textId="77777777" w:rsidR="008F758B" w:rsidRPr="008C761D" w:rsidRDefault="006A55CA" w:rsidP="00DF185F">
            <w:pPr>
              <w:spacing w:line="240" w:lineRule="auto"/>
              <w:jc w:val="both"/>
              <w:rPr>
                <w:rFonts w:cs="Calibri"/>
                <w:sz w:val="20"/>
                <w:szCs w:val="20"/>
                <w:lang w:val="en-US"/>
              </w:rPr>
            </w:pPr>
            <w:r w:rsidRPr="008C761D">
              <w:rPr>
                <w:rFonts w:cs="Calibri"/>
                <w:sz w:val="20"/>
                <w:szCs w:val="20"/>
                <w:lang w:val="en-US"/>
              </w:rPr>
              <w:t xml:space="preserve">However, the analysis of a sample of services shows that only the filing and payment of personal tax has significantly improved with the introduction of the new e-Personal Tax </w:t>
            </w:r>
            <w:r w:rsidRPr="008C761D">
              <w:rPr>
                <w:rFonts w:cs="Calibri"/>
                <w:sz w:val="20"/>
                <w:szCs w:val="20"/>
                <w:lang w:val="en-US"/>
              </w:rPr>
              <w:lastRenderedPageBreak/>
              <w:t>system in 2018, including the preparation of pre-filled annual tax returns for all taxpayers.</w:t>
            </w:r>
          </w:p>
        </w:tc>
      </w:tr>
      <w:tr w:rsidR="008F758B" w:rsidRPr="008C761D" w14:paraId="51ECD7D3" w14:textId="77777777" w:rsidTr="00F46E0B">
        <w:tc>
          <w:tcPr>
            <w:tcW w:w="993" w:type="dxa"/>
            <w:shd w:val="clear" w:color="auto" w:fill="DDDDDD"/>
          </w:tcPr>
          <w:p w14:paraId="18089E27" w14:textId="77777777" w:rsidR="008F758B" w:rsidRPr="00532C0E" w:rsidRDefault="006A55CA" w:rsidP="00DF185F">
            <w:pPr>
              <w:spacing w:before="80" w:after="0" w:line="240" w:lineRule="auto"/>
              <w:rPr>
                <w:rFonts w:cs="Calibri"/>
                <w:b/>
                <w:sz w:val="20"/>
                <w:szCs w:val="20"/>
                <w:lang w:val="en-US"/>
              </w:rPr>
            </w:pPr>
            <w:r w:rsidRPr="00532C0E">
              <w:rPr>
                <w:rFonts w:cs="Calibri"/>
                <w:b/>
                <w:sz w:val="20"/>
                <w:szCs w:val="20"/>
                <w:lang w:val="en-US"/>
              </w:rPr>
              <w:lastRenderedPageBreak/>
              <w:t>IMF:</w:t>
            </w:r>
          </w:p>
          <w:p w14:paraId="1DA801E8" w14:textId="77777777" w:rsidR="008F758B" w:rsidRPr="008C761D" w:rsidRDefault="008F758B" w:rsidP="00DF185F">
            <w:pPr>
              <w:spacing w:after="0" w:line="240" w:lineRule="auto"/>
              <w:jc w:val="both"/>
              <w:rPr>
                <w:rFonts w:eastAsia="Times New Roman" w:cs="Calibri"/>
                <w:color w:val="202124"/>
                <w:sz w:val="20"/>
                <w:szCs w:val="20"/>
                <w:lang w:val="en-US"/>
              </w:rPr>
            </w:pPr>
          </w:p>
        </w:tc>
        <w:tc>
          <w:tcPr>
            <w:tcW w:w="7587" w:type="dxa"/>
            <w:shd w:val="clear" w:color="auto" w:fill="DDDDDD"/>
          </w:tcPr>
          <w:p w14:paraId="515DDC8C" w14:textId="77777777" w:rsidR="008F758B" w:rsidRPr="008C761D" w:rsidRDefault="006A55CA" w:rsidP="00DF185F">
            <w:pPr>
              <w:spacing w:line="240" w:lineRule="auto"/>
              <w:rPr>
                <w:rFonts w:cs="Calibri"/>
                <w:sz w:val="20"/>
                <w:szCs w:val="20"/>
                <w:lang w:val="en-US"/>
              </w:rPr>
            </w:pPr>
            <w:r w:rsidRPr="008C761D">
              <w:rPr>
                <w:rFonts w:cs="Calibri"/>
                <w:sz w:val="20"/>
                <w:szCs w:val="20"/>
                <w:lang w:val="en-US"/>
              </w:rPr>
              <w:t>In the period from December 7, 2020 to February 5, 2021, an assessment of the tax administration of the Republic of North Macedonia was carried out using the Tax Administration Diagnostic Assessment Tool (TADAT).</w:t>
            </w:r>
          </w:p>
          <w:p w14:paraId="18E2DAB4" w14:textId="77777777" w:rsidR="008F758B" w:rsidRPr="008C761D" w:rsidRDefault="006A55CA" w:rsidP="00DF185F">
            <w:pPr>
              <w:spacing w:line="240" w:lineRule="auto"/>
              <w:jc w:val="both"/>
              <w:rPr>
                <w:rFonts w:cs="Calibri"/>
                <w:sz w:val="20"/>
                <w:szCs w:val="20"/>
                <w:lang w:val="en-US"/>
              </w:rPr>
            </w:pPr>
            <w:r w:rsidRPr="008C761D">
              <w:rPr>
                <w:rFonts w:cs="Calibri"/>
                <w:sz w:val="20"/>
                <w:szCs w:val="20"/>
                <w:lang w:val="en-US"/>
              </w:rPr>
              <w:t>The TADAT performance evaluation report notes that while the Public Revenue Office (PRO) has developed some strong components within overall tax management, there are more important functions that are either at an early stage of development. Most of the strengths of the PRO are in the area of ​​services to taxpayers: a high degree of electronic filing that leads to good and timely filing; use of pre-filled tax returns, tax withholding at the time of payment and arrangements in the form of advance payments; extensive publication of data from its operations. The benefits of these strengths, however, are not fully exploited due to the poor state of the information (IT) system.</w:t>
            </w:r>
          </w:p>
        </w:tc>
      </w:tr>
      <w:tr w:rsidR="008F758B" w:rsidRPr="008C761D" w14:paraId="02F212D1" w14:textId="77777777" w:rsidTr="00F46E0B">
        <w:tc>
          <w:tcPr>
            <w:tcW w:w="993" w:type="dxa"/>
            <w:shd w:val="clear" w:color="auto" w:fill="DDDDDD"/>
          </w:tcPr>
          <w:p w14:paraId="0620887B" w14:textId="77777777" w:rsidR="008F758B" w:rsidRPr="00532C0E" w:rsidRDefault="006A55CA" w:rsidP="00DF185F">
            <w:pPr>
              <w:spacing w:before="80" w:after="0" w:line="240" w:lineRule="auto"/>
              <w:rPr>
                <w:rFonts w:cs="Calibri"/>
                <w:b/>
                <w:sz w:val="20"/>
                <w:szCs w:val="20"/>
                <w:lang w:val="en-US"/>
              </w:rPr>
            </w:pPr>
            <w:r w:rsidRPr="00532C0E">
              <w:rPr>
                <w:rFonts w:cs="Calibri"/>
                <w:b/>
                <w:sz w:val="20"/>
                <w:szCs w:val="20"/>
                <w:lang w:val="en-US"/>
              </w:rPr>
              <w:t>SB:</w:t>
            </w:r>
          </w:p>
          <w:p w14:paraId="29208D75" w14:textId="77777777" w:rsidR="008F758B" w:rsidRPr="008C761D" w:rsidRDefault="006A55CA" w:rsidP="00DF185F">
            <w:pPr>
              <w:spacing w:before="80" w:after="0" w:line="240" w:lineRule="auto"/>
              <w:jc w:val="both"/>
              <w:rPr>
                <w:rFonts w:eastAsia="Times New Roman" w:cs="Calibri"/>
                <w:color w:val="202124"/>
                <w:sz w:val="20"/>
                <w:szCs w:val="20"/>
                <w:lang w:val="en-US"/>
              </w:rPr>
            </w:pPr>
            <w:r w:rsidRPr="00532C0E">
              <w:rPr>
                <w:rFonts w:cs="Calibri"/>
                <w:b/>
                <w:sz w:val="20"/>
                <w:szCs w:val="20"/>
                <w:lang w:val="en-US"/>
              </w:rPr>
              <w:t>WB:</w:t>
            </w:r>
          </w:p>
        </w:tc>
        <w:tc>
          <w:tcPr>
            <w:tcW w:w="7587" w:type="dxa"/>
            <w:shd w:val="clear" w:color="auto" w:fill="DDDDDD"/>
          </w:tcPr>
          <w:p w14:paraId="60DF92E0"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Project on building effective, transparent and accountable public finance institutions, October 2022</w:t>
            </w:r>
          </w:p>
          <w:p w14:paraId="7C127F40"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Component 2: Strengthening tax management practices and systems in the PRO</w:t>
            </w:r>
          </w:p>
          <w:p w14:paraId="6CA8BF52"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The objective of component 2 is to strengthen the operational effectiveness of the work of the PRO with a focus on strengthening its tax compliance management system and certain administrative functions. Funding of certain activities is foreseen, which complements the current investments of the PRO in the development of the basic modules (registration, submission and service management, accounting, payment and refund, debt management, assessments, legal affairs, and audit) of the integrated tax information system which is implemented within the national budget.</w:t>
            </w:r>
          </w:p>
          <w:p w14:paraId="20C09D69"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Subcomponent 2.2– Improvement and expansion of the tax revenue management information systems of the PRO: This subcomponent will support the ongoing modernization of the PRO tax revenue management information system through a series of complementary activities that serve as a critical foundation of efforts to increase management effectiveness of income.</w:t>
            </w:r>
          </w:p>
          <w:p w14:paraId="186378EC" w14:textId="77777777" w:rsidR="008F758B" w:rsidRPr="008C761D" w:rsidRDefault="006A55CA" w:rsidP="00DF185F">
            <w:pPr>
              <w:spacing w:line="240" w:lineRule="auto"/>
              <w:jc w:val="both"/>
              <w:rPr>
                <w:rFonts w:cs="Calibri"/>
                <w:b/>
                <w:bCs/>
                <w:sz w:val="20"/>
                <w:szCs w:val="20"/>
                <w:u w:val="single"/>
                <w:lang w:val="en-US"/>
              </w:rPr>
            </w:pPr>
            <w:r w:rsidRPr="008C761D">
              <w:rPr>
                <w:rFonts w:cs="Calibri"/>
                <w:b/>
                <w:bCs/>
                <w:sz w:val="20"/>
                <w:szCs w:val="20"/>
                <w:u w:val="single"/>
                <w:lang w:val="en-US"/>
              </w:rPr>
              <w:t>TAX DIAMOND</w:t>
            </w:r>
          </w:p>
          <w:p w14:paraId="3B22BCEB"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xml:space="preserve">A World Bank (WB) team </w:t>
            </w:r>
            <w:proofErr w:type="gramStart"/>
            <w:r w:rsidRPr="008C761D">
              <w:rPr>
                <w:rFonts w:cs="Calibri"/>
                <w:sz w:val="20"/>
                <w:szCs w:val="20"/>
                <w:lang w:val="en-US"/>
              </w:rPr>
              <w:t>conducted an assessment of</w:t>
            </w:r>
            <w:proofErr w:type="gramEnd"/>
            <w:r w:rsidRPr="008C761D">
              <w:rPr>
                <w:rFonts w:cs="Calibri"/>
                <w:sz w:val="20"/>
                <w:szCs w:val="20"/>
                <w:lang w:val="en-US"/>
              </w:rPr>
              <w:t xml:space="preserve"> the tax administration of the PRO from June 15 - July 30, 2020.</w:t>
            </w:r>
          </w:p>
          <w:p w14:paraId="3EB64C47"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The assessment of the tax administration for the Public Revenue Office in North Macedonia lists the following recommendations, for which there is an opportunity for improvement:</w:t>
            </w:r>
          </w:p>
          <w:p w14:paraId="72990F84"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Data integration and development of a new integrated IT system that supports all basic tax administrative functions</w:t>
            </w:r>
          </w:p>
          <w:p w14:paraId="74F51EFB"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Change management process to ensure new system is developed, tested and introduced on time and within budget</w:t>
            </w:r>
          </w:p>
          <w:p w14:paraId="7AB26FE7"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Hardware / software upgrade</w:t>
            </w:r>
          </w:p>
          <w:p w14:paraId="2A7BE057"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Filling vacant IT positions</w:t>
            </w:r>
          </w:p>
          <w:p w14:paraId="6D5A20FA"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Starting with measuring the processing time of basic processes</w:t>
            </w:r>
          </w:p>
          <w:p w14:paraId="35AFF994"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Use of new technologies (eg, expanded use of big data, third-party data-responsive systems, use of artificial intelligence)</w:t>
            </w:r>
          </w:p>
          <w:p w14:paraId="7F7D3F4B" w14:textId="3E3DE54D"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Improvement of the business continuity plan</w:t>
            </w:r>
          </w:p>
        </w:tc>
      </w:tr>
      <w:tr w:rsidR="008F758B" w:rsidRPr="008C761D" w14:paraId="21984D5B" w14:textId="77777777" w:rsidTr="00F46E0B">
        <w:tc>
          <w:tcPr>
            <w:tcW w:w="993" w:type="dxa"/>
            <w:shd w:val="clear" w:color="auto" w:fill="DDDDDD"/>
          </w:tcPr>
          <w:p w14:paraId="1BC88510" w14:textId="77777777" w:rsidR="008F758B" w:rsidRPr="00532C0E" w:rsidRDefault="006A55CA" w:rsidP="00DF185F">
            <w:pPr>
              <w:spacing w:before="80" w:after="0" w:line="240" w:lineRule="auto"/>
              <w:jc w:val="both"/>
              <w:rPr>
                <w:rFonts w:eastAsia="Times New Roman" w:cs="Calibri"/>
                <w:b/>
                <w:color w:val="202124"/>
                <w:sz w:val="20"/>
                <w:szCs w:val="20"/>
                <w:lang w:val="en-US"/>
              </w:rPr>
            </w:pPr>
            <w:r w:rsidRPr="00532C0E">
              <w:rPr>
                <w:rFonts w:cs="Calibri"/>
                <w:b/>
                <w:sz w:val="20"/>
                <w:szCs w:val="20"/>
                <w:lang w:val="en-US"/>
              </w:rPr>
              <w:t>EU:</w:t>
            </w:r>
          </w:p>
        </w:tc>
        <w:tc>
          <w:tcPr>
            <w:tcW w:w="7587" w:type="dxa"/>
            <w:shd w:val="clear" w:color="auto" w:fill="DDDDDD"/>
          </w:tcPr>
          <w:p w14:paraId="76A585F0" w14:textId="77777777" w:rsidR="008F758B" w:rsidRPr="008C761D" w:rsidRDefault="006A55CA" w:rsidP="00DF185F">
            <w:pPr>
              <w:spacing w:line="240" w:lineRule="auto"/>
              <w:jc w:val="both"/>
              <w:rPr>
                <w:rFonts w:cs="Calibri"/>
                <w:b/>
                <w:bCs/>
                <w:sz w:val="20"/>
                <w:szCs w:val="20"/>
                <w:u w:val="single"/>
                <w:lang w:val="en-US"/>
              </w:rPr>
            </w:pPr>
            <w:r w:rsidRPr="008C761D">
              <w:rPr>
                <w:rFonts w:cs="Calibri"/>
                <w:b/>
                <w:bCs/>
                <w:sz w:val="20"/>
                <w:szCs w:val="20"/>
                <w:u w:val="single"/>
                <w:lang w:val="en-US"/>
              </w:rPr>
              <w:t>EU Report 2023 (Chapter 16-Taxation)</w:t>
            </w:r>
          </w:p>
          <w:p w14:paraId="471031D6"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 xml:space="preserve">North Macedonia is moderately prepared in the area of ​​taxation. </w:t>
            </w:r>
          </w:p>
          <w:p w14:paraId="5354BD13"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Since last year's recommendations were not fully implemented, they remain in effect. In the coming year, North Macedonia especially needs:</w:t>
            </w:r>
          </w:p>
          <w:p w14:paraId="74E6760A" w14:textId="77777777"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w:t>
            </w:r>
            <w:r w:rsidRPr="008C761D">
              <w:rPr>
                <w:rFonts w:cs="Calibri"/>
                <w:sz w:val="20"/>
                <w:szCs w:val="20"/>
                <w:lang w:val="en-US"/>
              </w:rPr>
              <w:tab/>
              <w:t>to develop a new integrated IT tax system for the Public Revenue Office (PRO), to improve its compliance in risk management and the process of strategic reforms of the PRO;</w:t>
            </w:r>
          </w:p>
          <w:p w14:paraId="0BBB0AC1" w14:textId="7DC638C3" w:rsidR="008F758B" w:rsidRPr="008C761D" w:rsidRDefault="006A55CA" w:rsidP="00532C0E">
            <w:pPr>
              <w:spacing w:after="0" w:line="240" w:lineRule="auto"/>
              <w:jc w:val="both"/>
              <w:rPr>
                <w:rFonts w:cs="Calibri"/>
                <w:sz w:val="20"/>
                <w:szCs w:val="20"/>
                <w:lang w:val="en-US"/>
              </w:rPr>
            </w:pPr>
            <w:r w:rsidRPr="008C761D">
              <w:rPr>
                <w:rFonts w:cs="Calibri"/>
                <w:sz w:val="20"/>
                <w:szCs w:val="20"/>
                <w:lang w:val="en-US"/>
              </w:rPr>
              <w:t>→</w:t>
            </w:r>
            <w:r w:rsidRPr="008C761D">
              <w:rPr>
                <w:rFonts w:cs="Calibri"/>
                <w:sz w:val="20"/>
                <w:szCs w:val="20"/>
                <w:lang w:val="en-US"/>
              </w:rPr>
              <w:tab/>
              <w:t>to start preparations for establishing a mechanism for the effective implementation of the automatic exchange of information on financial accounts with the EU member states, in accordance with the global standard of the OECD.</w:t>
            </w:r>
          </w:p>
        </w:tc>
      </w:tr>
      <w:tr w:rsidR="008F758B" w:rsidRPr="008C761D" w14:paraId="2809E376" w14:textId="77777777" w:rsidTr="00F46E0B">
        <w:tc>
          <w:tcPr>
            <w:tcW w:w="993" w:type="dxa"/>
            <w:shd w:val="clear" w:color="auto" w:fill="DDDDDD"/>
          </w:tcPr>
          <w:p w14:paraId="6ADC5B39" w14:textId="77777777" w:rsidR="008F758B" w:rsidRPr="00532C0E" w:rsidRDefault="006A55CA" w:rsidP="00DF185F">
            <w:pPr>
              <w:spacing w:before="80" w:after="0" w:line="240" w:lineRule="auto"/>
              <w:ind w:left="-94" w:right="-31"/>
              <w:rPr>
                <w:rFonts w:cs="Calibri"/>
                <w:b/>
                <w:sz w:val="20"/>
                <w:szCs w:val="20"/>
                <w:lang w:val="en-US"/>
              </w:rPr>
            </w:pPr>
            <w:r w:rsidRPr="00532C0E">
              <w:rPr>
                <w:rFonts w:cs="Calibri"/>
                <w:b/>
                <w:sz w:val="20"/>
                <w:szCs w:val="20"/>
                <w:lang w:val="en-US"/>
              </w:rPr>
              <w:lastRenderedPageBreak/>
              <w:t>Others:</w:t>
            </w:r>
          </w:p>
          <w:p w14:paraId="22A47845" w14:textId="77777777" w:rsidR="008F758B" w:rsidRPr="008C761D" w:rsidRDefault="008F758B" w:rsidP="00DF185F">
            <w:pPr>
              <w:spacing w:before="80" w:after="0" w:line="240" w:lineRule="auto"/>
              <w:ind w:left="-94" w:right="-31"/>
              <w:jc w:val="both"/>
              <w:rPr>
                <w:rFonts w:eastAsia="Times New Roman" w:cs="Calibri"/>
                <w:color w:val="202124"/>
                <w:sz w:val="20"/>
                <w:szCs w:val="20"/>
                <w:lang w:val="en-US"/>
              </w:rPr>
            </w:pPr>
          </w:p>
        </w:tc>
        <w:tc>
          <w:tcPr>
            <w:tcW w:w="7587" w:type="dxa"/>
            <w:shd w:val="clear" w:color="auto" w:fill="DDDDDD"/>
          </w:tcPr>
          <w:p w14:paraId="1AA6AB89" w14:textId="77777777" w:rsidR="008F758B" w:rsidRPr="008C761D" w:rsidRDefault="006A55CA" w:rsidP="00DF185F">
            <w:pPr>
              <w:spacing w:line="240" w:lineRule="auto"/>
              <w:jc w:val="both"/>
              <w:rPr>
                <w:rFonts w:cs="Calibri"/>
                <w:sz w:val="20"/>
                <w:szCs w:val="20"/>
                <w:lang w:val="en-US"/>
              </w:rPr>
            </w:pPr>
            <w:r w:rsidRPr="008C761D">
              <w:rPr>
                <w:rFonts w:cs="Calibri"/>
                <w:sz w:val="20"/>
                <w:szCs w:val="20"/>
                <w:lang w:val="en-US"/>
              </w:rPr>
              <w:t>Development and reengineering of work processes for the new tax integrated IT system – IPA2/EUIF The project "Development and restructuring of work processes for the new tax integrated IT system" was completed on 31.01.2019 and the modeled business processes (BPM2) were delivered that show the global scheme of the business processes to be reengineered and integrated into the new IT system ("TO-BE" system), a technical specification for the hardware and software for the new integrated IT system and for qual</w:t>
            </w:r>
            <w:r w:rsidR="008F758B" w:rsidRPr="008C761D">
              <w:rPr>
                <w:sz w:val="20"/>
                <w:szCs w:val="20"/>
                <w:lang w:val="en-US"/>
              </w:rPr>
              <w:t>i</w:t>
            </w:r>
            <w:r w:rsidRPr="008C761D">
              <w:rPr>
                <w:rFonts w:cs="Calibri"/>
                <w:sz w:val="20"/>
                <w:szCs w:val="20"/>
                <w:lang w:val="en-US"/>
              </w:rPr>
              <w:t>ty control - technical support for implementation has been delivered.</w:t>
            </w:r>
          </w:p>
          <w:p w14:paraId="070F70A7" w14:textId="77777777" w:rsidR="008F758B" w:rsidRPr="008C761D" w:rsidRDefault="006A55CA" w:rsidP="00DF185F">
            <w:pPr>
              <w:spacing w:line="240" w:lineRule="auto"/>
              <w:jc w:val="both"/>
              <w:rPr>
                <w:rFonts w:cs="Calibri"/>
                <w:b/>
                <w:bCs/>
                <w:i/>
                <w:iCs/>
                <w:sz w:val="20"/>
                <w:szCs w:val="20"/>
                <w:u w:val="single"/>
                <w:lang w:val="en-US"/>
              </w:rPr>
            </w:pPr>
            <w:r w:rsidRPr="008C761D">
              <w:rPr>
                <w:rFonts w:cs="Calibri"/>
                <w:b/>
                <w:bCs/>
                <w:i/>
                <w:iCs/>
                <w:sz w:val="20"/>
                <w:szCs w:val="20"/>
                <w:u w:val="single"/>
                <w:lang w:val="en-US"/>
              </w:rPr>
              <w:t>Twinning project of the EU with Austria and Croatia</w:t>
            </w:r>
          </w:p>
          <w:p w14:paraId="76616DE3" w14:textId="77777777" w:rsidR="008F758B" w:rsidRPr="008C761D" w:rsidRDefault="006A55CA" w:rsidP="00DF185F">
            <w:pPr>
              <w:spacing w:line="240" w:lineRule="auto"/>
              <w:jc w:val="both"/>
              <w:rPr>
                <w:rFonts w:cs="Calibri"/>
                <w:sz w:val="20"/>
                <w:szCs w:val="20"/>
                <w:lang w:val="en-US"/>
              </w:rPr>
            </w:pPr>
            <w:r w:rsidRPr="008C761D">
              <w:rPr>
                <w:rFonts w:cs="Calibri"/>
                <w:sz w:val="20"/>
                <w:szCs w:val="20"/>
                <w:lang w:val="en-US"/>
              </w:rPr>
              <w:t>The twinning project "Improving revenue collection and tax and customs policy" is implemented in the period 2020-2023 with the support of twinning partners from Austria and Croatia.</w:t>
            </w:r>
          </w:p>
          <w:p w14:paraId="12C198A6" w14:textId="77777777" w:rsidR="003C20E4" w:rsidRPr="008C761D" w:rsidRDefault="006A55CA" w:rsidP="00DF185F">
            <w:pPr>
              <w:spacing w:line="240" w:lineRule="auto"/>
              <w:jc w:val="both"/>
              <w:rPr>
                <w:rFonts w:cs="Calibri"/>
                <w:sz w:val="20"/>
                <w:szCs w:val="20"/>
                <w:lang w:val="en-US"/>
              </w:rPr>
            </w:pPr>
            <w:r w:rsidRPr="008C761D">
              <w:rPr>
                <w:rFonts w:cs="Calibri"/>
                <w:sz w:val="20"/>
                <w:szCs w:val="20"/>
                <w:lang w:val="en-US"/>
              </w:rPr>
              <w:t>The activities under Component 4: Operational and administrative capacities of the Public Revenue Office for the implementation of national legislation, IT services and procedures improved by the IPA twinning project "Improving revenue collection and tax and customs policy", relating to the Authority's capacities for public revenue for the implementation of improved tax legislation, the capacities in the areas of tax debt management, tax collection and tax assessment, detection of tax evasion using indirect methods for assessment of the internal audit function of undeclared income in the systems of internal control, professional and ethical standards for employee behavior, human resource management, public procurement, international exchange of information and improved modernization process of tax administration; Quality assurance for the new IT system, implemented e-services and business processes and Designed warehouse for data (prepared plan for data integration and establishment of data warehouse and plan for utilization of data for different analysis).</w:t>
            </w:r>
          </w:p>
        </w:tc>
      </w:tr>
    </w:tbl>
    <w:p w14:paraId="2D9D7695" w14:textId="30F5554F" w:rsidR="00A64FD7" w:rsidRPr="008C761D" w:rsidRDefault="00A64FD7" w:rsidP="00DF185F">
      <w:pPr>
        <w:pStyle w:val="CommentText"/>
        <w:rPr>
          <w:rFonts w:cs="Calibri"/>
          <w:bCs/>
          <w:sz w:val="22"/>
          <w:szCs w:val="22"/>
          <w:lang w:val="en-US"/>
        </w:rPr>
      </w:pPr>
    </w:p>
    <w:p w14:paraId="0CDAFD96" w14:textId="77777777" w:rsidR="00A64FD7" w:rsidRPr="008C761D" w:rsidRDefault="00A64FD7" w:rsidP="00DF185F">
      <w:pPr>
        <w:pStyle w:val="CommentText"/>
        <w:rPr>
          <w:rFonts w:cs="Calibri"/>
          <w:b/>
          <w:bCs/>
          <w:i/>
          <w:iCs/>
          <w:color w:val="4F81BD"/>
          <w:sz w:val="22"/>
          <w:szCs w:val="22"/>
          <w:lang w:val="en-US"/>
        </w:rPr>
      </w:pPr>
      <w:r w:rsidRPr="008C761D">
        <w:rPr>
          <w:rFonts w:cs="Calibri"/>
          <w:b/>
          <w:bCs/>
          <w:i/>
          <w:iCs/>
          <w:color w:val="4F81BD"/>
          <w:sz w:val="22"/>
          <w:szCs w:val="22"/>
          <w:lang w:val="en-US"/>
        </w:rPr>
        <w:t>Context / Background</w:t>
      </w:r>
    </w:p>
    <w:p w14:paraId="662C4125" w14:textId="77777777" w:rsidR="008C48FA" w:rsidRPr="008C761D" w:rsidRDefault="008C48FA" w:rsidP="00DF185F">
      <w:pPr>
        <w:spacing w:line="240" w:lineRule="auto"/>
        <w:jc w:val="both"/>
        <w:rPr>
          <w:rFonts w:cs="Calibri"/>
          <w:lang w:val="en-US"/>
        </w:rPr>
      </w:pPr>
      <w:r w:rsidRPr="008C761D">
        <w:rPr>
          <w:rFonts w:cs="Calibri"/>
          <w:lang w:val="en-US"/>
        </w:rPr>
        <w:t>The Public Revenue Office has a vision to become a model professional organization recognized for best practices and quality standards. In this direction, the mission of the PRO is to provide high quality services for taxpayers, simplified tax procedures for timely and accurate fulfillment of obligations and fair and efficient collection of taxes and other public charges.</w:t>
      </w:r>
    </w:p>
    <w:p w14:paraId="4ACC183C" w14:textId="77777777" w:rsidR="008C48FA" w:rsidRPr="008C761D" w:rsidRDefault="008C48FA" w:rsidP="00DF185F">
      <w:pPr>
        <w:spacing w:line="240" w:lineRule="auto"/>
        <w:jc w:val="both"/>
        <w:rPr>
          <w:rFonts w:cs="Calibri"/>
          <w:lang w:val="en-US"/>
        </w:rPr>
      </w:pPr>
      <w:r w:rsidRPr="008C761D">
        <w:rPr>
          <w:rFonts w:cs="Calibri"/>
          <w:lang w:val="en-US"/>
        </w:rPr>
        <w:t>The use of information technology has always been an integral part of the effective functioning of modern tax administration. Historically, the use of such technology was limited only to automation of taxpayer registration functions, automation of filing and processing of returns and management of taxpayer accounts, but now its use has been extended to almost all functions of tax administration. Also, the information systems for tax administration management have been developed from the former "basic tax system", which mainly consisted of the register of taxpayers, the database of tax returns and the accounts of taxpayers, to today's modern integrated "Information Systems for tax administration management" that provide a holistic view of the taxpayer across all aspects of tax administration.</w:t>
      </w:r>
    </w:p>
    <w:p w14:paraId="12CA8FF0" w14:textId="77777777" w:rsidR="008C48FA" w:rsidRPr="008C761D" w:rsidRDefault="008C48FA" w:rsidP="00DF185F">
      <w:pPr>
        <w:spacing w:line="240" w:lineRule="auto"/>
        <w:jc w:val="both"/>
        <w:rPr>
          <w:rFonts w:cs="Calibri"/>
          <w:lang w:val="en-US"/>
        </w:rPr>
      </w:pPr>
      <w:r w:rsidRPr="008C761D">
        <w:rPr>
          <w:rFonts w:cs="Calibri"/>
          <w:lang w:val="en-US"/>
        </w:rPr>
        <w:t>Legacy systems, which were used and some are still used, are limited in their functionality and have not evolved to meet the changing needs of tax administration. The key weakness of the PRO information system is the lack of real-time information and a reliable and clear picture of the taxpayer's compliance status. In addition, there are several ongoing reforms and initiatives aimed at promoting voluntary taxation, improving the effectiveness of taxpayer services and improving the business environment. These initiatives require the strengthening of IT systems and the development of appropriate functionalities in order to effectively utilize these efforts.</w:t>
      </w:r>
    </w:p>
    <w:p w14:paraId="0000B160" w14:textId="77777777" w:rsidR="008C48FA" w:rsidRPr="008C761D" w:rsidRDefault="008C48FA" w:rsidP="00DF185F">
      <w:pPr>
        <w:spacing w:line="240" w:lineRule="auto"/>
        <w:jc w:val="both"/>
        <w:rPr>
          <w:rFonts w:cs="Calibri"/>
          <w:lang w:val="en-US"/>
        </w:rPr>
      </w:pPr>
      <w:r w:rsidRPr="008C761D">
        <w:rPr>
          <w:rFonts w:cs="Calibri"/>
          <w:lang w:val="en-US"/>
        </w:rPr>
        <w:t xml:space="preserve">In that context, the implementation of the new tax system should not only address the current demands of the tax authorities, but should also address the most critical issues and limitations of the </w:t>
      </w:r>
      <w:r w:rsidRPr="008C761D">
        <w:rPr>
          <w:rFonts w:cs="Calibri"/>
          <w:lang w:val="en-US"/>
        </w:rPr>
        <w:lastRenderedPageBreak/>
        <w:t>existing systems, thus removing (or reducing) the current shortcomings. The new tax information system (IDIS) aims to improve the operational efficiency of tax administration functions, as well as increase revenues by strengthening compliance monitoring and improving taxpayer services.</w:t>
      </w:r>
    </w:p>
    <w:p w14:paraId="35A1526B" w14:textId="77777777" w:rsidR="008C48FA" w:rsidRPr="008C761D" w:rsidRDefault="008C48FA" w:rsidP="00DF185F">
      <w:pPr>
        <w:spacing w:line="240" w:lineRule="auto"/>
        <w:jc w:val="both"/>
        <w:rPr>
          <w:rFonts w:cs="Calibri"/>
          <w:lang w:val="en-US"/>
        </w:rPr>
      </w:pPr>
      <w:r w:rsidRPr="008C761D">
        <w:rPr>
          <w:rFonts w:cs="Calibri"/>
          <w:lang w:val="en-US"/>
        </w:rPr>
        <w:t>A 2014 PRO IT system study found that the PRO's existing IT system is outdated, fragmented, incomplete and inflexible in dealing with legislative changes. As a first step towards the introduction of a new integrated information system in the PRO from November 1, 2017 to January 31, 2019, the IPA 2 Project "Development and reengineering of business processes for the new tax integrated IT system" was implemented.</w:t>
      </w:r>
    </w:p>
    <w:p w14:paraId="08E3A29A" w14:textId="77777777" w:rsidR="008C48FA" w:rsidRPr="008C761D" w:rsidRDefault="008C48FA" w:rsidP="00DF185F">
      <w:pPr>
        <w:spacing w:line="240" w:lineRule="auto"/>
        <w:jc w:val="both"/>
        <w:rPr>
          <w:rFonts w:cs="Calibri"/>
          <w:lang w:val="en-US"/>
        </w:rPr>
      </w:pPr>
      <w:r w:rsidRPr="008C761D">
        <w:rPr>
          <w:rFonts w:cs="Calibri"/>
          <w:lang w:val="en-US"/>
        </w:rPr>
        <w:t>Based on the work processes defined in this project, a future model of an integrated tax IT system of the PRO was proposed, which will provide optimal processes for collection, reporting, analysis and risk management in accordance with the tax legislation.</w:t>
      </w:r>
    </w:p>
    <w:p w14:paraId="1FE19309" w14:textId="77777777" w:rsidR="008C48FA" w:rsidRPr="008C761D" w:rsidRDefault="008C48FA" w:rsidP="00DF185F">
      <w:pPr>
        <w:spacing w:line="240" w:lineRule="auto"/>
        <w:jc w:val="both"/>
        <w:rPr>
          <w:rFonts w:cs="Calibri"/>
          <w:lang w:val="en-US"/>
        </w:rPr>
      </w:pPr>
      <w:r w:rsidRPr="008C761D">
        <w:rPr>
          <w:rFonts w:cs="Calibri"/>
          <w:lang w:val="en-US"/>
        </w:rPr>
        <w:t>Several logical units are defined: registration, management of filling out tax returns and their receipt, assessment, forced collection, payments, refunds, accounting, audit, legal affairs, international cooperation, compliance management, service management and data exchange with external systems. Each of the logical units consists of several processes that support the required functionality. This project also defined the hardware architecture of the new IT system needed to support these workflows.</w:t>
      </w:r>
    </w:p>
    <w:p w14:paraId="2BD296BD" w14:textId="77777777" w:rsidR="008C48FA" w:rsidRPr="008C761D" w:rsidRDefault="008C48FA" w:rsidP="00DF185F">
      <w:pPr>
        <w:spacing w:line="240" w:lineRule="auto"/>
        <w:jc w:val="both"/>
        <w:rPr>
          <w:rFonts w:cs="Calibri"/>
          <w:lang w:val="en-US"/>
        </w:rPr>
      </w:pPr>
      <w:r w:rsidRPr="008C761D">
        <w:rPr>
          <w:rFonts w:cs="Calibri"/>
          <w:lang w:val="en-US"/>
        </w:rPr>
        <w:t>In January 2019, the Public Revenue Office adopted an IT strategy 2019-2022, which envisages using modern information and communication technology to provide a reliable and secure information system for the development of a flexible, efficient, effective, and service-oriented tax administration.</w:t>
      </w:r>
    </w:p>
    <w:p w14:paraId="48ED9BAA" w14:textId="77777777" w:rsidR="008C48FA" w:rsidRPr="008C761D" w:rsidRDefault="008C48FA" w:rsidP="00DF185F">
      <w:pPr>
        <w:spacing w:line="240" w:lineRule="auto"/>
        <w:jc w:val="both"/>
        <w:rPr>
          <w:rFonts w:cs="Calibri"/>
          <w:lang w:val="en-US"/>
        </w:rPr>
      </w:pPr>
      <w:r w:rsidRPr="008C761D">
        <w:rPr>
          <w:rFonts w:cs="Calibri"/>
          <w:lang w:val="en-US"/>
        </w:rPr>
        <w:t>The new ITIS is being developed as proprietary software (a web-based application based on an Oracle database) rather than COTS (due to budget / time constraints and sustainability issues).</w:t>
      </w:r>
    </w:p>
    <w:p w14:paraId="5E799BC7" w14:textId="77777777" w:rsidR="008C48FA" w:rsidRPr="008C761D" w:rsidRDefault="008C48FA" w:rsidP="00DF185F">
      <w:pPr>
        <w:spacing w:line="240" w:lineRule="auto"/>
        <w:jc w:val="both"/>
        <w:rPr>
          <w:rFonts w:cs="Calibri"/>
          <w:lang w:val="en-US"/>
        </w:rPr>
      </w:pPr>
      <w:r w:rsidRPr="008C761D">
        <w:rPr>
          <w:rFonts w:cs="Calibri"/>
          <w:lang w:val="en-US"/>
        </w:rPr>
        <w:t xml:space="preserve">Considering the above, the activities/sub-activities related to the establishment of the new Integrated Tax Information System (ITIS), which in the PFM Program 2018-2021 are foreseen to be realized in the period 2022-2024, are transferred to the new PFM Program 2024-2027. </w:t>
      </w:r>
    </w:p>
    <w:p w14:paraId="7A5A0505" w14:textId="77777777" w:rsidR="008C48FA" w:rsidRPr="008C761D" w:rsidRDefault="008C48FA" w:rsidP="00DF185F">
      <w:pPr>
        <w:spacing w:line="240" w:lineRule="auto"/>
        <w:jc w:val="both"/>
        <w:rPr>
          <w:rFonts w:cs="Calibri"/>
          <w:lang w:val="en-US"/>
        </w:rPr>
      </w:pPr>
      <w:r w:rsidRPr="008C761D">
        <w:rPr>
          <w:rFonts w:cs="Calibri"/>
          <w:lang w:val="en-US"/>
        </w:rPr>
        <w:t>With the amendments to the Law on the Public Revenue Office, which are in force from 05/03/2023. the formal organization and structure for the implementation of the digital transformation reform of the PRO has been arranged. In accordance with the legal provisions, the Director of the Public Revenue Office with a decision dated 05/18/2023. established a Working Body for the implementation of a Tax Information System, whose task is: implementation, upgrading, optimization, execution, regulation, maintenance, control, staff education and analysis of all processes and functionalities related to the tax information system. In the month of August 2023, the working body proposed a holistic and comprehensive Draft Program for the implementation of the Tax Information System 2023-2028, which presents the vision for redesigned business processes and new tax services that will be automated and digitized through the new information system, the vision for compliance management based on the processing of mass data and the use of tools for business intelligence and the provision of IT security and stability. By the end of 2023, the working body will prepare a complete Program with all supporting documents that will set the road map for implementing this holistic reform in the PRO. In order to monitor the implementation of the program more effectively, the PRO established a Reform Committee.</w:t>
      </w:r>
    </w:p>
    <w:p w14:paraId="6A7F87F3" w14:textId="77777777" w:rsidR="008C48FA" w:rsidRPr="008C761D" w:rsidRDefault="008C48FA" w:rsidP="00DF185F">
      <w:pPr>
        <w:spacing w:line="240" w:lineRule="auto"/>
        <w:jc w:val="both"/>
        <w:rPr>
          <w:rFonts w:cs="Calibri"/>
          <w:lang w:val="en-US"/>
        </w:rPr>
      </w:pPr>
      <w:r w:rsidRPr="008C761D">
        <w:rPr>
          <w:rFonts w:cs="Calibri"/>
          <w:lang w:val="en-US"/>
        </w:rPr>
        <w:t>Part of the financial resources for the new Tax Information System have been provided through the project "Building effective, transparent and accountable institutions for the management of public finances", which became effective with the conclusion of an Agreement with the World Bank, namely:</w:t>
      </w:r>
    </w:p>
    <w:p w14:paraId="398F6E4A" w14:textId="77777777" w:rsidR="008C48FA" w:rsidRPr="008C761D" w:rsidRDefault="008C48FA" w:rsidP="00DF185F">
      <w:pPr>
        <w:spacing w:line="240" w:lineRule="auto"/>
        <w:jc w:val="both"/>
        <w:rPr>
          <w:rFonts w:cs="Calibri"/>
          <w:lang w:val="en-US"/>
        </w:rPr>
      </w:pPr>
      <w:r w:rsidRPr="008C761D">
        <w:rPr>
          <w:rFonts w:cs="Calibri"/>
          <w:lang w:val="en-US"/>
        </w:rPr>
        <w:lastRenderedPageBreak/>
        <w:t>(i)</w:t>
      </w:r>
      <w:r w:rsidRPr="008C761D">
        <w:rPr>
          <w:rFonts w:cs="Calibri"/>
          <w:lang w:val="en-US"/>
        </w:rPr>
        <w:tab/>
        <w:t>IT solutions for the modernization of taxpayer services by improving the e-Taxes/e-Services portal and additional online opportunities to support citizen engagement in the tax domain through feedback mechanisms, smart applications, or other software tools</w:t>
      </w:r>
    </w:p>
    <w:p w14:paraId="4E86CDC5" w14:textId="77777777" w:rsidR="008C48FA" w:rsidRPr="008C761D" w:rsidRDefault="008C48FA" w:rsidP="00DF185F">
      <w:pPr>
        <w:spacing w:line="240" w:lineRule="auto"/>
        <w:jc w:val="both"/>
        <w:rPr>
          <w:rFonts w:cs="Calibri"/>
          <w:lang w:val="en-US"/>
        </w:rPr>
      </w:pPr>
      <w:r w:rsidRPr="008C761D">
        <w:rPr>
          <w:rFonts w:cs="Calibri"/>
          <w:lang w:val="en-US"/>
        </w:rPr>
        <w:t>(ii)</w:t>
      </w:r>
      <w:r w:rsidRPr="008C761D">
        <w:rPr>
          <w:rFonts w:cs="Calibri"/>
          <w:lang w:val="en-US"/>
        </w:rPr>
        <w:tab/>
        <w:t>Data warehouse and business intelligence tools - Software and hardware required for the new DW for online analytical processing, statistics and reporting and software required for the development of risk management tools for compliance and decision-making process in the PRO</w:t>
      </w:r>
    </w:p>
    <w:p w14:paraId="2490E3F2" w14:textId="77777777" w:rsidR="008C48FA" w:rsidRPr="008C761D" w:rsidRDefault="008C48FA" w:rsidP="00DF185F">
      <w:pPr>
        <w:spacing w:line="240" w:lineRule="auto"/>
        <w:jc w:val="both"/>
        <w:rPr>
          <w:rFonts w:cs="Calibri"/>
          <w:lang w:val="en-US"/>
        </w:rPr>
      </w:pPr>
      <w:r w:rsidRPr="008C761D">
        <w:rPr>
          <w:rFonts w:cs="Calibri"/>
          <w:lang w:val="en-US"/>
        </w:rPr>
        <w:t>(iii)</w:t>
      </w:r>
      <w:r w:rsidRPr="008C761D">
        <w:rPr>
          <w:rFonts w:cs="Calibri"/>
          <w:lang w:val="en-US"/>
        </w:rPr>
        <w:tab/>
        <w:t>Combined Call Center/Help Desk - Software and Hardware Required to Set Up a Call Center/Help Desk</w:t>
      </w:r>
    </w:p>
    <w:p w14:paraId="65858B89" w14:textId="77777777" w:rsidR="008C48FA" w:rsidRPr="008C761D" w:rsidRDefault="008C48FA" w:rsidP="00DF185F">
      <w:pPr>
        <w:spacing w:line="240" w:lineRule="auto"/>
        <w:jc w:val="both"/>
        <w:rPr>
          <w:rFonts w:cs="Calibri"/>
          <w:lang w:val="en-US"/>
        </w:rPr>
      </w:pPr>
      <w:r w:rsidRPr="008C761D">
        <w:rPr>
          <w:rFonts w:cs="Calibri"/>
          <w:lang w:val="en-US"/>
        </w:rPr>
        <w:t>(iv)</w:t>
      </w:r>
      <w:r w:rsidRPr="008C761D">
        <w:rPr>
          <w:rFonts w:cs="Calibri"/>
          <w:lang w:val="en-US"/>
        </w:rPr>
        <w:tab/>
        <w:t>Hardware required for the implementation of the tax information system modules - Procurement and installation of additional servers, data storage units, replication systems and other solutions required for the implementation of the tax information system modules (including the e-invoicing module), expansion of the tax information system operations in the existing the PRO data center and the new joint Disaster Recovery Centre managed by the Ministry of Interior.</w:t>
      </w:r>
    </w:p>
    <w:p w14:paraId="62D62620" w14:textId="4FDB2CDB" w:rsidR="00AE0C5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xml:space="preserve">This activity is expected to end in 2027, during which the following </w:t>
      </w:r>
      <w:r w:rsidR="00070786" w:rsidRPr="008C761D">
        <w:rPr>
          <w:rFonts w:eastAsia="Calibri" w:cs="Calibri"/>
          <w:b w:val="0"/>
          <w:bCs w:val="0"/>
          <w:i w:val="0"/>
          <w:iCs w:val="0"/>
          <w:color w:val="auto"/>
          <w:sz w:val="22"/>
          <w:szCs w:val="22"/>
          <w:lang w:val="en-US" w:eastAsia="en-US"/>
        </w:rPr>
        <w:t>activities</w:t>
      </w:r>
      <w:r w:rsidRPr="008C761D" w:rsidDel="008F758B">
        <w:rPr>
          <w:rFonts w:eastAsia="Calibri" w:cs="Calibri"/>
          <w:b w:val="0"/>
          <w:bCs w:val="0"/>
          <w:i w:val="0"/>
          <w:iCs w:val="0"/>
          <w:color w:val="auto"/>
          <w:sz w:val="22"/>
          <w:szCs w:val="22"/>
          <w:lang w:val="en-US" w:eastAsia="en-US"/>
        </w:rPr>
        <w:t xml:space="preserve"> </w:t>
      </w:r>
      <w:r w:rsidRPr="008C761D">
        <w:rPr>
          <w:rFonts w:eastAsia="Calibri" w:cs="Calibri"/>
          <w:b w:val="0"/>
          <w:bCs w:val="0"/>
          <w:i w:val="0"/>
          <w:iCs w:val="0"/>
          <w:color w:val="auto"/>
          <w:sz w:val="22"/>
          <w:szCs w:val="22"/>
          <w:lang w:val="en-US" w:eastAsia="en-US"/>
        </w:rPr>
        <w:t>will be implemented:</w:t>
      </w:r>
    </w:p>
    <w:p w14:paraId="515E656F" w14:textId="77777777" w:rsidR="00532C0E" w:rsidRPr="00532C0E" w:rsidRDefault="00532C0E" w:rsidP="00DF185F">
      <w:pPr>
        <w:spacing w:line="240" w:lineRule="auto"/>
        <w:jc w:val="both"/>
        <w:rPr>
          <w:sz w:val="10"/>
          <w:szCs w:val="10"/>
          <w:lang w:val="en-US"/>
        </w:rPr>
      </w:pPr>
    </w:p>
    <w:p w14:paraId="2294ECF4" w14:textId="099918F0" w:rsidR="008C48FA" w:rsidRPr="008C761D" w:rsidRDefault="008C48FA" w:rsidP="00DF185F">
      <w:pPr>
        <w:spacing w:line="240" w:lineRule="auto"/>
        <w:jc w:val="both"/>
        <w:rPr>
          <w:rFonts w:cs="Calibri"/>
          <w:b/>
          <w:bCs/>
          <w:iCs/>
          <w:color w:val="4F81BD"/>
          <w:lang w:val="en-US"/>
        </w:rPr>
      </w:pPr>
      <w:r w:rsidRPr="008C761D">
        <w:rPr>
          <w:rFonts w:cs="Calibri"/>
          <w:b/>
          <w:bCs/>
          <w:iCs/>
          <w:color w:val="4F81BD"/>
          <w:lang w:val="en-US"/>
        </w:rPr>
        <w:t>Activity 1: Component 1. Completion of the remaining modules of the Integrated Tax Information System</w:t>
      </w:r>
    </w:p>
    <w:p w14:paraId="64A79830" w14:textId="77777777" w:rsidR="008C48F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Development of functional and technical specification and initiation of public procurement procedure for a new tax information system to support the tax functions of the PRO</w:t>
      </w:r>
    </w:p>
    <w:p w14:paraId="0C865317" w14:textId="77777777" w:rsidR="008C48F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Starting with a phased implementation of the performance of a new Tax Information System</w:t>
      </w:r>
    </w:p>
    <w:p w14:paraId="0C91FAA5" w14:textId="46CAD44E" w:rsidR="003E6E80" w:rsidRDefault="008C48FA" w:rsidP="00532C0E">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Continuation of the phased implementation of the performance of a new Tax Information System</w:t>
      </w:r>
    </w:p>
    <w:p w14:paraId="6E3F906C" w14:textId="77777777" w:rsidR="00532C0E" w:rsidRPr="00532C0E" w:rsidRDefault="00532C0E" w:rsidP="00532C0E">
      <w:pPr>
        <w:rPr>
          <w:sz w:val="10"/>
          <w:szCs w:val="10"/>
          <w:lang w:val="en-US"/>
        </w:rPr>
      </w:pPr>
    </w:p>
    <w:p w14:paraId="157A49CD" w14:textId="6DB7C038" w:rsidR="00AE0C5A" w:rsidRPr="008C761D" w:rsidRDefault="008F758B" w:rsidP="00DF185F">
      <w:pPr>
        <w:spacing w:line="240" w:lineRule="auto"/>
        <w:jc w:val="both"/>
        <w:rPr>
          <w:rFonts w:cs="Calibri"/>
          <w:b/>
          <w:bCs/>
          <w:iCs/>
          <w:color w:val="4F81BD"/>
          <w:lang w:val="en-US"/>
        </w:rPr>
      </w:pPr>
      <w:r w:rsidRPr="008C761D">
        <w:rPr>
          <w:rFonts w:cs="Calibri"/>
          <w:b/>
          <w:bCs/>
          <w:iCs/>
          <w:color w:val="4F81BD"/>
          <w:lang w:val="en-US"/>
        </w:rPr>
        <w:t>Activity</w:t>
      </w:r>
      <w:r w:rsidR="00EB301D" w:rsidRPr="008C761D">
        <w:rPr>
          <w:rFonts w:cs="Calibri"/>
          <w:b/>
          <w:bCs/>
          <w:iCs/>
          <w:color w:val="4F81BD"/>
          <w:lang w:val="en-US"/>
        </w:rPr>
        <w:t xml:space="preserve"> </w:t>
      </w:r>
      <w:r w:rsidRPr="008C761D">
        <w:rPr>
          <w:rFonts w:cs="Calibri"/>
          <w:b/>
          <w:bCs/>
          <w:iCs/>
          <w:color w:val="4F81BD"/>
          <w:lang w:val="en-US"/>
        </w:rPr>
        <w:t>2:</w:t>
      </w:r>
      <w:r w:rsidR="0020483D" w:rsidRPr="008C761D">
        <w:rPr>
          <w:rFonts w:cs="Calibri"/>
          <w:b/>
          <w:bCs/>
          <w:iCs/>
          <w:color w:val="4F81BD"/>
          <w:lang w:val="en-US"/>
        </w:rPr>
        <w:t xml:space="preserve"> </w:t>
      </w:r>
      <w:r w:rsidR="002D005D" w:rsidRPr="008C761D">
        <w:rPr>
          <w:rFonts w:cs="Calibri"/>
          <w:b/>
          <w:bCs/>
          <w:iCs/>
          <w:color w:val="4F81BD"/>
          <w:lang w:val="en-US"/>
        </w:rPr>
        <w:t xml:space="preserve">Component 2. </w:t>
      </w:r>
      <w:r w:rsidR="006A55CA" w:rsidRPr="008C761D">
        <w:rPr>
          <w:rFonts w:cs="Calibri"/>
          <w:b/>
          <w:bCs/>
          <w:iCs/>
          <w:color w:val="4F81BD"/>
          <w:lang w:val="en-US"/>
        </w:rPr>
        <w:t>Ensuring IS security (Information System) and smooth functioning of the integrated tax information system</w:t>
      </w:r>
    </w:p>
    <w:p w14:paraId="7C9B8724" w14:textId="23E7410C" w:rsidR="008C48F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Increasing the security of IT systems of the PRO</w:t>
      </w:r>
    </w:p>
    <w:p w14:paraId="759C6A82" w14:textId="77777777" w:rsidR="008C48F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Development and restructuring of the IT subsystems of the PRO</w:t>
      </w:r>
    </w:p>
    <w:p w14:paraId="0CAEF5F1" w14:textId="77777777" w:rsidR="008C48FA" w:rsidRPr="008C761D" w:rsidRDefault="008C48FA" w:rsidP="00DF185F">
      <w:pPr>
        <w:pStyle w:val="Heading4"/>
        <w:spacing w:line="240" w:lineRule="auto"/>
        <w:rPr>
          <w:rFonts w:eastAsia="Calibri" w:cs="Calibri"/>
          <w:b w:val="0"/>
          <w:bCs w:val="0"/>
          <w:i w:val="0"/>
          <w:iCs w:val="0"/>
          <w:color w:val="auto"/>
          <w:sz w:val="22"/>
          <w:szCs w:val="22"/>
          <w:lang w:val="en-US" w:eastAsia="en-US"/>
        </w:rPr>
      </w:pPr>
      <w:r w:rsidRPr="008C761D">
        <w:rPr>
          <w:rFonts w:eastAsia="Calibri" w:cs="Calibri"/>
          <w:b w:val="0"/>
          <w:bCs w:val="0"/>
          <w:i w:val="0"/>
          <w:iCs w:val="0"/>
          <w:color w:val="auto"/>
          <w:sz w:val="22"/>
          <w:szCs w:val="22"/>
          <w:lang w:val="en-US" w:eastAsia="en-US"/>
        </w:rPr>
        <w:t>- Establishment of a Disaster Recovery Center</w:t>
      </w:r>
    </w:p>
    <w:p w14:paraId="03AE8FB0" w14:textId="77777777" w:rsidR="00A64FD7" w:rsidRPr="008C761D" w:rsidRDefault="00A64FD7" w:rsidP="00AE0C5A">
      <w:pPr>
        <w:pStyle w:val="Heading4"/>
        <w:spacing w:line="240" w:lineRule="auto"/>
        <w:rPr>
          <w:rFonts w:eastAsia="Calibri" w:cs="Calibri"/>
          <w:bCs w:val="0"/>
          <w:iCs w:val="0"/>
          <w:color w:val="0070C0"/>
          <w:sz w:val="22"/>
          <w:szCs w:val="22"/>
          <w:lang w:val="en-US" w:eastAsia="en-US"/>
        </w:rPr>
      </w:pPr>
      <w:r w:rsidRPr="008C761D">
        <w:rPr>
          <w:rFonts w:eastAsia="Calibri" w:cs="Calibri"/>
          <w:bCs w:val="0"/>
          <w:iCs w:val="0"/>
          <w:color w:val="0070C0"/>
          <w:sz w:val="22"/>
          <w:szCs w:val="22"/>
          <w:lang w:val="en-US" w:eastAsia="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0832C6" w:rsidRPr="008C761D" w14:paraId="194D9DF2" w14:textId="77777777" w:rsidTr="008D2403">
        <w:tc>
          <w:tcPr>
            <w:tcW w:w="2518" w:type="dxa"/>
            <w:tcBorders>
              <w:top w:val="nil"/>
              <w:bottom w:val="single" w:sz="4" w:space="0" w:color="FFFFFF"/>
            </w:tcBorders>
            <w:shd w:val="clear" w:color="auto" w:fill="1F3864"/>
          </w:tcPr>
          <w:p w14:paraId="5ACAFFAB" w14:textId="62D578FE"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Completed</w:t>
            </w:r>
            <w:r w:rsidR="00070786">
              <w:rPr>
                <w:rFonts w:cs="Calibri"/>
                <w:b/>
                <w:sz w:val="20"/>
                <w:szCs w:val="20"/>
                <w:lang w:val="en-US"/>
              </w:rPr>
              <w:t xml:space="preserve"> </w:t>
            </w:r>
            <w:r w:rsidRPr="008C761D">
              <w:rPr>
                <w:rFonts w:cs="Calibri"/>
                <w:b/>
                <w:sz w:val="20"/>
                <w:szCs w:val="20"/>
                <w:lang w:val="en-US"/>
              </w:rPr>
              <w:t>in</w:t>
            </w:r>
            <w:r w:rsidR="00070786">
              <w:rPr>
                <w:rFonts w:cs="Calibri"/>
                <w:b/>
                <w:sz w:val="20"/>
                <w:szCs w:val="20"/>
                <w:lang w:val="en-US"/>
              </w:rPr>
              <w:t xml:space="preserve"> </w:t>
            </w:r>
            <w:r w:rsidRPr="008C761D">
              <w:rPr>
                <w:rFonts w:cs="Calibri"/>
                <w:b/>
                <w:sz w:val="20"/>
                <w:szCs w:val="20"/>
                <w:lang w:val="en-US"/>
              </w:rPr>
              <w:t>year:</w:t>
            </w:r>
          </w:p>
        </w:tc>
        <w:tc>
          <w:tcPr>
            <w:tcW w:w="6246" w:type="dxa"/>
            <w:tcBorders>
              <w:top w:val="nil"/>
              <w:bottom w:val="single" w:sz="4" w:space="0" w:color="FFFFFF"/>
            </w:tcBorders>
            <w:shd w:val="clear" w:color="auto" w:fill="D9E2F3"/>
          </w:tcPr>
          <w:p w14:paraId="38BF2DD2" w14:textId="77777777" w:rsidR="000832C6" w:rsidRPr="008C761D" w:rsidRDefault="000832C6"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AE0C5A" w:rsidRPr="008C761D">
              <w:rPr>
                <w:rFonts w:cs="Calibri"/>
                <w:sz w:val="20"/>
                <w:szCs w:val="20"/>
                <w:lang w:val="en-US"/>
              </w:rPr>
              <w:t>7</w:t>
            </w:r>
          </w:p>
        </w:tc>
      </w:tr>
      <w:tr w:rsidR="000832C6" w:rsidRPr="008C761D" w14:paraId="06A33AB3" w14:textId="77777777" w:rsidTr="008D2403">
        <w:tc>
          <w:tcPr>
            <w:tcW w:w="2518" w:type="dxa"/>
            <w:tcBorders>
              <w:top w:val="single" w:sz="4" w:space="0" w:color="FFFFFF"/>
              <w:bottom w:val="single" w:sz="4" w:space="0" w:color="FFFFFF"/>
            </w:tcBorders>
            <w:shd w:val="clear" w:color="auto" w:fill="1F3864"/>
          </w:tcPr>
          <w:p w14:paraId="51B0F96C" w14:textId="77777777"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Deliverables:</w:t>
            </w:r>
          </w:p>
        </w:tc>
        <w:tc>
          <w:tcPr>
            <w:tcW w:w="6246" w:type="dxa"/>
            <w:tcBorders>
              <w:top w:val="single" w:sz="4" w:space="0" w:color="FFFFFF"/>
              <w:bottom w:val="single" w:sz="4" w:space="0" w:color="FFFFFF"/>
            </w:tcBorders>
            <w:shd w:val="clear" w:color="auto" w:fill="D9E2F3"/>
          </w:tcPr>
          <w:p w14:paraId="0D5D7A08" w14:textId="262D77DC" w:rsidR="000832C6" w:rsidRPr="00532C0E" w:rsidRDefault="000832C6" w:rsidP="00532C0E">
            <w:pPr>
              <w:pStyle w:val="ListParagraph"/>
              <w:numPr>
                <w:ilvl w:val="0"/>
                <w:numId w:val="7"/>
              </w:numPr>
              <w:tabs>
                <w:tab w:val="left" w:pos="183"/>
              </w:tabs>
              <w:spacing w:after="0" w:line="240" w:lineRule="auto"/>
              <w:ind w:left="543" w:hanging="543"/>
              <w:rPr>
                <w:rFonts w:cs="Calibri"/>
                <w:sz w:val="20"/>
                <w:szCs w:val="20"/>
                <w:lang w:val="en-US"/>
              </w:rPr>
            </w:pPr>
            <w:r w:rsidRPr="00532C0E">
              <w:rPr>
                <w:rFonts w:cs="Calibri"/>
                <w:sz w:val="20"/>
                <w:szCs w:val="20"/>
                <w:lang w:val="en-US"/>
              </w:rPr>
              <w:t>New SOFTWARE</w:t>
            </w:r>
          </w:p>
          <w:p w14:paraId="561F378F" w14:textId="4BE7D03E" w:rsidR="000832C6" w:rsidRPr="00532C0E" w:rsidRDefault="000832C6" w:rsidP="00532C0E">
            <w:pPr>
              <w:pStyle w:val="ListParagraph"/>
              <w:numPr>
                <w:ilvl w:val="0"/>
                <w:numId w:val="7"/>
              </w:numPr>
              <w:tabs>
                <w:tab w:val="left" w:pos="183"/>
              </w:tabs>
              <w:spacing w:after="0" w:line="240" w:lineRule="auto"/>
              <w:ind w:left="543" w:hanging="543"/>
              <w:rPr>
                <w:rFonts w:cs="Calibri"/>
                <w:sz w:val="20"/>
                <w:szCs w:val="20"/>
                <w:lang w:val="en-US"/>
              </w:rPr>
            </w:pPr>
            <w:r w:rsidRPr="00532C0E">
              <w:rPr>
                <w:rFonts w:cs="Calibri"/>
                <w:sz w:val="20"/>
                <w:szCs w:val="20"/>
                <w:lang w:val="en-US"/>
              </w:rPr>
              <w:t>New HARDWARE</w:t>
            </w:r>
          </w:p>
        </w:tc>
      </w:tr>
      <w:tr w:rsidR="000832C6" w:rsidRPr="008C761D" w14:paraId="23D783A6" w14:textId="77777777" w:rsidTr="008D2403">
        <w:tc>
          <w:tcPr>
            <w:tcW w:w="2518" w:type="dxa"/>
            <w:tcBorders>
              <w:top w:val="single" w:sz="4" w:space="0" w:color="FFFFFF"/>
              <w:bottom w:val="single" w:sz="4" w:space="0" w:color="FFFFFF"/>
            </w:tcBorders>
            <w:shd w:val="clear" w:color="auto" w:fill="1F3864"/>
          </w:tcPr>
          <w:p w14:paraId="3F0F9F06" w14:textId="7EEDD782"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Costs</w:t>
            </w:r>
            <w:r w:rsidR="00070786">
              <w:rPr>
                <w:rFonts w:cs="Calibri"/>
                <w:b/>
                <w:sz w:val="20"/>
                <w:szCs w:val="20"/>
                <w:lang w:val="en-US"/>
              </w:rPr>
              <w:t xml:space="preserve"> </w:t>
            </w:r>
            <w:r w:rsidRPr="008C761D">
              <w:rPr>
                <w:rFonts w:cs="Calibri"/>
                <w:b/>
                <w:sz w:val="20"/>
                <w:szCs w:val="20"/>
                <w:lang w:val="en-US"/>
              </w:rPr>
              <w:t>implications:</w:t>
            </w:r>
          </w:p>
        </w:tc>
        <w:tc>
          <w:tcPr>
            <w:tcW w:w="6246" w:type="dxa"/>
            <w:tcBorders>
              <w:top w:val="single" w:sz="4" w:space="0" w:color="FFFFFF"/>
              <w:bottom w:val="single" w:sz="4" w:space="0" w:color="FFFFFF"/>
            </w:tcBorders>
            <w:shd w:val="clear" w:color="auto" w:fill="D9E2F3"/>
          </w:tcPr>
          <w:p w14:paraId="55547348" w14:textId="121AA4F5" w:rsidR="000832C6" w:rsidRPr="008C761D" w:rsidRDefault="009220E2" w:rsidP="00E84CD0">
            <w:pPr>
              <w:tabs>
                <w:tab w:val="left" w:pos="1526"/>
              </w:tabs>
              <w:spacing w:after="0" w:line="240" w:lineRule="auto"/>
              <w:jc w:val="both"/>
              <w:rPr>
                <w:rFonts w:cs="Calibri"/>
                <w:sz w:val="20"/>
                <w:szCs w:val="20"/>
                <w:lang w:val="en-US"/>
              </w:rPr>
            </w:pPr>
            <w:r w:rsidRPr="008C761D">
              <w:rPr>
                <w:rFonts w:cs="Calibri"/>
                <w:sz w:val="20"/>
                <w:szCs w:val="20"/>
                <w:lang w:val="en-US"/>
              </w:rPr>
              <w:t xml:space="preserve">EUR </w:t>
            </w:r>
            <w:r w:rsidR="008F758B" w:rsidRPr="008C761D">
              <w:rPr>
                <w:rFonts w:cs="Calibri"/>
                <w:sz w:val="20"/>
                <w:szCs w:val="20"/>
                <w:lang w:val="en-US"/>
              </w:rPr>
              <w:t>13.145.000</w:t>
            </w:r>
          </w:p>
        </w:tc>
      </w:tr>
      <w:tr w:rsidR="000832C6" w:rsidRPr="008C761D" w14:paraId="36399D4B" w14:textId="77777777" w:rsidTr="008D2403">
        <w:tc>
          <w:tcPr>
            <w:tcW w:w="2518" w:type="dxa"/>
            <w:tcBorders>
              <w:top w:val="single" w:sz="4" w:space="0" w:color="FFFFFF"/>
              <w:bottom w:val="single" w:sz="4" w:space="0" w:color="FFFFFF"/>
            </w:tcBorders>
            <w:shd w:val="clear" w:color="auto" w:fill="1F3864"/>
          </w:tcPr>
          <w:p w14:paraId="1DE23FC3" w14:textId="33F7285A"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Responsible</w:t>
            </w:r>
            <w:r w:rsidR="00070786">
              <w:rPr>
                <w:rFonts w:cs="Calibri"/>
                <w:b/>
                <w:sz w:val="20"/>
                <w:szCs w:val="20"/>
                <w:lang w:val="en-US"/>
              </w:rPr>
              <w:t xml:space="preserve"> </w:t>
            </w:r>
            <w:r w:rsidRPr="008C761D">
              <w:rPr>
                <w:rFonts w:cs="Calibri"/>
                <w:b/>
                <w:sz w:val="20"/>
                <w:szCs w:val="20"/>
                <w:lang w:val="en-US"/>
              </w:rPr>
              <w:t xml:space="preserve">entity: </w:t>
            </w:r>
          </w:p>
        </w:tc>
        <w:tc>
          <w:tcPr>
            <w:tcW w:w="6246" w:type="dxa"/>
            <w:tcBorders>
              <w:top w:val="single" w:sz="4" w:space="0" w:color="FFFFFF"/>
              <w:bottom w:val="single" w:sz="4" w:space="0" w:color="FFFFFF"/>
            </w:tcBorders>
            <w:shd w:val="clear" w:color="auto" w:fill="D9E2F3"/>
          </w:tcPr>
          <w:p w14:paraId="0BB4E81F" w14:textId="65704E17" w:rsidR="000832C6" w:rsidRPr="008C761D" w:rsidRDefault="000832C6" w:rsidP="00E84CD0">
            <w:pPr>
              <w:tabs>
                <w:tab w:val="left" w:pos="4219"/>
              </w:tabs>
              <w:spacing w:after="0" w:line="240" w:lineRule="auto"/>
              <w:jc w:val="both"/>
              <w:rPr>
                <w:rFonts w:cs="Calibri"/>
                <w:sz w:val="20"/>
                <w:szCs w:val="20"/>
                <w:lang w:val="en-US"/>
              </w:rPr>
            </w:pPr>
            <w:r w:rsidRPr="008C761D">
              <w:rPr>
                <w:rFonts w:cs="Calibri"/>
                <w:sz w:val="20"/>
                <w:szCs w:val="20"/>
                <w:lang w:val="en-US"/>
              </w:rPr>
              <w:t>Public</w:t>
            </w:r>
            <w:r w:rsidR="00A917C2">
              <w:rPr>
                <w:rFonts w:cs="Calibri"/>
                <w:sz w:val="20"/>
                <w:szCs w:val="20"/>
                <w:lang w:val="en-US"/>
              </w:rPr>
              <w:t xml:space="preserve"> </w:t>
            </w:r>
            <w:r w:rsidRPr="008C761D">
              <w:rPr>
                <w:rFonts w:cs="Calibri"/>
                <w:sz w:val="20"/>
                <w:szCs w:val="20"/>
                <w:lang w:val="en-US"/>
              </w:rPr>
              <w:t>Revenue Office</w:t>
            </w:r>
          </w:p>
        </w:tc>
      </w:tr>
      <w:tr w:rsidR="000832C6" w:rsidRPr="008C761D" w14:paraId="3BF39D73" w14:textId="77777777" w:rsidTr="008D2403">
        <w:tc>
          <w:tcPr>
            <w:tcW w:w="2518" w:type="dxa"/>
            <w:tcBorders>
              <w:top w:val="single" w:sz="4" w:space="0" w:color="FFFFFF"/>
              <w:bottom w:val="nil"/>
            </w:tcBorders>
            <w:shd w:val="clear" w:color="auto" w:fill="1F3864"/>
          </w:tcPr>
          <w:p w14:paraId="5B540A48" w14:textId="77777777" w:rsidR="000832C6" w:rsidRPr="008C761D" w:rsidRDefault="000832C6" w:rsidP="00E84CD0">
            <w:pPr>
              <w:spacing w:line="240" w:lineRule="auto"/>
              <w:jc w:val="both"/>
              <w:rPr>
                <w:rFonts w:cs="Calibri"/>
                <w:b/>
                <w:sz w:val="20"/>
                <w:szCs w:val="20"/>
                <w:lang w:val="en-US"/>
              </w:rPr>
            </w:pPr>
            <w:r w:rsidRPr="008C761D">
              <w:rPr>
                <w:rFonts w:cs="Calibri"/>
                <w:b/>
                <w:sz w:val="20"/>
                <w:szCs w:val="20"/>
                <w:lang w:val="en-US"/>
              </w:rPr>
              <w:t>Risk:</w:t>
            </w:r>
          </w:p>
        </w:tc>
        <w:tc>
          <w:tcPr>
            <w:tcW w:w="6246" w:type="dxa"/>
            <w:tcBorders>
              <w:top w:val="single" w:sz="4" w:space="0" w:color="FFFFFF"/>
              <w:bottom w:val="nil"/>
            </w:tcBorders>
            <w:shd w:val="clear" w:color="auto" w:fill="D9E2F3"/>
          </w:tcPr>
          <w:p w14:paraId="62751D46" w14:textId="77777777" w:rsidR="008C48FA" w:rsidRPr="008C761D" w:rsidRDefault="008C48FA" w:rsidP="00532C0E">
            <w:pPr>
              <w:numPr>
                <w:ilvl w:val="0"/>
                <w:numId w:val="7"/>
              </w:numPr>
              <w:tabs>
                <w:tab w:val="left" w:pos="273"/>
              </w:tabs>
              <w:spacing w:after="0" w:line="240" w:lineRule="auto"/>
              <w:ind w:left="317" w:hanging="283"/>
              <w:jc w:val="both"/>
              <w:rPr>
                <w:rFonts w:cs="Calibri"/>
                <w:sz w:val="20"/>
                <w:szCs w:val="20"/>
                <w:lang w:val="en-US"/>
              </w:rPr>
            </w:pPr>
            <w:r w:rsidRPr="008C761D">
              <w:rPr>
                <w:rFonts w:cs="Calibri"/>
                <w:sz w:val="20"/>
                <w:szCs w:val="20"/>
                <w:lang w:val="en-US"/>
              </w:rPr>
              <w:t>Insufficient commitment to reform</w:t>
            </w:r>
          </w:p>
          <w:p w14:paraId="41F0DFBF" w14:textId="77777777" w:rsidR="008C48FA" w:rsidRPr="008C761D" w:rsidRDefault="008C48FA" w:rsidP="00532C0E">
            <w:pPr>
              <w:numPr>
                <w:ilvl w:val="0"/>
                <w:numId w:val="7"/>
              </w:numPr>
              <w:tabs>
                <w:tab w:val="left" w:pos="273"/>
              </w:tabs>
              <w:spacing w:after="0" w:line="240" w:lineRule="auto"/>
              <w:ind w:left="317" w:hanging="283"/>
              <w:jc w:val="both"/>
              <w:rPr>
                <w:rFonts w:cs="Calibri"/>
                <w:sz w:val="20"/>
                <w:szCs w:val="20"/>
                <w:lang w:val="en-US"/>
              </w:rPr>
            </w:pPr>
            <w:r w:rsidRPr="008C761D">
              <w:rPr>
                <w:rFonts w:cs="Calibri"/>
                <w:sz w:val="20"/>
                <w:szCs w:val="20"/>
                <w:lang w:val="en-US"/>
              </w:rPr>
              <w:t>Lack of finance</w:t>
            </w:r>
          </w:p>
          <w:p w14:paraId="50C469A5" w14:textId="77777777" w:rsidR="008C48FA" w:rsidRPr="008C761D" w:rsidRDefault="008C48FA" w:rsidP="00532C0E">
            <w:pPr>
              <w:numPr>
                <w:ilvl w:val="0"/>
                <w:numId w:val="7"/>
              </w:numPr>
              <w:tabs>
                <w:tab w:val="left" w:pos="273"/>
              </w:tabs>
              <w:spacing w:after="0" w:line="240" w:lineRule="auto"/>
              <w:ind w:left="317" w:hanging="283"/>
              <w:jc w:val="both"/>
              <w:rPr>
                <w:rFonts w:cs="Calibri"/>
                <w:sz w:val="20"/>
                <w:szCs w:val="20"/>
                <w:lang w:val="en-US"/>
              </w:rPr>
            </w:pPr>
            <w:r w:rsidRPr="008C761D">
              <w:rPr>
                <w:rFonts w:cs="Calibri"/>
                <w:sz w:val="20"/>
                <w:szCs w:val="20"/>
                <w:lang w:val="en-US"/>
              </w:rPr>
              <w:t>Lack of capacity and commitment of the employees of the PRO, especially the IT staff</w:t>
            </w:r>
          </w:p>
          <w:p w14:paraId="1A15AED1" w14:textId="77777777" w:rsidR="008C48FA" w:rsidRPr="008C761D" w:rsidRDefault="008C48FA" w:rsidP="00532C0E">
            <w:pPr>
              <w:numPr>
                <w:ilvl w:val="0"/>
                <w:numId w:val="7"/>
              </w:numPr>
              <w:tabs>
                <w:tab w:val="left" w:pos="273"/>
              </w:tabs>
              <w:spacing w:after="0" w:line="240" w:lineRule="auto"/>
              <w:ind w:left="317" w:hanging="283"/>
              <w:jc w:val="both"/>
              <w:rPr>
                <w:rFonts w:cs="Calibri"/>
                <w:sz w:val="20"/>
                <w:szCs w:val="20"/>
                <w:lang w:val="en-US"/>
              </w:rPr>
            </w:pPr>
            <w:r w:rsidRPr="008C761D">
              <w:rPr>
                <w:rFonts w:cs="Calibri"/>
                <w:sz w:val="20"/>
                <w:szCs w:val="20"/>
                <w:lang w:val="en-US"/>
              </w:rPr>
              <w:t>Major changes in legal provisions</w:t>
            </w:r>
          </w:p>
          <w:p w14:paraId="4A83C399" w14:textId="77777777" w:rsidR="000832C6" w:rsidRPr="008C761D" w:rsidRDefault="000832C6" w:rsidP="00AE0C5A">
            <w:pPr>
              <w:tabs>
                <w:tab w:val="left" w:pos="122"/>
              </w:tabs>
              <w:spacing w:after="0" w:line="240" w:lineRule="auto"/>
              <w:ind w:left="317"/>
              <w:jc w:val="both"/>
              <w:rPr>
                <w:rFonts w:cs="Calibri"/>
                <w:sz w:val="20"/>
                <w:szCs w:val="20"/>
                <w:lang w:val="en-US"/>
              </w:rPr>
            </w:pPr>
          </w:p>
        </w:tc>
      </w:tr>
    </w:tbl>
    <w:p w14:paraId="0BEC0897" w14:textId="77777777" w:rsidR="00A64FD7" w:rsidRPr="008C761D" w:rsidRDefault="00A64FD7" w:rsidP="00E84CD0">
      <w:pPr>
        <w:spacing w:line="240" w:lineRule="auto"/>
        <w:jc w:val="both"/>
        <w:rPr>
          <w:rFonts w:cs="Calibri"/>
          <w:b/>
          <w:color w:val="C00000"/>
          <w:lang w:val="en-US"/>
        </w:rPr>
      </w:pPr>
    </w:p>
    <w:p w14:paraId="00F1CA00" w14:textId="77777777" w:rsidR="00532C0E" w:rsidRPr="00532C0E" w:rsidRDefault="00532C0E" w:rsidP="00E84CD0">
      <w:pPr>
        <w:pStyle w:val="Heading1"/>
        <w:spacing w:line="240" w:lineRule="auto"/>
        <w:jc w:val="both"/>
        <w:rPr>
          <w:rFonts w:ascii="Calibri" w:hAnsi="Calibri" w:cs="Calibri"/>
          <w:color w:val="2F5496"/>
          <w:sz w:val="10"/>
          <w:szCs w:val="10"/>
          <w:lang w:val="en-US"/>
        </w:rPr>
      </w:pPr>
    </w:p>
    <w:p w14:paraId="79124B17" w14:textId="48FF306E" w:rsidR="00A64FD7" w:rsidRPr="00532C0E" w:rsidRDefault="00A64FD7" w:rsidP="00E84CD0">
      <w:pPr>
        <w:pStyle w:val="Heading1"/>
        <w:spacing w:line="240" w:lineRule="auto"/>
        <w:jc w:val="both"/>
        <w:rPr>
          <w:rFonts w:ascii="Calibri" w:hAnsi="Calibri" w:cs="Calibri"/>
          <w:color w:val="0070C0"/>
          <w:sz w:val="28"/>
          <w:szCs w:val="28"/>
          <w:lang w:val="en-US"/>
        </w:rPr>
      </w:pPr>
      <w:bookmarkStart w:id="29" w:name="_Toc160611816"/>
      <w:r w:rsidRPr="00532C0E">
        <w:rPr>
          <w:rFonts w:ascii="Calibri" w:hAnsi="Calibri" w:cs="Calibri"/>
          <w:color w:val="0070C0"/>
          <w:sz w:val="28"/>
          <w:szCs w:val="28"/>
          <w:lang w:val="en-US"/>
        </w:rPr>
        <w:t>Priority 3: Customs</w:t>
      </w:r>
      <w:bookmarkEnd w:id="29"/>
    </w:p>
    <w:p w14:paraId="4DD7A113" w14:textId="77777777"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54F14672" w14:textId="2E8BC653" w:rsidR="008C48FA" w:rsidRPr="008C761D" w:rsidRDefault="008C48FA" w:rsidP="008C48FA">
      <w:pPr>
        <w:spacing w:line="240" w:lineRule="auto"/>
        <w:jc w:val="both"/>
        <w:rPr>
          <w:rFonts w:cs="Calibri"/>
          <w:lang w:val="en-US"/>
        </w:rPr>
      </w:pPr>
      <w:r w:rsidRPr="008C761D">
        <w:rPr>
          <w:rFonts w:cs="Calibri"/>
          <w:lang w:val="en-US"/>
        </w:rPr>
        <w:t xml:space="preserve">Implementation of accelerated and facilitated customs procedures properly controlled without causing delays in the flow of goods and passengers, with strengthened control mechanisms. Ensure </w:t>
      </w:r>
      <w:r w:rsidR="00A917C2" w:rsidRPr="008C761D">
        <w:rPr>
          <w:rFonts w:cs="Calibri"/>
          <w:lang w:val="en-US"/>
        </w:rPr>
        <w:t>efficient</w:t>
      </w:r>
      <w:r w:rsidRPr="008C761D">
        <w:rPr>
          <w:rFonts w:cs="Calibri"/>
          <w:lang w:val="en-US"/>
        </w:rPr>
        <w:t xml:space="preserve"> revenue collection, modernization and digitalization, by following the recommendations for harmonization and association with the EU.</w:t>
      </w:r>
    </w:p>
    <w:p w14:paraId="5C0A3C02" w14:textId="77777777" w:rsidR="003A338C" w:rsidRPr="008C761D" w:rsidRDefault="003A338C" w:rsidP="003A338C">
      <w:pPr>
        <w:spacing w:line="240" w:lineRule="auto"/>
        <w:jc w:val="both"/>
        <w:rPr>
          <w:rFonts w:cs="Calibri"/>
          <w:lang w:val="en-US"/>
        </w:rPr>
      </w:pPr>
      <w:r w:rsidRPr="008C761D">
        <w:rPr>
          <w:rFonts w:cs="Calibri"/>
          <w:lang w:val="en-US"/>
        </w:rPr>
        <w:t>The goal of this priority will be achieved through the following measures and activities:</w:t>
      </w:r>
    </w:p>
    <w:tbl>
      <w:tblPr>
        <w:tblW w:w="8812" w:type="dxa"/>
        <w:tblInd w:w="378" w:type="dxa"/>
        <w:tblLayout w:type="fixed"/>
        <w:tblLook w:val="01E0" w:firstRow="1" w:lastRow="1" w:firstColumn="1" w:lastColumn="1" w:noHBand="0" w:noVBand="0"/>
      </w:tblPr>
      <w:tblGrid>
        <w:gridCol w:w="1431"/>
        <w:gridCol w:w="7381"/>
      </w:tblGrid>
      <w:tr w:rsidR="004A38AA" w:rsidRPr="008C761D" w14:paraId="2161B258" w14:textId="77777777" w:rsidTr="00D4719C">
        <w:trPr>
          <w:trHeight w:val="614"/>
        </w:trPr>
        <w:tc>
          <w:tcPr>
            <w:tcW w:w="1431" w:type="dxa"/>
            <w:shd w:val="clear" w:color="auto" w:fill="auto"/>
          </w:tcPr>
          <w:p w14:paraId="03A9E8AE" w14:textId="72DC12CC" w:rsidR="004A38AA" w:rsidRPr="008C761D" w:rsidRDefault="003A338C" w:rsidP="003A338C">
            <w:pPr>
              <w:spacing w:line="240" w:lineRule="auto"/>
              <w:ind w:right="-48"/>
              <w:rPr>
                <w:rFonts w:cs="Calibri"/>
                <w:b/>
                <w:lang w:val="en-US"/>
              </w:rPr>
            </w:pPr>
            <w:r w:rsidRPr="008C761D">
              <w:rPr>
                <w:rFonts w:cs="Calibri"/>
                <w:b/>
                <w:lang w:val="en-US"/>
              </w:rPr>
              <w:t>Measur</w:t>
            </w:r>
            <w:r w:rsidR="00EB301D" w:rsidRPr="008C761D">
              <w:rPr>
                <w:rFonts w:cs="Calibri"/>
                <w:b/>
                <w:lang w:val="en-US"/>
              </w:rPr>
              <w:t>e</w:t>
            </w:r>
            <w:r w:rsidRPr="008C761D">
              <w:rPr>
                <w:rFonts w:cs="Calibri"/>
                <w:b/>
                <w:lang w:val="en-US"/>
              </w:rPr>
              <w:t xml:space="preserve"> 1:</w:t>
            </w:r>
          </w:p>
        </w:tc>
        <w:tc>
          <w:tcPr>
            <w:tcW w:w="7381" w:type="dxa"/>
            <w:shd w:val="clear" w:color="auto" w:fill="auto"/>
          </w:tcPr>
          <w:p w14:paraId="28500878" w14:textId="6F3FD822" w:rsidR="004A38AA" w:rsidRPr="008C761D" w:rsidRDefault="003A338C" w:rsidP="00E84CD0">
            <w:pPr>
              <w:spacing w:line="240" w:lineRule="auto"/>
              <w:jc w:val="both"/>
              <w:rPr>
                <w:rFonts w:cs="Calibri"/>
                <w:lang w:val="en-US"/>
              </w:rPr>
            </w:pPr>
            <w:r w:rsidRPr="008C761D">
              <w:rPr>
                <w:rFonts w:cs="Calibri"/>
                <w:b/>
                <w:lang w:val="en-US"/>
              </w:rPr>
              <w:t>Strengthening joint control mechanisms and capacities in order to combat illegal trade and organized crime</w:t>
            </w:r>
          </w:p>
        </w:tc>
      </w:tr>
      <w:tr w:rsidR="004A38AA" w:rsidRPr="008C761D" w14:paraId="477348C2" w14:textId="77777777" w:rsidTr="00D4719C">
        <w:trPr>
          <w:trHeight w:val="1263"/>
        </w:trPr>
        <w:tc>
          <w:tcPr>
            <w:tcW w:w="1431" w:type="dxa"/>
            <w:shd w:val="clear" w:color="auto" w:fill="auto"/>
          </w:tcPr>
          <w:p w14:paraId="3C03B023" w14:textId="1497E46B" w:rsidR="004A38AA" w:rsidRPr="008C761D" w:rsidRDefault="003A338C" w:rsidP="00E84CD0">
            <w:pPr>
              <w:spacing w:line="240" w:lineRule="auto"/>
              <w:jc w:val="both"/>
              <w:rPr>
                <w:rFonts w:cs="Calibri"/>
                <w:lang w:val="en-US"/>
              </w:rPr>
            </w:pPr>
            <w:r w:rsidRPr="008C761D">
              <w:rPr>
                <w:rFonts w:cs="Calibri"/>
                <w:lang w:val="en-US"/>
              </w:rPr>
              <w:t>Activity 1:</w:t>
            </w:r>
          </w:p>
        </w:tc>
        <w:tc>
          <w:tcPr>
            <w:tcW w:w="7381" w:type="dxa"/>
            <w:shd w:val="clear" w:color="auto" w:fill="auto"/>
          </w:tcPr>
          <w:p w14:paraId="74890435" w14:textId="3A9E6394" w:rsidR="004A38AA" w:rsidRPr="008C761D" w:rsidRDefault="003A338C" w:rsidP="00E84CD0">
            <w:pPr>
              <w:spacing w:line="240" w:lineRule="auto"/>
              <w:jc w:val="both"/>
              <w:rPr>
                <w:rFonts w:cs="Calibri"/>
                <w:lang w:val="en-US"/>
              </w:rPr>
            </w:pPr>
            <w:r w:rsidRPr="008C761D">
              <w:rPr>
                <w:rFonts w:cs="Calibri"/>
                <w:lang w:val="en-US"/>
              </w:rPr>
              <w:t>Equipping with modern and reliable control equipment and appropriate training for employees, in order to protect financial and economic interests, guarantee the safety and security of citizens, environmental protection and protection from unfair and illicit trade</w:t>
            </w:r>
          </w:p>
        </w:tc>
      </w:tr>
      <w:tr w:rsidR="004A38AA" w:rsidRPr="008C761D" w14:paraId="0EF4A13B" w14:textId="77777777" w:rsidTr="00D4719C">
        <w:trPr>
          <w:trHeight w:val="458"/>
        </w:trPr>
        <w:tc>
          <w:tcPr>
            <w:tcW w:w="1431" w:type="dxa"/>
            <w:shd w:val="clear" w:color="auto" w:fill="auto"/>
          </w:tcPr>
          <w:p w14:paraId="2CBB1CB6" w14:textId="77777777" w:rsidR="004A38AA" w:rsidRPr="008C761D" w:rsidRDefault="004A38AA" w:rsidP="00E84CD0">
            <w:pPr>
              <w:spacing w:line="240" w:lineRule="auto"/>
              <w:jc w:val="both"/>
              <w:rPr>
                <w:rFonts w:cs="Calibri"/>
                <w:b/>
                <w:lang w:val="en-US"/>
              </w:rPr>
            </w:pPr>
            <w:r w:rsidRPr="008C761D">
              <w:rPr>
                <w:rFonts w:cs="Calibri"/>
                <w:b/>
                <w:lang w:val="en-US"/>
              </w:rPr>
              <w:t>Measure 2:</w:t>
            </w:r>
          </w:p>
        </w:tc>
        <w:tc>
          <w:tcPr>
            <w:tcW w:w="7381" w:type="dxa"/>
            <w:shd w:val="clear" w:color="auto" w:fill="auto"/>
          </w:tcPr>
          <w:p w14:paraId="21492A9E" w14:textId="1651CBAA" w:rsidR="004A38AA" w:rsidRPr="008C761D" w:rsidRDefault="003A338C" w:rsidP="00E84CD0">
            <w:pPr>
              <w:spacing w:line="240" w:lineRule="auto"/>
              <w:jc w:val="both"/>
              <w:rPr>
                <w:rFonts w:cs="Calibri"/>
                <w:b/>
                <w:lang w:val="en-US"/>
              </w:rPr>
            </w:pPr>
            <w:r w:rsidRPr="008C761D">
              <w:rPr>
                <w:rFonts w:cs="Calibri"/>
                <w:b/>
                <w:lang w:val="en-US"/>
              </w:rPr>
              <w:t>Modernization of customs services and their digitalization</w:t>
            </w:r>
          </w:p>
        </w:tc>
      </w:tr>
      <w:tr w:rsidR="004A38AA" w:rsidRPr="008C761D" w14:paraId="36448584" w14:textId="77777777" w:rsidTr="00D4719C">
        <w:trPr>
          <w:trHeight w:val="991"/>
        </w:trPr>
        <w:tc>
          <w:tcPr>
            <w:tcW w:w="1431" w:type="dxa"/>
            <w:shd w:val="clear" w:color="auto" w:fill="auto"/>
          </w:tcPr>
          <w:p w14:paraId="59D9FFE4" w14:textId="77777777" w:rsidR="004A38AA" w:rsidRPr="008C761D" w:rsidRDefault="004A38AA" w:rsidP="00E84CD0">
            <w:pPr>
              <w:spacing w:line="240" w:lineRule="auto"/>
              <w:jc w:val="both"/>
              <w:rPr>
                <w:rFonts w:cs="Calibri"/>
                <w:lang w:val="en-US"/>
              </w:rPr>
            </w:pPr>
            <w:r w:rsidRPr="008C761D">
              <w:rPr>
                <w:rFonts w:cs="Calibri"/>
                <w:lang w:val="en-US"/>
              </w:rPr>
              <w:t>Activity 1:</w:t>
            </w:r>
          </w:p>
        </w:tc>
        <w:tc>
          <w:tcPr>
            <w:tcW w:w="7381" w:type="dxa"/>
            <w:shd w:val="clear" w:color="auto" w:fill="auto"/>
          </w:tcPr>
          <w:p w14:paraId="1B3AB528" w14:textId="7FE47608" w:rsidR="00EA4DEC" w:rsidRPr="008C761D" w:rsidRDefault="003A338C" w:rsidP="00E84CD0">
            <w:pPr>
              <w:spacing w:line="240" w:lineRule="auto"/>
              <w:jc w:val="both"/>
              <w:rPr>
                <w:rFonts w:cs="Calibri"/>
                <w:lang w:val="en-US"/>
              </w:rPr>
            </w:pPr>
            <w:bookmarkStart w:id="30" w:name="_Hlk89937138"/>
            <w:r w:rsidRPr="008C761D">
              <w:rPr>
                <w:rFonts w:cs="Calibri"/>
                <w:lang w:val="en-US"/>
              </w:rPr>
              <w:t>Implementation of modern systems in order to comply with the Multiannual Strategic Plan of the EU (MASP), integration with European systems and procurement of appropriate hardware.</w:t>
            </w:r>
            <w:bookmarkEnd w:id="30"/>
          </w:p>
        </w:tc>
      </w:tr>
      <w:tr w:rsidR="00EA4DEC" w:rsidRPr="008C761D" w14:paraId="5EEDCB0A" w14:textId="77777777" w:rsidTr="00EA4DEC">
        <w:trPr>
          <w:trHeight w:val="558"/>
        </w:trPr>
        <w:tc>
          <w:tcPr>
            <w:tcW w:w="1431" w:type="dxa"/>
            <w:shd w:val="clear" w:color="auto" w:fill="auto"/>
          </w:tcPr>
          <w:p w14:paraId="57BFC78E" w14:textId="77777777" w:rsidR="00EA4DEC" w:rsidRPr="00D11D72" w:rsidRDefault="00EA4DEC" w:rsidP="00EA4DEC">
            <w:pPr>
              <w:spacing w:after="0" w:line="240" w:lineRule="auto"/>
              <w:jc w:val="both"/>
              <w:rPr>
                <w:rFonts w:cs="Calibri"/>
                <w:b/>
                <w:bCs/>
                <w:lang w:val="en-US"/>
              </w:rPr>
            </w:pPr>
            <w:r w:rsidRPr="00D11D72">
              <w:rPr>
                <w:rFonts w:cs="Calibri"/>
                <w:b/>
                <w:bCs/>
                <w:lang w:val="en-US"/>
              </w:rPr>
              <w:t>Measure 3:</w:t>
            </w:r>
          </w:p>
          <w:p w14:paraId="46B983C0" w14:textId="77777777" w:rsidR="00EA4DEC" w:rsidRPr="008C761D" w:rsidRDefault="00EA4DEC" w:rsidP="00EA4DEC">
            <w:pPr>
              <w:spacing w:after="0" w:line="240" w:lineRule="auto"/>
              <w:jc w:val="center"/>
              <w:rPr>
                <w:rFonts w:cs="Calibri"/>
                <w:lang w:val="en-US"/>
              </w:rPr>
            </w:pPr>
          </w:p>
        </w:tc>
        <w:tc>
          <w:tcPr>
            <w:tcW w:w="7381" w:type="dxa"/>
            <w:shd w:val="clear" w:color="auto" w:fill="auto"/>
          </w:tcPr>
          <w:p w14:paraId="5600273A" w14:textId="254B70DA" w:rsidR="00EA4DEC" w:rsidRPr="00EA4DEC" w:rsidRDefault="00EA4DEC" w:rsidP="00EA4DEC">
            <w:pPr>
              <w:spacing w:after="0" w:line="240" w:lineRule="auto"/>
              <w:jc w:val="both"/>
              <w:rPr>
                <w:rFonts w:cs="Calibri"/>
                <w:b/>
                <w:bCs/>
                <w:lang w:val="en-US"/>
              </w:rPr>
            </w:pPr>
            <w:bookmarkStart w:id="31" w:name="_Hlk160019548"/>
            <w:r w:rsidRPr="00D11D72">
              <w:rPr>
                <w:rFonts w:cs="Calibri"/>
                <w:b/>
                <w:bCs/>
                <w:lang w:val="en-US"/>
              </w:rPr>
              <w:t>Adequate monitoring of excise good sand collection of excise duties</w:t>
            </w:r>
            <w:bookmarkEnd w:id="31"/>
          </w:p>
        </w:tc>
      </w:tr>
      <w:tr w:rsidR="00EA4DEC" w:rsidRPr="008C761D" w14:paraId="2A43A382" w14:textId="77777777" w:rsidTr="00D4719C">
        <w:trPr>
          <w:trHeight w:val="991"/>
        </w:trPr>
        <w:tc>
          <w:tcPr>
            <w:tcW w:w="1431" w:type="dxa"/>
            <w:shd w:val="clear" w:color="auto" w:fill="auto"/>
          </w:tcPr>
          <w:p w14:paraId="6831B023" w14:textId="77777777" w:rsidR="00EA4DEC" w:rsidRDefault="00EA4DEC" w:rsidP="00EA4DEC">
            <w:pPr>
              <w:spacing w:after="0" w:line="240" w:lineRule="auto"/>
              <w:jc w:val="both"/>
              <w:rPr>
                <w:rFonts w:cs="Calibri"/>
                <w:lang w:val="en-US"/>
              </w:rPr>
            </w:pPr>
            <w:r>
              <w:rPr>
                <w:rFonts w:cs="Calibri"/>
                <w:lang w:val="en-US"/>
              </w:rPr>
              <w:t>Activity 1:</w:t>
            </w:r>
          </w:p>
          <w:p w14:paraId="4DC53B5F" w14:textId="77777777" w:rsidR="00EA4DEC" w:rsidRPr="00D11D72" w:rsidRDefault="00EA4DEC" w:rsidP="00EA4DEC">
            <w:pPr>
              <w:spacing w:after="0" w:line="240" w:lineRule="auto"/>
              <w:jc w:val="both"/>
              <w:rPr>
                <w:rFonts w:cs="Calibri"/>
                <w:b/>
                <w:bCs/>
                <w:lang w:val="en-US"/>
              </w:rPr>
            </w:pPr>
          </w:p>
        </w:tc>
        <w:tc>
          <w:tcPr>
            <w:tcW w:w="7381" w:type="dxa"/>
            <w:shd w:val="clear" w:color="auto" w:fill="auto"/>
          </w:tcPr>
          <w:p w14:paraId="228382F5" w14:textId="2C80775E" w:rsidR="00EA4DEC" w:rsidRPr="00D11D72" w:rsidRDefault="00EA4DEC" w:rsidP="00EA4DEC">
            <w:pPr>
              <w:spacing w:after="0" w:line="240" w:lineRule="auto"/>
              <w:jc w:val="both"/>
              <w:rPr>
                <w:rFonts w:cs="Calibri"/>
                <w:b/>
                <w:bCs/>
                <w:lang w:val="en-US"/>
              </w:rPr>
            </w:pPr>
            <w:bookmarkStart w:id="32" w:name="_Hlk160018561"/>
            <w:r>
              <w:rPr>
                <w:rStyle w:val="rynqvb"/>
              </w:rPr>
              <w:t>Establishing a system for marking and tracking tobacco products (cigarettes) through the TRACK&amp;TRACE system</w:t>
            </w:r>
            <w:bookmarkEnd w:id="32"/>
          </w:p>
        </w:tc>
      </w:tr>
    </w:tbl>
    <w:p w14:paraId="7DC2E574" w14:textId="77777777"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r w:rsidR="00813F23" w:rsidRPr="008C761D">
        <w:rPr>
          <w:rFonts w:eastAsia="MS PGothic" w:cs="Calibri"/>
          <w:b/>
          <w:bCs/>
          <w:i/>
          <w:iCs/>
          <w:color w:val="4F81BD"/>
          <w:lang w:val="en-US" w:eastAsia="zh-CN"/>
        </w:rPr>
        <w:t>s</w:t>
      </w:r>
    </w:p>
    <w:p w14:paraId="38E97E70" w14:textId="77777777" w:rsidR="004A38AA" w:rsidRPr="008C761D" w:rsidRDefault="004A38AA" w:rsidP="003A338C">
      <w:pPr>
        <w:numPr>
          <w:ilvl w:val="0"/>
          <w:numId w:val="26"/>
        </w:numPr>
        <w:spacing w:after="120" w:line="240" w:lineRule="auto"/>
        <w:ind w:left="714" w:hanging="357"/>
        <w:jc w:val="both"/>
        <w:rPr>
          <w:rFonts w:cs="Calibri"/>
          <w:color w:val="000000"/>
          <w:lang w:val="en-US"/>
        </w:rPr>
      </w:pPr>
      <w:r w:rsidRPr="008C761D">
        <w:rPr>
          <w:rFonts w:cs="Calibri"/>
          <w:color w:val="000000"/>
          <w:lang w:val="en-US"/>
        </w:rPr>
        <w:t>Availability of innovative equipment and training of staff for detection and control in order to: control without disturbance, detection of hidden objects on persons, radiation detection, sampling and analysis of samples, manual search;</w:t>
      </w:r>
    </w:p>
    <w:p w14:paraId="70A46CB8" w14:textId="4C62427A" w:rsidR="004A38AA" w:rsidRDefault="004A38AA" w:rsidP="003A338C">
      <w:pPr>
        <w:numPr>
          <w:ilvl w:val="0"/>
          <w:numId w:val="26"/>
        </w:numPr>
        <w:spacing w:after="120" w:line="240" w:lineRule="auto"/>
        <w:ind w:left="714" w:hanging="357"/>
        <w:jc w:val="both"/>
        <w:rPr>
          <w:rFonts w:cs="Calibri"/>
          <w:color w:val="000000"/>
          <w:lang w:val="en-US"/>
        </w:rPr>
      </w:pPr>
      <w:r w:rsidRPr="008C761D">
        <w:rPr>
          <w:rFonts w:cs="Calibri"/>
          <w:color w:val="000000"/>
          <w:lang w:val="en-US"/>
        </w:rPr>
        <w:t>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staffing with appropriate hardware for those systems.</w:t>
      </w:r>
    </w:p>
    <w:p w14:paraId="5947E04B" w14:textId="77777777" w:rsidR="00EA4DEC" w:rsidRDefault="00EA4DEC" w:rsidP="00EA4DEC">
      <w:pPr>
        <w:numPr>
          <w:ilvl w:val="0"/>
          <w:numId w:val="26"/>
        </w:numPr>
        <w:spacing w:after="120" w:line="240" w:lineRule="auto"/>
        <w:ind w:left="714" w:hanging="357"/>
        <w:jc w:val="both"/>
        <w:rPr>
          <w:rFonts w:cs="Calibri"/>
          <w:color w:val="000000"/>
          <w:lang w:val="en-US"/>
        </w:rPr>
      </w:pPr>
      <w:r>
        <w:rPr>
          <w:rFonts w:cs="Calibri"/>
          <w:color w:val="000000"/>
          <w:lang w:val="en-US"/>
        </w:rPr>
        <w:t xml:space="preserve">Introduction of system for marking and tracking of tobacco products </w:t>
      </w:r>
      <w:proofErr w:type="gramStart"/>
      <w:r>
        <w:rPr>
          <w:rFonts w:cs="Calibri"/>
          <w:color w:val="000000"/>
          <w:lang w:val="en-US"/>
        </w:rPr>
        <w:t>( cigarettres</w:t>
      </w:r>
      <w:proofErr w:type="gramEnd"/>
      <w:r>
        <w:rPr>
          <w:rFonts w:cs="Calibri"/>
          <w:color w:val="000000"/>
          <w:lang w:val="en-US"/>
        </w:rPr>
        <w:t>)and availability of high level data for the cigarettes into free circulation that strongly decreases the possibilities for illicit trade and tax evasion</w:t>
      </w:r>
    </w:p>
    <w:p w14:paraId="709D3003" w14:textId="77777777" w:rsidR="00EA4DEC" w:rsidRPr="008C761D" w:rsidRDefault="00EA4DEC" w:rsidP="00EA4DEC">
      <w:pPr>
        <w:spacing w:after="120" w:line="240" w:lineRule="auto"/>
        <w:ind w:left="357"/>
        <w:jc w:val="both"/>
        <w:rPr>
          <w:rFonts w:cs="Calibri"/>
          <w:color w:val="000000"/>
          <w:lang w:val="en-US"/>
        </w:rPr>
      </w:pPr>
    </w:p>
    <w:p w14:paraId="6EEBCD78" w14:textId="058D041D"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Outcome</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indicator</w:t>
      </w:r>
      <w:r w:rsidR="00813F23" w:rsidRPr="008C761D">
        <w:rPr>
          <w:rFonts w:eastAsia="MS PGothic" w:cs="Calibri"/>
          <w:b/>
          <w:bCs/>
          <w:i/>
          <w:iCs/>
          <w:color w:val="4F81BD"/>
          <w:lang w:val="en-US" w:eastAsia="zh-CN"/>
        </w:rPr>
        <w:t>s</w:t>
      </w:r>
    </w:p>
    <w:p w14:paraId="1F4F4B55" w14:textId="77777777" w:rsidR="003A338C" w:rsidRPr="008C761D" w:rsidRDefault="003A338C" w:rsidP="003A338C">
      <w:pPr>
        <w:numPr>
          <w:ilvl w:val="0"/>
          <w:numId w:val="27"/>
        </w:numPr>
        <w:spacing w:after="120" w:line="240" w:lineRule="auto"/>
        <w:ind w:left="714" w:hanging="357"/>
        <w:jc w:val="both"/>
        <w:rPr>
          <w:rFonts w:cs="Calibri"/>
          <w:lang w:val="en-US"/>
        </w:rPr>
      </w:pPr>
      <w:r w:rsidRPr="008C761D">
        <w:rPr>
          <w:rFonts w:cs="Calibri"/>
          <w:lang w:val="en-US"/>
        </w:rPr>
        <w:t>Percentage of physical controls that resulted in the detection of irregularities in relation to the total number of performed physical controls using the new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7541EA" w:rsidRPr="008C761D" w14:paraId="00538B0C" w14:textId="77777777" w:rsidTr="002B77A4">
        <w:trPr>
          <w:trHeight w:val="395"/>
        </w:trPr>
        <w:tc>
          <w:tcPr>
            <w:tcW w:w="4608" w:type="dxa"/>
            <w:shd w:val="clear" w:color="auto" w:fill="E8E8E8"/>
          </w:tcPr>
          <w:p w14:paraId="2F090969"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08BAC63B"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40737F9B" w14:textId="77777777" w:rsidTr="002B77A4">
        <w:trPr>
          <w:trHeight w:val="278"/>
        </w:trPr>
        <w:tc>
          <w:tcPr>
            <w:tcW w:w="4608" w:type="dxa"/>
            <w:shd w:val="clear" w:color="auto" w:fill="E8E8E8"/>
          </w:tcPr>
          <w:p w14:paraId="2009F506"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lastRenderedPageBreak/>
              <w:t>/</w:t>
            </w:r>
          </w:p>
        </w:tc>
        <w:tc>
          <w:tcPr>
            <w:tcW w:w="4608" w:type="dxa"/>
            <w:shd w:val="clear" w:color="auto" w:fill="E8E8E8"/>
          </w:tcPr>
          <w:p w14:paraId="39099A5C" w14:textId="78C2395D" w:rsidR="007541EA" w:rsidRPr="008C761D" w:rsidRDefault="003A338C"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15% of the total number of performed physical controls using the new equipment</w:t>
            </w:r>
          </w:p>
        </w:tc>
      </w:tr>
    </w:tbl>
    <w:p w14:paraId="29F34263" w14:textId="77777777" w:rsidR="007541EA" w:rsidRPr="008C761D" w:rsidRDefault="007541EA" w:rsidP="007541EA">
      <w:pPr>
        <w:spacing w:after="120" w:line="240" w:lineRule="auto"/>
        <w:ind w:left="714"/>
        <w:jc w:val="both"/>
        <w:rPr>
          <w:rFonts w:cs="Calibri"/>
          <w:lang w:val="en-US"/>
        </w:rPr>
      </w:pPr>
    </w:p>
    <w:p w14:paraId="4778A01F" w14:textId="1A9A0463" w:rsidR="003A338C" w:rsidRPr="00EA4DEC" w:rsidRDefault="003A338C" w:rsidP="00EA4DEC">
      <w:pPr>
        <w:pStyle w:val="ListParagraph"/>
        <w:numPr>
          <w:ilvl w:val="0"/>
          <w:numId w:val="27"/>
        </w:numPr>
        <w:spacing w:line="240" w:lineRule="auto"/>
        <w:rPr>
          <w:rFonts w:cs="Calibri"/>
          <w:lang w:val="en-US"/>
        </w:rPr>
      </w:pPr>
      <w:r w:rsidRPr="00EA4DEC">
        <w:rPr>
          <w:rFonts w:cs="Calibri"/>
          <w:lang w:val="en-US"/>
        </w:rPr>
        <w:t>Implemented at least two (2) new IT systems / modules from the EU Multiannual Strategic Plan (MASP) at national level on appropriate hardware (ICS2 and e-commerce).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7541EA" w:rsidRPr="008C761D" w14:paraId="2515AFF1" w14:textId="77777777" w:rsidTr="002B77A4">
        <w:trPr>
          <w:trHeight w:val="395"/>
        </w:trPr>
        <w:tc>
          <w:tcPr>
            <w:tcW w:w="4608" w:type="dxa"/>
            <w:shd w:val="clear" w:color="auto" w:fill="E8E8E8"/>
          </w:tcPr>
          <w:p w14:paraId="561DF34F"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560BFDD5"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03B8975D" w14:textId="77777777" w:rsidTr="002B77A4">
        <w:trPr>
          <w:trHeight w:val="278"/>
        </w:trPr>
        <w:tc>
          <w:tcPr>
            <w:tcW w:w="4608" w:type="dxa"/>
            <w:shd w:val="clear" w:color="auto" w:fill="E8E8E8"/>
          </w:tcPr>
          <w:p w14:paraId="4C0B890A"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0</w:t>
            </w:r>
          </w:p>
        </w:tc>
        <w:tc>
          <w:tcPr>
            <w:tcW w:w="4608" w:type="dxa"/>
            <w:shd w:val="clear" w:color="auto" w:fill="E8E8E8"/>
          </w:tcPr>
          <w:p w14:paraId="71953253"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w:t>
            </w:r>
          </w:p>
        </w:tc>
      </w:tr>
    </w:tbl>
    <w:p w14:paraId="0182B560" w14:textId="77777777" w:rsidR="00EA4DEC" w:rsidRDefault="00EA4DEC" w:rsidP="00EA4DEC">
      <w:pPr>
        <w:spacing w:after="120" w:line="240" w:lineRule="auto"/>
        <w:ind w:left="360"/>
        <w:jc w:val="both"/>
        <w:rPr>
          <w:rFonts w:cs="Calibri"/>
          <w:lang w:val="en-US"/>
        </w:rPr>
      </w:pPr>
    </w:p>
    <w:p w14:paraId="530BB601" w14:textId="77305201" w:rsidR="00EA4DEC" w:rsidRDefault="00EA4DEC" w:rsidP="00EA4DEC">
      <w:pPr>
        <w:spacing w:after="120" w:line="240" w:lineRule="auto"/>
        <w:ind w:left="360"/>
        <w:jc w:val="both"/>
        <w:rPr>
          <w:rFonts w:cs="Calibri"/>
          <w:lang w:val="en-US"/>
        </w:rPr>
      </w:pPr>
      <w:r>
        <w:rPr>
          <w:rFonts w:cs="Calibri"/>
          <w:lang w:val="en-US"/>
        </w:rPr>
        <w:t xml:space="preserve">3) </w:t>
      </w:r>
      <w:r>
        <w:rPr>
          <w:rStyle w:val="rynqvb"/>
        </w:rPr>
        <w:t>Establishing a system for marking and tracking tobacco products (cigarettes) through the TRACK&amp;TRACE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EA4DEC" w:rsidRPr="008C761D" w14:paraId="02DDD4C5" w14:textId="77777777" w:rsidTr="00EA4DEC">
        <w:trPr>
          <w:trHeight w:val="395"/>
        </w:trPr>
        <w:tc>
          <w:tcPr>
            <w:tcW w:w="4608" w:type="dxa"/>
            <w:shd w:val="clear" w:color="auto" w:fill="E8E8E8"/>
          </w:tcPr>
          <w:p w14:paraId="177BE7AF" w14:textId="77777777" w:rsidR="00EA4DEC" w:rsidRPr="008C761D" w:rsidRDefault="00EA4DEC" w:rsidP="00EA4DEC">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0773DC79" w14:textId="77777777" w:rsidR="00EA4DEC" w:rsidRPr="008C761D" w:rsidRDefault="00EA4DEC" w:rsidP="00EA4DEC">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EA4DEC" w:rsidRPr="008C761D" w14:paraId="1906A616" w14:textId="77777777" w:rsidTr="00EA4DEC">
        <w:trPr>
          <w:trHeight w:val="278"/>
        </w:trPr>
        <w:tc>
          <w:tcPr>
            <w:tcW w:w="4608" w:type="dxa"/>
            <w:shd w:val="clear" w:color="auto" w:fill="E8E8E8"/>
          </w:tcPr>
          <w:p w14:paraId="13382FA2" w14:textId="77777777" w:rsidR="00EA4DEC" w:rsidRPr="008C761D" w:rsidRDefault="00EA4DEC" w:rsidP="00EA4DEC">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0</w:t>
            </w:r>
          </w:p>
        </w:tc>
        <w:tc>
          <w:tcPr>
            <w:tcW w:w="4608" w:type="dxa"/>
            <w:shd w:val="clear" w:color="auto" w:fill="E8E8E8"/>
          </w:tcPr>
          <w:p w14:paraId="6D8817D1" w14:textId="77777777" w:rsidR="00EA4DEC" w:rsidRPr="008C761D" w:rsidRDefault="00EA4DEC" w:rsidP="00EA4DEC">
            <w:pPr>
              <w:spacing w:line="240" w:lineRule="auto"/>
              <w:jc w:val="both"/>
              <w:rPr>
                <w:rFonts w:eastAsia="Times New Roman" w:cs="Calibri"/>
                <w:color w:val="202124"/>
                <w:sz w:val="20"/>
                <w:szCs w:val="20"/>
                <w:lang w:val="en-US"/>
              </w:rPr>
            </w:pPr>
            <w:r>
              <w:rPr>
                <w:rFonts w:eastAsia="Times New Roman" w:cs="Calibri"/>
                <w:color w:val="202124"/>
                <w:sz w:val="20"/>
                <w:szCs w:val="20"/>
                <w:lang w:val="en-US"/>
              </w:rPr>
              <w:t xml:space="preserve">High level of preparation for implementation of </w:t>
            </w:r>
            <w:r>
              <w:rPr>
                <w:rStyle w:val="rynqvb"/>
              </w:rPr>
              <w:t>TRACK&amp;TRACE system</w:t>
            </w:r>
          </w:p>
        </w:tc>
      </w:tr>
    </w:tbl>
    <w:p w14:paraId="5B936BFA" w14:textId="77777777" w:rsidR="007541EA" w:rsidRPr="008C761D" w:rsidRDefault="007541EA" w:rsidP="007541EA">
      <w:pPr>
        <w:spacing w:after="120" w:line="240" w:lineRule="auto"/>
        <w:ind w:left="714"/>
        <w:jc w:val="both"/>
        <w:rPr>
          <w:rFonts w:cs="Calibri"/>
          <w:lang w:val="en-US"/>
        </w:rPr>
      </w:pPr>
    </w:p>
    <w:p w14:paraId="6F6EA6EC" w14:textId="77777777" w:rsidR="003A338C" w:rsidRPr="008C761D" w:rsidRDefault="003A338C" w:rsidP="003A338C">
      <w:pPr>
        <w:spacing w:before="240" w:line="240" w:lineRule="auto"/>
        <w:jc w:val="both"/>
        <w:rPr>
          <w:rFonts w:cs="Calibri"/>
          <w:b/>
          <w:color w:val="0070C0"/>
          <w:sz w:val="24"/>
          <w:szCs w:val="24"/>
          <w:lang w:val="en-US"/>
        </w:rPr>
      </w:pPr>
      <w:r w:rsidRPr="008C761D">
        <w:rPr>
          <w:rFonts w:cs="Calibri"/>
          <w:b/>
          <w:color w:val="0070C0"/>
          <w:sz w:val="24"/>
          <w:szCs w:val="24"/>
          <w:lang w:val="en-US"/>
        </w:rPr>
        <w:t>Measure 1: Strengthening joint control mechanisms and capacities in order to combat illegal trade and organized crime</w:t>
      </w:r>
    </w:p>
    <w:p w14:paraId="08BA3929" w14:textId="21266756"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objective</w:t>
      </w:r>
    </w:p>
    <w:p w14:paraId="2F7B04E8" w14:textId="77777777" w:rsidR="003A338C" w:rsidRPr="008C761D" w:rsidRDefault="003A338C" w:rsidP="003A338C">
      <w:pPr>
        <w:spacing w:line="240" w:lineRule="auto"/>
        <w:jc w:val="both"/>
        <w:rPr>
          <w:rFonts w:cs="Calibri"/>
          <w:lang w:val="en-US"/>
        </w:rPr>
      </w:pPr>
      <w:r w:rsidRPr="008C761D">
        <w:rPr>
          <w:rFonts w:cs="Calibri"/>
          <w:lang w:val="en-US"/>
        </w:rPr>
        <w:t>The purpose of the measure is to suppress illegal trade and organized crime, protect the legal economy, ensure safety and security, protect the health and safety of citizens and protect the environment.</w:t>
      </w:r>
    </w:p>
    <w:p w14:paraId="1C1E125D" w14:textId="6C6EB1AA"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Reference</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to</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findings</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from</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external</w:t>
      </w:r>
      <w:r w:rsidR="00D4719C">
        <w:rPr>
          <w:rFonts w:eastAsia="MS PGothic" w:cs="Calibri"/>
          <w:b/>
          <w:bCs/>
          <w:i/>
          <w:iCs/>
          <w:color w:val="4F81BD"/>
          <w:lang w:val="en-US" w:eastAsia="zh-CN"/>
        </w:rPr>
        <w:t xml:space="preserve"> </w:t>
      </w:r>
      <w:r w:rsidRPr="008C761D">
        <w:rPr>
          <w:rFonts w:eastAsia="MS PGothic" w:cs="Calibri"/>
          <w:b/>
          <w:bCs/>
          <w:i/>
          <w:iCs/>
          <w:color w:val="4F81BD"/>
          <w:lang w:val="en-US" w:eastAsia="zh-CN"/>
        </w:rPr>
        <w:t>assessments: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4"/>
        <w:gridCol w:w="7796"/>
      </w:tblGrid>
      <w:tr w:rsidR="004A38AA" w:rsidRPr="008C761D" w14:paraId="6AC31AC6" w14:textId="77777777" w:rsidTr="00532C0E">
        <w:trPr>
          <w:trHeight w:val="1457"/>
        </w:trPr>
        <w:tc>
          <w:tcPr>
            <w:tcW w:w="1134" w:type="dxa"/>
            <w:shd w:val="clear" w:color="auto" w:fill="DDDDDD"/>
          </w:tcPr>
          <w:p w14:paraId="48B347EF" w14:textId="77777777" w:rsidR="004A38AA" w:rsidRPr="008C761D" w:rsidRDefault="004A38AA" w:rsidP="00E84CD0">
            <w:pPr>
              <w:spacing w:line="240" w:lineRule="auto"/>
              <w:jc w:val="both"/>
              <w:rPr>
                <w:rFonts w:cs="Calibri"/>
                <w:sz w:val="20"/>
                <w:szCs w:val="20"/>
                <w:lang w:val="en-US"/>
              </w:rPr>
            </w:pPr>
            <w:r w:rsidRPr="008C761D">
              <w:rPr>
                <w:rFonts w:cs="Calibri"/>
                <w:sz w:val="20"/>
                <w:szCs w:val="20"/>
                <w:lang w:val="en-US"/>
              </w:rPr>
              <w:t>EU:</w:t>
            </w:r>
          </w:p>
        </w:tc>
        <w:tc>
          <w:tcPr>
            <w:tcW w:w="7796" w:type="dxa"/>
            <w:shd w:val="clear" w:color="auto" w:fill="DDDDDD"/>
          </w:tcPr>
          <w:p w14:paraId="20DB86F9" w14:textId="5EDFFC44" w:rsidR="004A38AA" w:rsidRPr="008C761D" w:rsidRDefault="004A38AA" w:rsidP="00E84CD0">
            <w:pPr>
              <w:spacing w:line="240" w:lineRule="auto"/>
              <w:jc w:val="both"/>
              <w:rPr>
                <w:rFonts w:cs="Calibri"/>
                <w:b/>
                <w:sz w:val="20"/>
                <w:szCs w:val="20"/>
                <w:lang w:val="en-US"/>
              </w:rPr>
            </w:pPr>
            <w:r w:rsidRPr="008C761D">
              <w:rPr>
                <w:rFonts w:cs="Calibri"/>
                <w:b/>
                <w:sz w:val="20"/>
                <w:szCs w:val="20"/>
                <w:lang w:val="en-US"/>
              </w:rPr>
              <w:t>EU Report</w:t>
            </w:r>
            <w:r w:rsidR="00D4719C">
              <w:rPr>
                <w:rFonts w:cs="Calibri"/>
                <w:b/>
                <w:sz w:val="20"/>
                <w:szCs w:val="20"/>
                <w:lang w:val="en-US"/>
              </w:rPr>
              <w:t xml:space="preserve"> </w:t>
            </w:r>
            <w:r w:rsidRPr="008C761D">
              <w:rPr>
                <w:rFonts w:cs="Calibri"/>
                <w:b/>
                <w:sz w:val="20"/>
                <w:szCs w:val="20"/>
                <w:lang w:val="en-US"/>
              </w:rPr>
              <w:t>for 202</w:t>
            </w:r>
            <w:r w:rsidR="00A705BA" w:rsidRPr="008C761D">
              <w:rPr>
                <w:rFonts w:cs="Calibri"/>
                <w:b/>
                <w:sz w:val="20"/>
                <w:szCs w:val="20"/>
                <w:lang w:val="en-US"/>
              </w:rPr>
              <w:t>3</w:t>
            </w:r>
          </w:p>
          <w:p w14:paraId="50D0CF7F"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North Macedonia has a good level of preparation in this area. Limited progress was made</w:t>
            </w:r>
          </w:p>
          <w:p w14:paraId="75B510A1"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on consolidation, application and upgrade of IT systems while the Concept of authorised</w:t>
            </w:r>
          </w:p>
          <w:p w14:paraId="3E4BDF75"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economic operators (AEO) was further promoted, including through regional cooperation</w:t>
            </w:r>
          </w:p>
          <w:p w14:paraId="35391ABA" w14:textId="7FC865CA" w:rsidR="004A38AA" w:rsidRPr="008C761D" w:rsidRDefault="003A338C" w:rsidP="003A338C">
            <w:pPr>
              <w:spacing w:line="240" w:lineRule="auto"/>
              <w:jc w:val="both"/>
              <w:rPr>
                <w:rFonts w:cs="Calibri"/>
                <w:sz w:val="20"/>
                <w:szCs w:val="20"/>
                <w:lang w:val="en-US"/>
              </w:rPr>
            </w:pPr>
            <w:r w:rsidRPr="008C761D">
              <w:rPr>
                <w:rFonts w:cs="Calibri"/>
                <w:sz w:val="20"/>
                <w:szCs w:val="20"/>
                <w:lang w:val="en-US"/>
              </w:rPr>
              <w:t>initiatives among the customs administrations of the WB6 countries.</w:t>
            </w:r>
          </w:p>
        </w:tc>
      </w:tr>
    </w:tbl>
    <w:p w14:paraId="59E70987" w14:textId="77777777" w:rsidR="004A38AA" w:rsidRPr="008C761D" w:rsidRDefault="004A38AA" w:rsidP="00E84CD0">
      <w:pPr>
        <w:spacing w:line="240" w:lineRule="auto"/>
        <w:jc w:val="both"/>
        <w:rPr>
          <w:rFonts w:cs="Calibri"/>
          <w:lang w:val="en-US"/>
        </w:rPr>
      </w:pPr>
    </w:p>
    <w:p w14:paraId="0F655397" w14:textId="77777777" w:rsidR="004A38AA" w:rsidRPr="008C761D" w:rsidRDefault="004A38AA"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565A238E" w14:textId="77777777" w:rsidR="003A338C" w:rsidRPr="008C761D" w:rsidRDefault="003A338C" w:rsidP="003A338C">
      <w:pPr>
        <w:spacing w:line="240" w:lineRule="auto"/>
        <w:jc w:val="both"/>
        <w:rPr>
          <w:rFonts w:cs="Calibri"/>
          <w:lang w:val="en-US"/>
        </w:rPr>
      </w:pPr>
      <w:bookmarkStart w:id="33" w:name="_Hlk89937901"/>
      <w:r w:rsidRPr="008C761D">
        <w:rPr>
          <w:rFonts w:cs="Calibri"/>
          <w:lang w:val="en-US"/>
        </w:rPr>
        <w:t>The goals and measures for the implementation of the CA strategy are covered by strategic priorities and strategic goals is the suppression of illegal trade and organized crime, protection of the legal economy, ensuring safety and security, protection of the health and safety of citizens and protection of the environment.</w:t>
      </w:r>
    </w:p>
    <w:p w14:paraId="5B12DB7F" w14:textId="77777777" w:rsidR="003A338C" w:rsidRPr="008C761D" w:rsidRDefault="003A338C" w:rsidP="003A338C">
      <w:pPr>
        <w:spacing w:line="240" w:lineRule="auto"/>
        <w:jc w:val="both"/>
        <w:rPr>
          <w:rFonts w:cs="Calibri"/>
          <w:lang w:val="en-US"/>
        </w:rPr>
      </w:pPr>
      <w:r w:rsidRPr="008C761D">
        <w:rPr>
          <w:rFonts w:cs="Calibri"/>
          <w:lang w:val="en-US"/>
        </w:rPr>
        <w:t>Supply chain oversight is based on risk management that ensures faster flow of goods and passengers, and controls are performed selectively to protect the financial interests of the national economy, society and the environment.</w:t>
      </w:r>
    </w:p>
    <w:p w14:paraId="7D7B79F7" w14:textId="77777777" w:rsidR="003A338C" w:rsidRPr="008C761D" w:rsidRDefault="003A338C" w:rsidP="003A338C">
      <w:pPr>
        <w:spacing w:line="240" w:lineRule="auto"/>
        <w:jc w:val="both"/>
        <w:rPr>
          <w:rFonts w:cs="Calibri"/>
          <w:lang w:val="en-US"/>
        </w:rPr>
      </w:pPr>
      <w:r w:rsidRPr="008C761D">
        <w:rPr>
          <w:rFonts w:cs="Calibri"/>
          <w:lang w:val="en-US"/>
        </w:rPr>
        <w:t>A key factor for quality data analysis is the employees and they will be constantly trained to strengthen their capacity. The appropriate distribution of controls, before customs clearance, during customs procedures and after customs clearance, provides a balance for the proper use of available resources.</w:t>
      </w:r>
    </w:p>
    <w:p w14:paraId="0502E8FA" w14:textId="77777777" w:rsidR="003A338C" w:rsidRPr="008C761D" w:rsidRDefault="003A338C" w:rsidP="003A338C">
      <w:pPr>
        <w:spacing w:line="240" w:lineRule="auto"/>
        <w:jc w:val="both"/>
        <w:rPr>
          <w:rFonts w:cs="Calibri"/>
          <w:lang w:val="en-US"/>
        </w:rPr>
      </w:pPr>
      <w:r w:rsidRPr="008C761D">
        <w:rPr>
          <w:rFonts w:cs="Calibri"/>
          <w:lang w:val="en-US"/>
        </w:rPr>
        <w:lastRenderedPageBreak/>
        <w:t>The motivation of the employees and their interest in achieving higher professional standards is constantly nurtured. One of the goals is to direct the activities towards providing more customs experts in the field of control, which will be especially important when starting the negotiations with the European Union.</w:t>
      </w:r>
    </w:p>
    <w:p w14:paraId="5BB07631" w14:textId="77777777" w:rsidR="003A338C" w:rsidRPr="008C761D" w:rsidRDefault="003A338C" w:rsidP="003A338C">
      <w:pPr>
        <w:spacing w:line="240" w:lineRule="auto"/>
        <w:jc w:val="both"/>
        <w:rPr>
          <w:rFonts w:cs="Calibri"/>
          <w:lang w:val="en-US"/>
        </w:rPr>
      </w:pPr>
      <w:r w:rsidRPr="008C761D">
        <w:rPr>
          <w:rFonts w:cs="Calibri"/>
          <w:lang w:val="en-US"/>
        </w:rPr>
        <w:t>The more intensive application of new technologies will bring with it new and more frequent forms of crime, such as data-related criminal acts, cyber threats. Customs will need to be dedicated to preparing for action by improving capacity, applying the best tools and innovative technologies and appropriate training.</w:t>
      </w:r>
    </w:p>
    <w:p w14:paraId="1BB3188F" w14:textId="77777777" w:rsidR="003A338C" w:rsidRPr="008C761D" w:rsidRDefault="003A338C" w:rsidP="003A338C">
      <w:pPr>
        <w:spacing w:line="240" w:lineRule="auto"/>
        <w:jc w:val="both"/>
        <w:rPr>
          <w:rFonts w:cs="Calibri"/>
          <w:lang w:val="en-US"/>
        </w:rPr>
      </w:pPr>
      <w:r w:rsidRPr="008C761D">
        <w:rPr>
          <w:rFonts w:cs="Calibri"/>
          <w:lang w:val="en-US"/>
        </w:rPr>
        <w:t>Activities will be undertaken in accordance with the Action Plan for Suppression of the Gray Economy, for improvement of the professional staff in the field of inspection services in the competent institutions in order to achieve effective results in the fight against the gray economy, conducting relevant comparative analysis and appropriate application of positive comparative examples experiences, preparation of precise registers in order to efficiently locate the relevant sectors in which the highest level of gray economy is recorded.</w:t>
      </w:r>
      <w:bookmarkEnd w:id="33"/>
    </w:p>
    <w:p w14:paraId="04132C81" w14:textId="77777777" w:rsidR="003A338C" w:rsidRPr="00532C0E" w:rsidRDefault="003A338C" w:rsidP="003A338C">
      <w:pPr>
        <w:spacing w:line="240" w:lineRule="auto"/>
        <w:jc w:val="both"/>
        <w:rPr>
          <w:rFonts w:cs="Calibri"/>
          <w:b/>
          <w:bCs/>
          <w:iCs/>
          <w:color w:val="0070C0"/>
          <w:lang w:val="en-US"/>
        </w:rPr>
      </w:pPr>
      <w:r w:rsidRPr="00532C0E">
        <w:rPr>
          <w:rFonts w:cs="Calibri"/>
          <w:b/>
          <w:bCs/>
          <w:iCs/>
          <w:color w:val="0070C0"/>
          <w:lang w:val="en-US"/>
        </w:rPr>
        <w:t>Activity 1: Equipping with modern and reliable control equipment and appropriate training for employees, in order to protect financial and economic interests, guarantee the safety and security of citizens, environmental protection and protection from unfair and illicit trade</w:t>
      </w:r>
    </w:p>
    <w:p w14:paraId="28C93B5C" w14:textId="77777777" w:rsidR="003A338C" w:rsidRPr="008C761D" w:rsidRDefault="003A338C" w:rsidP="003A338C">
      <w:pPr>
        <w:spacing w:line="240" w:lineRule="auto"/>
        <w:jc w:val="both"/>
        <w:rPr>
          <w:rFonts w:cs="Calibri"/>
          <w:lang w:val="en-US"/>
        </w:rPr>
      </w:pPr>
      <w:r w:rsidRPr="008C761D">
        <w:rPr>
          <w:rFonts w:cs="Calibri"/>
          <w:lang w:val="en-US"/>
        </w:rPr>
        <w:t>In order to be modern and efficient and ready to adapt to the inevitable changes, the CA will raise the level of quality and professionalism of the work performed by the customs officers, in accordance with the principles of simplification, fairness and efficiency. Customs strives to be "SMART" which is in line with the policy of the World Customs Organization, which means: secure borders, automation, traceability and measurability, improving risk management and above all monitoring and application of the latest technology.</w:t>
      </w:r>
    </w:p>
    <w:p w14:paraId="3CAAD6EF" w14:textId="77777777" w:rsidR="00EA4DEC" w:rsidRPr="008C761D" w:rsidRDefault="00EA4DEC" w:rsidP="00EA4DEC">
      <w:pPr>
        <w:spacing w:line="240" w:lineRule="auto"/>
        <w:jc w:val="both"/>
        <w:rPr>
          <w:rFonts w:cs="Calibri"/>
          <w:lang w:val="en-US"/>
        </w:rPr>
      </w:pPr>
      <w:r w:rsidRPr="008C761D">
        <w:rPr>
          <w:rFonts w:cs="Calibri"/>
          <w:lang w:val="en-US"/>
        </w:rPr>
        <w:t>All activities that will be undertaken for the modernization of the customs service will be in accordance with the commitment of the modern European services to be proactive, to act homogeneously with all participants, with a commitment to innovation and sustainability. Establishing a data channel with trusted partners and effective data sharing mechanisms remains a challenge.</w:t>
      </w:r>
    </w:p>
    <w:p w14:paraId="7FEC8F64" w14:textId="77777777" w:rsidR="003A338C" w:rsidRPr="008C761D" w:rsidRDefault="003A338C" w:rsidP="003A338C">
      <w:pPr>
        <w:spacing w:line="240" w:lineRule="auto"/>
        <w:jc w:val="both"/>
        <w:rPr>
          <w:rFonts w:cs="Calibri"/>
          <w:lang w:val="en-US"/>
        </w:rPr>
      </w:pPr>
      <w:r w:rsidRPr="008C761D">
        <w:rPr>
          <w:rFonts w:cs="Calibri"/>
          <w:lang w:val="en-US"/>
        </w:rPr>
        <w:t>The Customs Administration, as one of the state bodies responsible for prosecuting perpetrators of crimes, will participate in the implementation of coordinated measures to prevent money laundering and terrorist financing, which will be undertaken by the competent institutions and will act to strengthen inter-institutional and international cooperation, devoting adequate technical and human resources. Success in detecting, documenting and prosecuting money laundering and terrorist financing cases will depend on the quality of the information exchanged.</w:t>
      </w:r>
    </w:p>
    <w:p w14:paraId="3145FD78" w14:textId="77777777" w:rsidR="003A338C" w:rsidRPr="008C761D" w:rsidRDefault="003A338C" w:rsidP="003A338C">
      <w:pPr>
        <w:spacing w:line="240" w:lineRule="auto"/>
        <w:jc w:val="both"/>
        <w:rPr>
          <w:rFonts w:cs="Calibri"/>
          <w:lang w:val="en-US"/>
        </w:rPr>
      </w:pPr>
      <w:r w:rsidRPr="008C761D">
        <w:rPr>
          <w:rFonts w:cs="Calibri"/>
          <w:lang w:val="en-US"/>
        </w:rPr>
        <w:t>Special attention will be paid to the operational units that should be composed of a sufficient number of employees with an appropriate profile, to be characterized by the ability to act in all situations, as a solid factor in preventing and detecting illegal actions, discouraging the intention to die. such activities and resolutely dealing with them.</w:t>
      </w:r>
    </w:p>
    <w:p w14:paraId="6519AE19" w14:textId="77777777" w:rsidR="003A338C" w:rsidRPr="008C761D" w:rsidRDefault="003A338C" w:rsidP="003A338C">
      <w:pPr>
        <w:spacing w:line="240" w:lineRule="auto"/>
        <w:jc w:val="both"/>
        <w:rPr>
          <w:rFonts w:cs="Calibri"/>
          <w:lang w:val="en-US"/>
        </w:rPr>
      </w:pPr>
      <w:r w:rsidRPr="008C761D">
        <w:rPr>
          <w:rFonts w:cs="Calibri"/>
          <w:lang w:val="en-US"/>
        </w:rPr>
        <w:t>Joint actions are taken to improve the capacity to fight organized crime: improved electronic recording and exchange of information at national and international level, modernization of border control equipment, procurement of new CCTV equipment and improved mobility; and rapid response capabilities.</w:t>
      </w:r>
    </w:p>
    <w:p w14:paraId="2538D631" w14:textId="77777777" w:rsidR="003A338C" w:rsidRPr="008C761D" w:rsidRDefault="003A338C" w:rsidP="003A338C">
      <w:pPr>
        <w:spacing w:line="240" w:lineRule="auto"/>
        <w:jc w:val="both"/>
        <w:rPr>
          <w:rFonts w:cs="Calibri"/>
          <w:lang w:val="en-US"/>
        </w:rPr>
      </w:pPr>
      <w:r w:rsidRPr="008C761D">
        <w:rPr>
          <w:rFonts w:cs="Calibri"/>
          <w:lang w:val="en-US"/>
        </w:rPr>
        <w:t>Joint control mechanisms for a more efficient and coordinated response to illicit trade and organized crime through selected controls will be strengthened.</w:t>
      </w:r>
    </w:p>
    <w:p w14:paraId="107DD8DD" w14:textId="77777777" w:rsidR="003A338C" w:rsidRPr="008C761D" w:rsidRDefault="003A338C" w:rsidP="003A338C">
      <w:pPr>
        <w:spacing w:line="240" w:lineRule="auto"/>
        <w:jc w:val="both"/>
        <w:rPr>
          <w:rFonts w:cs="Calibri"/>
          <w:lang w:val="en-US"/>
        </w:rPr>
      </w:pPr>
      <w:r w:rsidRPr="008C761D">
        <w:rPr>
          <w:rFonts w:cs="Calibri"/>
          <w:i/>
          <w:lang w:val="en-US"/>
        </w:rPr>
        <w:lastRenderedPageBreak/>
        <w:t xml:space="preserve">Strategic action activities for strengthening the joint control mechanisms by equipping </w:t>
      </w:r>
      <w:r w:rsidRPr="008C761D">
        <w:rPr>
          <w:rFonts w:cs="Calibri"/>
          <w:lang w:val="en-US"/>
        </w:rPr>
        <w:t>with modern and reliable control equipment that will help the customs authorities to protect financial and economic interests, guarantee the safety and security of citizens, environmental protection and protection from disloyal and illicit trade:</w:t>
      </w:r>
    </w:p>
    <w:p w14:paraId="46F55F91"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Improving the capacities of the control and prosecution bodies for fight against crime</w:t>
      </w:r>
    </w:p>
    <w:p w14:paraId="4E6009E1"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Synergy between law enforcement agencies and improved security situation</w:t>
      </w:r>
    </w:p>
    <w:p w14:paraId="5567CC29"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Strengthening the capacities of national institutions and their coordination in monitoring the flow of money, as well as detecting possible concealment and transfer of illegally acquired property</w:t>
      </w:r>
    </w:p>
    <w:p w14:paraId="0A102F6B"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Criminal investigations to result in confiscation of property and property gain</w:t>
      </w:r>
    </w:p>
    <w:p w14:paraId="29F7CC47"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Increased efficiency in detecting, prosecuting and adequately sanctioning perpetrators of money laundering and terrorist financing</w:t>
      </w:r>
    </w:p>
    <w:p w14:paraId="2264804F"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Access to electronic databases to be established and functional</w:t>
      </w:r>
    </w:p>
    <w:p w14:paraId="049B193D" w14:textId="77777777" w:rsidR="003A338C" w:rsidRPr="008C761D"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Trained staff for performing the legal competencies in accordance with the identified risks</w:t>
      </w:r>
    </w:p>
    <w:p w14:paraId="4D23F806" w14:textId="6E07299D" w:rsidR="003A338C" w:rsidRDefault="003A338C" w:rsidP="003A338C">
      <w:pPr>
        <w:numPr>
          <w:ilvl w:val="0"/>
          <w:numId w:val="10"/>
        </w:numPr>
        <w:spacing w:after="0" w:line="240" w:lineRule="auto"/>
        <w:jc w:val="both"/>
        <w:rPr>
          <w:rFonts w:cs="Calibri"/>
          <w:color w:val="000000"/>
          <w:lang w:val="en-US"/>
        </w:rPr>
      </w:pPr>
      <w:r w:rsidRPr="008C761D">
        <w:rPr>
          <w:rFonts w:cs="Calibri"/>
          <w:color w:val="000000"/>
          <w:lang w:val="en-US"/>
        </w:rPr>
        <w:t>Improving the professional staff in the field of inspection services in the competent institutions, in order to achieve effective results in the fight against the shadow economy.</w:t>
      </w:r>
    </w:p>
    <w:p w14:paraId="23D4705C" w14:textId="77777777" w:rsidR="00602A32" w:rsidRPr="008C761D" w:rsidRDefault="00602A32" w:rsidP="00602A32">
      <w:pPr>
        <w:spacing w:after="0" w:line="240" w:lineRule="auto"/>
        <w:ind w:left="720"/>
        <w:jc w:val="both"/>
        <w:rPr>
          <w:rFonts w:cs="Calibri"/>
          <w:color w:val="000000"/>
          <w:lang w:val="en-US"/>
        </w:rPr>
      </w:pPr>
    </w:p>
    <w:p w14:paraId="77EEE73A" w14:textId="77777777" w:rsidR="003A338C" w:rsidRPr="008C761D" w:rsidRDefault="003A338C" w:rsidP="00532C0E">
      <w:pPr>
        <w:spacing w:after="0" w:line="240" w:lineRule="auto"/>
        <w:jc w:val="both"/>
        <w:rPr>
          <w:rFonts w:cs="Calibri"/>
          <w:color w:val="000000"/>
          <w:lang w:val="en-US"/>
        </w:rPr>
      </w:pPr>
      <w:r w:rsidRPr="008C761D">
        <w:rPr>
          <w:rFonts w:cs="Calibri"/>
          <w:color w:val="000000"/>
          <w:lang w:val="en-US"/>
        </w:rPr>
        <w:t>Adequate customs controls with results that will not disrupt, but will facilitate cross-border trade.</w:t>
      </w:r>
    </w:p>
    <w:p w14:paraId="23298F3D" w14:textId="77777777" w:rsidR="003A338C" w:rsidRPr="008C761D" w:rsidRDefault="003A338C" w:rsidP="00532C0E">
      <w:pPr>
        <w:spacing w:after="0" w:line="240" w:lineRule="auto"/>
        <w:jc w:val="both"/>
        <w:rPr>
          <w:rFonts w:cs="Calibri"/>
          <w:color w:val="000000"/>
          <w:lang w:val="en-US"/>
        </w:rPr>
      </w:pPr>
      <w:r w:rsidRPr="008C761D">
        <w:rPr>
          <w:rFonts w:cs="Calibri"/>
          <w:color w:val="000000"/>
          <w:lang w:val="en-US"/>
        </w:rPr>
        <w:t>Successful management of the challenges arising from the ever-changing models of global business operations and supply chain, which depends not only on the human factor, but also on the availability and proper functioning of modern and reliable customs control equipment. Challenges over increased e-commerce, digitalisation and resistance to cyber threats also increase the need for effective customs controls</w:t>
      </w:r>
    </w:p>
    <w:p w14:paraId="0C68D1AF" w14:textId="77777777" w:rsidR="003A338C" w:rsidRPr="008C761D" w:rsidRDefault="003A338C" w:rsidP="00532C0E">
      <w:pPr>
        <w:spacing w:after="0" w:line="240" w:lineRule="auto"/>
        <w:jc w:val="both"/>
        <w:rPr>
          <w:rFonts w:cs="Calibri"/>
          <w:color w:val="000000"/>
          <w:lang w:val="en-US"/>
        </w:rPr>
      </w:pPr>
      <w:r w:rsidRPr="008C761D">
        <w:rPr>
          <w:rFonts w:cs="Calibri"/>
          <w:color w:val="000000"/>
          <w:lang w:val="en-US"/>
        </w:rPr>
        <w:t>Improved compliance with the implementation of customs controls and prevention of situations where a certain flow of goods is redirected to places with weaker customs control.</w:t>
      </w:r>
    </w:p>
    <w:p w14:paraId="6F30117E" w14:textId="77777777" w:rsidR="00602A32" w:rsidRPr="00602A32" w:rsidRDefault="00602A32" w:rsidP="00E84CD0">
      <w:pPr>
        <w:spacing w:line="240" w:lineRule="auto"/>
        <w:jc w:val="both"/>
        <w:rPr>
          <w:rFonts w:cs="Calibri"/>
          <w:b/>
          <w:bCs/>
          <w:i/>
          <w:iCs/>
          <w:color w:val="4F81BD"/>
          <w:sz w:val="10"/>
          <w:szCs w:val="10"/>
          <w:lang w:val="en-US"/>
        </w:rPr>
      </w:pPr>
    </w:p>
    <w:p w14:paraId="1733917B" w14:textId="27E74ADF" w:rsidR="004A38AA" w:rsidRPr="008C761D" w:rsidRDefault="004A38AA" w:rsidP="00E84CD0">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E5647" w:rsidRPr="008C761D" w14:paraId="4A17F6A4" w14:textId="77777777" w:rsidTr="007B1112">
        <w:tc>
          <w:tcPr>
            <w:tcW w:w="2518" w:type="dxa"/>
            <w:tcBorders>
              <w:top w:val="nil"/>
              <w:bottom w:val="single" w:sz="4" w:space="0" w:color="FFFFFF"/>
            </w:tcBorders>
            <w:shd w:val="clear" w:color="auto" w:fill="1F3864"/>
          </w:tcPr>
          <w:p w14:paraId="3060EC3C" w14:textId="24A4AC69"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D4719C">
              <w:rPr>
                <w:rFonts w:cs="Calibri"/>
                <w:b/>
                <w:color w:val="FFFFFF"/>
                <w:sz w:val="20"/>
                <w:szCs w:val="20"/>
                <w:lang w:val="en-US"/>
              </w:rPr>
              <w:t xml:space="preserve"> </w:t>
            </w:r>
            <w:r w:rsidRPr="008C761D">
              <w:rPr>
                <w:rFonts w:cs="Calibri"/>
                <w:b/>
                <w:color w:val="FFFFFF"/>
                <w:sz w:val="20"/>
                <w:szCs w:val="20"/>
                <w:lang w:val="en-US"/>
              </w:rPr>
              <w:t>in</w:t>
            </w:r>
            <w:r w:rsidR="00D4719C">
              <w:rPr>
                <w:rFonts w:cs="Calibri"/>
                <w:b/>
                <w:color w:val="FFFFFF"/>
                <w:sz w:val="20"/>
                <w:szCs w:val="20"/>
                <w:lang w:val="en-US"/>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11537764" w14:textId="0867D255" w:rsidR="005E5647" w:rsidRPr="008C761D" w:rsidRDefault="005E5647" w:rsidP="00E84CD0">
            <w:pPr>
              <w:spacing w:line="240" w:lineRule="auto"/>
              <w:jc w:val="both"/>
              <w:rPr>
                <w:rFonts w:cs="Calibri"/>
                <w:sz w:val="20"/>
                <w:szCs w:val="20"/>
                <w:lang w:val="en-US"/>
              </w:rPr>
            </w:pPr>
            <w:r w:rsidRPr="008C761D">
              <w:rPr>
                <w:rFonts w:cs="Calibri"/>
                <w:sz w:val="20"/>
                <w:szCs w:val="20"/>
                <w:lang w:val="en-US"/>
              </w:rPr>
              <w:t>202</w:t>
            </w:r>
            <w:r w:rsidR="00EB301D" w:rsidRPr="008C761D">
              <w:rPr>
                <w:rFonts w:cs="Calibri"/>
                <w:sz w:val="20"/>
                <w:szCs w:val="20"/>
                <w:lang w:val="en-US"/>
              </w:rPr>
              <w:t>7</w:t>
            </w:r>
          </w:p>
        </w:tc>
      </w:tr>
      <w:tr w:rsidR="005E5647" w:rsidRPr="008C761D" w14:paraId="30F941A9" w14:textId="77777777" w:rsidTr="007B1112">
        <w:tc>
          <w:tcPr>
            <w:tcW w:w="2518" w:type="dxa"/>
            <w:tcBorders>
              <w:top w:val="single" w:sz="4" w:space="0" w:color="FFFFFF"/>
              <w:bottom w:val="single" w:sz="4" w:space="0" w:color="FFFFFF"/>
            </w:tcBorders>
            <w:shd w:val="clear" w:color="auto" w:fill="1F3864"/>
          </w:tcPr>
          <w:p w14:paraId="145DDE14" w14:textId="77777777"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701D5957" w14:textId="77777777" w:rsidR="005E5647" w:rsidRPr="008C761D" w:rsidRDefault="005E5647" w:rsidP="00E84CD0">
            <w:pPr>
              <w:spacing w:line="240" w:lineRule="auto"/>
              <w:jc w:val="both"/>
              <w:rPr>
                <w:rFonts w:cs="Calibri"/>
                <w:color w:val="000000"/>
                <w:sz w:val="20"/>
                <w:szCs w:val="20"/>
                <w:lang w:val="en-US"/>
              </w:rPr>
            </w:pPr>
            <w:r w:rsidRPr="008C761D">
              <w:rPr>
                <w:rFonts w:cs="Calibri"/>
                <w:color w:val="000000"/>
                <w:sz w:val="20"/>
                <w:szCs w:val="20"/>
                <w:lang w:val="en-US"/>
              </w:rPr>
              <w:t>Availability of innovative equipment and training of staff for detection and control in order to: control without disturbance, detection of hidden objects on persons, radiation detection, sampling and analysis</w:t>
            </w:r>
            <w:r w:rsidR="009220E2" w:rsidRPr="008C761D">
              <w:rPr>
                <w:rFonts w:cs="Calibri"/>
                <w:color w:val="000000"/>
                <w:sz w:val="20"/>
                <w:szCs w:val="20"/>
                <w:lang w:val="en-US"/>
              </w:rPr>
              <w:t xml:space="preserve"> of samples, manual search</w:t>
            </w:r>
            <w:r w:rsidR="00BE77BD" w:rsidRPr="008C761D">
              <w:rPr>
                <w:rFonts w:cs="Calibri"/>
                <w:color w:val="000000"/>
                <w:sz w:val="20"/>
                <w:szCs w:val="20"/>
                <w:lang w:val="en-US"/>
              </w:rPr>
              <w:t>.</w:t>
            </w:r>
          </w:p>
        </w:tc>
      </w:tr>
      <w:tr w:rsidR="005E5647" w:rsidRPr="008C761D" w14:paraId="4F51C28C" w14:textId="77777777" w:rsidTr="009220E2">
        <w:trPr>
          <w:trHeight w:val="391"/>
        </w:trPr>
        <w:tc>
          <w:tcPr>
            <w:tcW w:w="2518" w:type="dxa"/>
            <w:tcBorders>
              <w:top w:val="single" w:sz="4" w:space="0" w:color="FFFFFF"/>
              <w:bottom w:val="single" w:sz="4" w:space="0" w:color="FFFFFF"/>
            </w:tcBorders>
            <w:shd w:val="clear" w:color="auto" w:fill="1F3864"/>
          </w:tcPr>
          <w:p w14:paraId="6558CF54" w14:textId="62690A6A"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D4719C">
              <w:rPr>
                <w:rFonts w:cs="Calibri"/>
                <w:b/>
                <w:color w:val="FFFFFF"/>
                <w:sz w:val="20"/>
                <w:szCs w:val="20"/>
                <w:lang w:val="en-US"/>
              </w:rPr>
              <w:t xml:space="preserve"> </w:t>
            </w:r>
            <w:r w:rsidRPr="008C761D">
              <w:rPr>
                <w:rFonts w:cs="Calibri"/>
                <w:b/>
                <w:color w:val="FFFFFF"/>
                <w:sz w:val="20"/>
                <w:szCs w:val="20"/>
                <w:lang w:val="en-US"/>
              </w:rPr>
              <w:t>implications:</w:t>
            </w:r>
          </w:p>
        </w:tc>
        <w:tc>
          <w:tcPr>
            <w:tcW w:w="6246" w:type="dxa"/>
            <w:tcBorders>
              <w:top w:val="single" w:sz="4" w:space="0" w:color="FFFFFF"/>
              <w:bottom w:val="single" w:sz="4" w:space="0" w:color="FFFFFF"/>
            </w:tcBorders>
            <w:shd w:val="clear" w:color="auto" w:fill="D9E2F3"/>
          </w:tcPr>
          <w:p w14:paraId="1B16A8AD" w14:textId="59567726" w:rsidR="005E5647" w:rsidRPr="008C761D" w:rsidRDefault="00EE1FAA" w:rsidP="00E84CD0">
            <w:pPr>
              <w:spacing w:line="240" w:lineRule="auto"/>
              <w:jc w:val="both"/>
              <w:rPr>
                <w:rFonts w:cs="Calibri"/>
                <w:sz w:val="20"/>
                <w:szCs w:val="20"/>
                <w:lang w:val="en-US"/>
              </w:rPr>
            </w:pPr>
            <w:r w:rsidRPr="008C761D">
              <w:rPr>
                <w:rFonts w:cs="Calibri"/>
                <w:sz w:val="20"/>
                <w:szCs w:val="20"/>
                <w:lang w:val="en-US"/>
              </w:rPr>
              <w:t xml:space="preserve">EUR </w:t>
            </w:r>
            <w:r w:rsidR="00155B08">
              <w:rPr>
                <w:rFonts w:cs="Calibri"/>
                <w:sz w:val="20"/>
                <w:szCs w:val="20"/>
                <w:lang w:val="en-US"/>
              </w:rPr>
              <w:t>2</w:t>
            </w:r>
            <w:r w:rsidRPr="008C761D">
              <w:rPr>
                <w:rFonts w:cs="Calibri"/>
                <w:sz w:val="20"/>
                <w:szCs w:val="20"/>
                <w:lang w:val="en-US"/>
              </w:rPr>
              <w:t>,</w:t>
            </w:r>
            <w:r w:rsidR="009220E2" w:rsidRPr="008C761D">
              <w:rPr>
                <w:rFonts w:cs="Calibri"/>
                <w:sz w:val="20"/>
                <w:szCs w:val="20"/>
                <w:lang w:val="en-US"/>
              </w:rPr>
              <w:t>000</w:t>
            </w:r>
            <w:r w:rsidRPr="008C761D">
              <w:rPr>
                <w:rFonts w:cs="Calibri"/>
                <w:sz w:val="20"/>
                <w:szCs w:val="20"/>
                <w:lang w:val="en-US"/>
              </w:rPr>
              <w:t>,</w:t>
            </w:r>
            <w:r w:rsidR="009220E2" w:rsidRPr="008C761D">
              <w:rPr>
                <w:rFonts w:cs="Calibri"/>
                <w:sz w:val="20"/>
                <w:szCs w:val="20"/>
                <w:lang w:val="en-US"/>
              </w:rPr>
              <w:t xml:space="preserve">000 </w:t>
            </w:r>
          </w:p>
        </w:tc>
      </w:tr>
      <w:tr w:rsidR="005E5647" w:rsidRPr="008C761D" w14:paraId="51050430" w14:textId="77777777" w:rsidTr="009220E2">
        <w:trPr>
          <w:trHeight w:val="532"/>
        </w:trPr>
        <w:tc>
          <w:tcPr>
            <w:tcW w:w="2518" w:type="dxa"/>
            <w:tcBorders>
              <w:top w:val="single" w:sz="4" w:space="0" w:color="FFFFFF"/>
              <w:bottom w:val="single" w:sz="4" w:space="0" w:color="FFFFFF"/>
            </w:tcBorders>
            <w:shd w:val="clear" w:color="auto" w:fill="1F3864"/>
          </w:tcPr>
          <w:p w14:paraId="0EA15C90" w14:textId="0F5ABF9D"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w:t>
            </w:r>
            <w:r w:rsidR="00D4719C">
              <w:rPr>
                <w:rFonts w:cs="Calibri"/>
                <w:b/>
                <w:color w:val="FFFFFF"/>
                <w:sz w:val="20"/>
                <w:szCs w:val="20"/>
                <w:lang w:val="en-US"/>
              </w:rPr>
              <w:t xml:space="preserve"> </w:t>
            </w:r>
            <w:r w:rsidRPr="008C761D">
              <w:rPr>
                <w:rFonts w:cs="Calibri"/>
                <w:b/>
                <w:color w:val="FFFFFF"/>
                <w:sz w:val="20"/>
                <w:szCs w:val="20"/>
                <w:lang w:val="en-US"/>
              </w:rPr>
              <w:t xml:space="preserve">entity: </w:t>
            </w:r>
          </w:p>
        </w:tc>
        <w:tc>
          <w:tcPr>
            <w:tcW w:w="6246" w:type="dxa"/>
            <w:tcBorders>
              <w:top w:val="single" w:sz="4" w:space="0" w:color="FFFFFF"/>
              <w:bottom w:val="single" w:sz="4" w:space="0" w:color="FFFFFF"/>
            </w:tcBorders>
            <w:shd w:val="clear" w:color="auto" w:fill="D9E2F3"/>
          </w:tcPr>
          <w:p w14:paraId="5F68C2C6" w14:textId="471DC657" w:rsidR="005E5647" w:rsidRPr="00602A32" w:rsidRDefault="009220E2" w:rsidP="00602A32">
            <w:pPr>
              <w:pStyle w:val="ListParagraph"/>
              <w:numPr>
                <w:ilvl w:val="0"/>
                <w:numId w:val="10"/>
              </w:numPr>
              <w:spacing w:line="240" w:lineRule="auto"/>
              <w:ind w:left="183" w:hanging="180"/>
              <w:rPr>
                <w:rFonts w:cs="Calibri"/>
                <w:sz w:val="20"/>
                <w:szCs w:val="20"/>
                <w:lang w:val="en-US"/>
              </w:rPr>
            </w:pPr>
            <w:r w:rsidRPr="00602A32">
              <w:rPr>
                <w:rFonts w:cs="Calibri"/>
                <w:sz w:val="20"/>
                <w:szCs w:val="20"/>
                <w:lang w:val="en-US"/>
              </w:rPr>
              <w:t>Customs</w:t>
            </w:r>
            <w:r w:rsidR="00D4719C" w:rsidRPr="00602A32">
              <w:rPr>
                <w:rFonts w:cs="Calibri"/>
                <w:sz w:val="20"/>
                <w:szCs w:val="20"/>
                <w:lang w:val="en-US"/>
              </w:rPr>
              <w:t xml:space="preserve"> </w:t>
            </w:r>
            <w:r w:rsidRPr="00602A32">
              <w:rPr>
                <w:rFonts w:cs="Calibri"/>
                <w:sz w:val="20"/>
                <w:szCs w:val="20"/>
                <w:lang w:val="en-US"/>
              </w:rPr>
              <w:t>Administration</w:t>
            </w:r>
          </w:p>
        </w:tc>
      </w:tr>
      <w:tr w:rsidR="005E5647" w:rsidRPr="008C761D" w14:paraId="2283044D" w14:textId="77777777" w:rsidTr="007B1112">
        <w:tc>
          <w:tcPr>
            <w:tcW w:w="2518" w:type="dxa"/>
            <w:tcBorders>
              <w:top w:val="single" w:sz="4" w:space="0" w:color="FFFFFF"/>
              <w:bottom w:val="nil"/>
            </w:tcBorders>
            <w:shd w:val="clear" w:color="auto" w:fill="1F3864"/>
          </w:tcPr>
          <w:p w14:paraId="487E929C" w14:textId="77777777"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3ACB3719" w14:textId="77777777" w:rsidR="005E5647" w:rsidRPr="008C761D" w:rsidRDefault="005E5647" w:rsidP="00602A32">
            <w:pPr>
              <w:numPr>
                <w:ilvl w:val="0"/>
                <w:numId w:val="56"/>
              </w:numPr>
              <w:spacing w:line="240" w:lineRule="auto"/>
              <w:ind w:left="183" w:hanging="149"/>
              <w:jc w:val="both"/>
              <w:rPr>
                <w:rFonts w:cs="Calibri"/>
                <w:sz w:val="20"/>
                <w:szCs w:val="20"/>
                <w:lang w:val="en-US"/>
              </w:rPr>
            </w:pPr>
            <w:r w:rsidRPr="008C761D">
              <w:rPr>
                <w:rFonts w:cs="Calibri"/>
                <w:sz w:val="20"/>
                <w:szCs w:val="20"/>
                <w:lang w:val="en-US"/>
              </w:rPr>
              <w:t>Different levels of customs staffing can be an incentive for organized crime networks to redirect their operations to border points with weaker customs control;</w:t>
            </w:r>
          </w:p>
          <w:p w14:paraId="210D9E6A" w14:textId="77777777" w:rsidR="005E5647" w:rsidRPr="008C761D" w:rsidRDefault="005E5647" w:rsidP="00602A32">
            <w:pPr>
              <w:numPr>
                <w:ilvl w:val="0"/>
                <w:numId w:val="56"/>
              </w:numPr>
              <w:spacing w:line="240" w:lineRule="auto"/>
              <w:ind w:left="183" w:hanging="149"/>
              <w:jc w:val="both"/>
              <w:rPr>
                <w:rFonts w:cs="Calibri"/>
                <w:sz w:val="20"/>
                <w:szCs w:val="20"/>
                <w:lang w:val="en-US"/>
              </w:rPr>
            </w:pPr>
            <w:r w:rsidRPr="008C761D">
              <w:rPr>
                <w:rFonts w:cs="Calibri"/>
                <w:sz w:val="20"/>
                <w:szCs w:val="20"/>
                <w:lang w:val="en-US"/>
              </w:rPr>
              <w:t>Timely and quality implementation of trainings for handling the new sophisticated control equipment;</w:t>
            </w:r>
          </w:p>
        </w:tc>
      </w:tr>
    </w:tbl>
    <w:p w14:paraId="1748D5DE" w14:textId="77777777" w:rsidR="004A38AA" w:rsidRPr="008C761D" w:rsidRDefault="004A38AA" w:rsidP="00E84CD0">
      <w:pPr>
        <w:spacing w:line="240" w:lineRule="auto"/>
        <w:jc w:val="both"/>
        <w:rPr>
          <w:rFonts w:cs="Calibri"/>
          <w:lang w:val="en-US"/>
        </w:rPr>
      </w:pPr>
    </w:p>
    <w:p w14:paraId="4E2DDF93" w14:textId="77777777" w:rsidR="003A338C" w:rsidRPr="008C761D" w:rsidRDefault="003A338C" w:rsidP="003A338C">
      <w:pPr>
        <w:spacing w:line="240" w:lineRule="auto"/>
        <w:jc w:val="both"/>
        <w:rPr>
          <w:rFonts w:cs="Calibri"/>
          <w:b/>
          <w:color w:val="0070C0"/>
          <w:sz w:val="24"/>
          <w:szCs w:val="24"/>
          <w:lang w:val="en-US"/>
        </w:rPr>
      </w:pPr>
      <w:r w:rsidRPr="008C761D">
        <w:rPr>
          <w:rFonts w:cs="Calibri"/>
          <w:b/>
          <w:color w:val="0070C0"/>
          <w:sz w:val="24"/>
          <w:szCs w:val="24"/>
          <w:lang w:val="en-US"/>
        </w:rPr>
        <w:t>Measure 2: Modernization of customs services and their digitalization</w:t>
      </w:r>
    </w:p>
    <w:p w14:paraId="4663CE07" w14:textId="50E6FBD8" w:rsidR="00813F23" w:rsidRPr="008C761D" w:rsidRDefault="00813F23"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w:t>
      </w:r>
      <w:r w:rsidR="003A338C" w:rsidRPr="008C761D">
        <w:rPr>
          <w:rFonts w:eastAsia="MS PGothic" w:cs="Calibri"/>
          <w:b/>
          <w:bCs/>
          <w:i/>
          <w:iCs/>
          <w:color w:val="4F81BD"/>
          <w:lang w:val="en-US" w:eastAsia="zh-CN"/>
        </w:rPr>
        <w:t xml:space="preserve"> </w:t>
      </w:r>
      <w:r w:rsidRPr="008C761D">
        <w:rPr>
          <w:rFonts w:eastAsia="MS PGothic" w:cs="Calibri"/>
          <w:b/>
          <w:bCs/>
          <w:i/>
          <w:iCs/>
          <w:color w:val="4F81BD"/>
          <w:lang w:val="en-US" w:eastAsia="zh-CN"/>
        </w:rPr>
        <w:t>objective</w:t>
      </w:r>
    </w:p>
    <w:p w14:paraId="1B8F3D50" w14:textId="6FAE477B" w:rsidR="003C6564" w:rsidRPr="008C761D" w:rsidRDefault="003A338C" w:rsidP="003A338C">
      <w:pPr>
        <w:spacing w:line="240" w:lineRule="auto"/>
        <w:jc w:val="both"/>
        <w:rPr>
          <w:rFonts w:cs="Calibri"/>
          <w:lang w:val="en-US"/>
        </w:rPr>
      </w:pPr>
      <w:r w:rsidRPr="008C761D">
        <w:rPr>
          <w:rFonts w:cs="Calibri"/>
          <w:lang w:val="en-US"/>
        </w:rPr>
        <w:t xml:space="preserve">By achieving this goal through modernization and continuation of the digitalization process, and at the same time by following the recommendations for harmonization and association with the EU, </w:t>
      </w:r>
      <w:r w:rsidRPr="008C761D">
        <w:rPr>
          <w:rFonts w:cs="Calibri"/>
          <w:lang w:val="en-US"/>
        </w:rPr>
        <w:lastRenderedPageBreak/>
        <w:t>the system of public finances, fiscal discipline and efficiency in the management and use of public resources will be strengthened, transparency will be promoted and efficient services and economic development will be provided. This goal contributes to the provisions of the PFM Reform Program, which supports the dialogue with the EU and helps in more efficient use of EU funds through the institutions of North Macedonia, on the road to EU accession.</w:t>
      </w:r>
    </w:p>
    <w:p w14:paraId="274B4FEB" w14:textId="247B56C7" w:rsidR="004A38AA" w:rsidRPr="008C761D" w:rsidRDefault="004A38AA" w:rsidP="00E84CD0">
      <w:pPr>
        <w:spacing w:line="240" w:lineRule="auto"/>
        <w:jc w:val="both"/>
        <w:rPr>
          <w:rFonts w:cs="Calibri"/>
          <w:b/>
          <w:bCs/>
          <w:i/>
          <w:iCs/>
          <w:color w:val="4F81BD"/>
          <w:lang w:val="en-US"/>
        </w:rPr>
      </w:pPr>
      <w:r w:rsidRPr="008C761D">
        <w:rPr>
          <w:rFonts w:cs="Calibri"/>
          <w:b/>
          <w:bCs/>
          <w:i/>
          <w:iCs/>
          <w:color w:val="4F81BD"/>
          <w:lang w:val="en-US"/>
        </w:rPr>
        <w:t>Reference</w:t>
      </w:r>
      <w:r w:rsidR="00DF185F" w:rsidRPr="008C761D">
        <w:rPr>
          <w:rFonts w:cs="Calibri"/>
          <w:b/>
          <w:bCs/>
          <w:i/>
          <w:iCs/>
          <w:color w:val="4F81BD"/>
          <w:lang w:val="en-US"/>
        </w:rPr>
        <w:t xml:space="preserve"> </w:t>
      </w:r>
      <w:r w:rsidRPr="008C761D">
        <w:rPr>
          <w:rFonts w:cs="Calibri"/>
          <w:b/>
          <w:bCs/>
          <w:i/>
          <w:iCs/>
          <w:color w:val="4F81BD"/>
          <w:lang w:val="en-US"/>
        </w:rPr>
        <w:t>to</w:t>
      </w:r>
      <w:r w:rsidR="00DF185F" w:rsidRPr="008C761D">
        <w:rPr>
          <w:rFonts w:cs="Calibri"/>
          <w:b/>
          <w:bCs/>
          <w:i/>
          <w:iCs/>
          <w:color w:val="4F81BD"/>
          <w:lang w:val="en-US"/>
        </w:rPr>
        <w:t xml:space="preserve"> </w:t>
      </w:r>
      <w:r w:rsidRPr="008C761D">
        <w:rPr>
          <w:rFonts w:cs="Calibri"/>
          <w:b/>
          <w:bCs/>
          <w:i/>
          <w:iCs/>
          <w:color w:val="4F81BD"/>
          <w:lang w:val="en-US"/>
        </w:rPr>
        <w:t>findings</w:t>
      </w:r>
      <w:r w:rsidR="00DF185F" w:rsidRPr="008C761D">
        <w:rPr>
          <w:rFonts w:cs="Calibri"/>
          <w:b/>
          <w:bCs/>
          <w:i/>
          <w:iCs/>
          <w:color w:val="4F81BD"/>
          <w:lang w:val="en-US"/>
        </w:rPr>
        <w:t xml:space="preserve"> </w:t>
      </w:r>
      <w:r w:rsidRPr="008C761D">
        <w:rPr>
          <w:rFonts w:cs="Calibri"/>
          <w:b/>
          <w:bCs/>
          <w:i/>
          <w:iCs/>
          <w:color w:val="4F81BD"/>
          <w:lang w:val="en-US"/>
        </w:rPr>
        <w:t>from</w:t>
      </w:r>
      <w:r w:rsidR="00DF185F" w:rsidRPr="008C761D">
        <w:rPr>
          <w:rFonts w:cs="Calibri"/>
          <w:b/>
          <w:bCs/>
          <w:i/>
          <w:iCs/>
          <w:color w:val="4F81BD"/>
          <w:lang w:val="en-US"/>
        </w:rPr>
        <w:t xml:space="preserve"> </w:t>
      </w:r>
      <w:r w:rsidRPr="008C761D">
        <w:rPr>
          <w:rFonts w:cs="Calibri"/>
          <w:b/>
          <w:bCs/>
          <w:i/>
          <w:iCs/>
          <w:color w:val="4F81BD"/>
          <w:lang w:val="en-US"/>
        </w:rPr>
        <w:t>external</w:t>
      </w:r>
      <w:r w:rsidR="00DF185F" w:rsidRPr="008C761D">
        <w:rPr>
          <w:rFonts w:cs="Calibri"/>
          <w:b/>
          <w:bCs/>
          <w:i/>
          <w:iCs/>
          <w:color w:val="4F81BD"/>
          <w:lang w:val="en-US"/>
        </w:rPr>
        <w:t xml:space="preserve"> </w:t>
      </w:r>
      <w:r w:rsidRPr="008C761D">
        <w:rPr>
          <w:rFonts w:cs="Calibri"/>
          <w:b/>
          <w:bCs/>
          <w:i/>
          <w:iCs/>
          <w:color w:val="4F81BD"/>
          <w:lang w:val="en-US"/>
        </w:rPr>
        <w:t>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2"/>
        <w:gridCol w:w="7318"/>
      </w:tblGrid>
      <w:tr w:rsidR="004A38AA" w:rsidRPr="008C761D" w14:paraId="2213A44D" w14:textId="77777777" w:rsidTr="00E059A9">
        <w:tc>
          <w:tcPr>
            <w:tcW w:w="1262" w:type="dxa"/>
            <w:shd w:val="clear" w:color="auto" w:fill="DDDDDD"/>
          </w:tcPr>
          <w:p w14:paraId="0F45B514" w14:textId="77777777" w:rsidR="004A38AA" w:rsidRPr="003C6564" w:rsidRDefault="004A38AA" w:rsidP="00E84CD0">
            <w:pPr>
              <w:spacing w:line="240" w:lineRule="auto"/>
              <w:jc w:val="both"/>
              <w:rPr>
                <w:rFonts w:cs="Calibri"/>
                <w:b/>
                <w:sz w:val="20"/>
                <w:szCs w:val="20"/>
                <w:lang w:val="en-US"/>
              </w:rPr>
            </w:pPr>
            <w:r w:rsidRPr="003C6564">
              <w:rPr>
                <w:rFonts w:cs="Calibri"/>
                <w:b/>
                <w:sz w:val="20"/>
                <w:szCs w:val="20"/>
                <w:lang w:val="en-US"/>
              </w:rPr>
              <w:t>EU:</w:t>
            </w:r>
          </w:p>
        </w:tc>
        <w:tc>
          <w:tcPr>
            <w:tcW w:w="7318" w:type="dxa"/>
            <w:shd w:val="clear" w:color="auto" w:fill="DDDDDD"/>
          </w:tcPr>
          <w:p w14:paraId="0040776B" w14:textId="6B75D26E" w:rsidR="004A38AA" w:rsidRPr="008C761D" w:rsidRDefault="004A38AA" w:rsidP="00E84CD0">
            <w:pPr>
              <w:spacing w:line="240" w:lineRule="auto"/>
              <w:jc w:val="both"/>
              <w:rPr>
                <w:rFonts w:cs="Calibri"/>
                <w:b/>
                <w:sz w:val="20"/>
                <w:szCs w:val="20"/>
                <w:lang w:val="en-US"/>
              </w:rPr>
            </w:pPr>
            <w:r w:rsidRPr="008C761D">
              <w:rPr>
                <w:rFonts w:cs="Calibri"/>
                <w:b/>
                <w:sz w:val="20"/>
                <w:szCs w:val="20"/>
                <w:lang w:val="en-US"/>
              </w:rPr>
              <w:t>EU Report</w:t>
            </w:r>
            <w:r w:rsidR="003A338C" w:rsidRPr="008C761D">
              <w:rPr>
                <w:rFonts w:cs="Calibri"/>
                <w:b/>
                <w:sz w:val="20"/>
                <w:szCs w:val="20"/>
                <w:lang w:val="en-US"/>
              </w:rPr>
              <w:t xml:space="preserve"> </w:t>
            </w:r>
            <w:r w:rsidRPr="008C761D">
              <w:rPr>
                <w:rFonts w:cs="Calibri"/>
                <w:b/>
                <w:sz w:val="20"/>
                <w:szCs w:val="20"/>
                <w:lang w:val="en-US"/>
              </w:rPr>
              <w:t>for 202</w:t>
            </w:r>
            <w:r w:rsidR="00A705BA" w:rsidRPr="008C761D">
              <w:rPr>
                <w:rFonts w:cs="Calibri"/>
                <w:b/>
                <w:sz w:val="20"/>
                <w:szCs w:val="20"/>
                <w:lang w:val="en-US"/>
              </w:rPr>
              <w:t>3</w:t>
            </w:r>
          </w:p>
          <w:p w14:paraId="23E176FD"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North Macedonia has a good level of preparation in this area. Limited progress was made</w:t>
            </w:r>
          </w:p>
          <w:p w14:paraId="1B9E837B"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on consolidation, application and upgrade of IT systems while the Concept of authorised</w:t>
            </w:r>
          </w:p>
          <w:p w14:paraId="2B26C8AC"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economic operators (AEO) was further promoted, including through regional cooperation</w:t>
            </w:r>
          </w:p>
          <w:p w14:paraId="09ED30CD"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initiatives among the customs administrations of the WB6 countries. In the coming year, the country should, in particular continue the consolidation and full application of its IT systems, including alignment with the Commission's Multiannual Strategic Plan (MASP) modules, ensure their continuous upgrade, and business continuity.</w:t>
            </w:r>
          </w:p>
          <w:p w14:paraId="678CDD53" w14:textId="77777777" w:rsidR="004A38AA" w:rsidRPr="008C761D" w:rsidRDefault="004A38AA" w:rsidP="00E84CD0">
            <w:pPr>
              <w:spacing w:after="0" w:line="240" w:lineRule="auto"/>
              <w:jc w:val="both"/>
              <w:rPr>
                <w:rFonts w:cs="Calibri"/>
                <w:sz w:val="20"/>
                <w:szCs w:val="20"/>
                <w:lang w:val="en-US"/>
              </w:rPr>
            </w:pPr>
          </w:p>
        </w:tc>
      </w:tr>
      <w:tr w:rsidR="004A38AA" w:rsidRPr="008C761D" w14:paraId="6C9DCF5A" w14:textId="77777777" w:rsidTr="00E059A9">
        <w:tc>
          <w:tcPr>
            <w:tcW w:w="1262" w:type="dxa"/>
            <w:shd w:val="clear" w:color="auto" w:fill="DDDDDD"/>
          </w:tcPr>
          <w:p w14:paraId="6692EE12" w14:textId="77777777" w:rsidR="004A38AA" w:rsidRPr="003C6564" w:rsidRDefault="004A38AA" w:rsidP="00E84CD0">
            <w:pPr>
              <w:spacing w:line="240" w:lineRule="auto"/>
              <w:jc w:val="both"/>
              <w:rPr>
                <w:rFonts w:cs="Calibri"/>
                <w:b/>
                <w:sz w:val="20"/>
                <w:szCs w:val="20"/>
                <w:lang w:val="en-US"/>
              </w:rPr>
            </w:pPr>
            <w:r w:rsidRPr="003C6564">
              <w:rPr>
                <w:rFonts w:cs="Calibri"/>
                <w:b/>
                <w:sz w:val="20"/>
                <w:szCs w:val="20"/>
                <w:lang w:val="en-US"/>
              </w:rPr>
              <w:t>Others:</w:t>
            </w:r>
          </w:p>
        </w:tc>
        <w:tc>
          <w:tcPr>
            <w:tcW w:w="7318" w:type="dxa"/>
            <w:shd w:val="clear" w:color="auto" w:fill="DDDDDD"/>
          </w:tcPr>
          <w:p w14:paraId="72CAAB8D" w14:textId="5749488F" w:rsidR="003A338C" w:rsidRPr="008C761D" w:rsidRDefault="003A338C" w:rsidP="00DF185F">
            <w:pPr>
              <w:spacing w:line="240" w:lineRule="auto"/>
              <w:jc w:val="both"/>
              <w:rPr>
                <w:rFonts w:cs="Calibri"/>
                <w:sz w:val="20"/>
                <w:szCs w:val="20"/>
                <w:lang w:val="en-US"/>
              </w:rPr>
            </w:pPr>
            <w:r w:rsidRPr="008C761D">
              <w:rPr>
                <w:rFonts w:cs="Calibri"/>
                <w:b/>
                <w:sz w:val="20"/>
                <w:szCs w:val="20"/>
                <w:lang w:val="en-US"/>
              </w:rPr>
              <w:t>Ensuring continuity of business processes in the Customs Administration and data storage through consolidation of ICT systems and establishment of a joint Data Center in case of crisis and natural disasters ("Disaster</w:t>
            </w:r>
            <w:r w:rsidR="00D4719C">
              <w:rPr>
                <w:rFonts w:cs="Calibri"/>
                <w:b/>
                <w:sz w:val="20"/>
                <w:szCs w:val="20"/>
                <w:lang w:val="en-US"/>
              </w:rPr>
              <w:t xml:space="preserve"> </w:t>
            </w:r>
            <w:r w:rsidRPr="008C761D">
              <w:rPr>
                <w:rFonts w:cs="Calibri"/>
                <w:b/>
                <w:sz w:val="20"/>
                <w:szCs w:val="20"/>
                <w:lang w:val="en-US"/>
              </w:rPr>
              <w:t>Recovery</w:t>
            </w:r>
            <w:r w:rsidR="00D4719C">
              <w:rPr>
                <w:rFonts w:cs="Calibri"/>
                <w:b/>
                <w:sz w:val="20"/>
                <w:szCs w:val="20"/>
                <w:lang w:val="en-US"/>
              </w:rPr>
              <w:t xml:space="preserve"> </w:t>
            </w:r>
            <w:r w:rsidRPr="008C761D">
              <w:rPr>
                <w:rFonts w:cs="Calibri"/>
                <w:b/>
                <w:sz w:val="20"/>
                <w:szCs w:val="20"/>
                <w:lang w:val="en-US"/>
              </w:rPr>
              <w:t>Centre") (IPA2 - IPA 2018</w:t>
            </w:r>
            <w:r w:rsidR="003E6E80">
              <w:rPr>
                <w:rFonts w:cs="Calibri"/>
                <w:b/>
                <w:sz w:val="20"/>
                <w:szCs w:val="20"/>
                <w:lang w:val="en-US"/>
              </w:rPr>
              <w:t>)</w:t>
            </w:r>
            <w:r w:rsidR="00FD485A">
              <w:rPr>
                <w:rFonts w:cs="Calibri"/>
                <w:b/>
                <w:sz w:val="20"/>
                <w:szCs w:val="20"/>
                <w:lang w:val="en-US"/>
              </w:rPr>
              <w:t xml:space="preserve"> </w:t>
            </w:r>
            <w:r w:rsidRPr="008C761D">
              <w:rPr>
                <w:rFonts w:cs="Calibri"/>
                <w:sz w:val="20"/>
                <w:szCs w:val="20"/>
                <w:lang w:val="en-US"/>
              </w:rPr>
              <w:t>Through this project, equipment for establishment of a joint Data Center in case of crisis and natural disasters was procured; As part of this project, procurement of 200 personal computers for border crossings and internal customs offices was realized.</w:t>
            </w:r>
          </w:p>
          <w:p w14:paraId="64243256" w14:textId="77777777" w:rsidR="003A338C" w:rsidRPr="008C761D" w:rsidRDefault="003A338C" w:rsidP="003A338C">
            <w:pPr>
              <w:spacing w:after="0" w:line="240" w:lineRule="auto"/>
              <w:jc w:val="both"/>
              <w:rPr>
                <w:sz w:val="20"/>
                <w:szCs w:val="20"/>
                <w:lang w:val="en-US"/>
              </w:rPr>
            </w:pPr>
            <w:r w:rsidRPr="008C761D">
              <w:rPr>
                <w:rFonts w:cs="Calibri"/>
                <w:b/>
                <w:bCs/>
                <w:sz w:val="20"/>
                <w:szCs w:val="20"/>
                <w:lang w:val="en-US"/>
              </w:rPr>
              <w:t>Implement System for Identity and Access Management (IAM) and Registration of Economic Operators (EORI2), in line with the latest EU requirements</w:t>
            </w:r>
            <w:r w:rsidRPr="008C761D">
              <w:rPr>
                <w:b/>
                <w:bCs/>
                <w:sz w:val="20"/>
                <w:szCs w:val="20"/>
                <w:lang w:val="en-US"/>
              </w:rPr>
              <w:t xml:space="preserve"> </w:t>
            </w:r>
            <w:r w:rsidRPr="008C761D">
              <w:rPr>
                <w:rFonts w:cs="Calibri"/>
                <w:b/>
                <w:bCs/>
                <w:sz w:val="20"/>
                <w:szCs w:val="20"/>
                <w:lang w:val="en-US"/>
              </w:rPr>
              <w:t>(IPA 3 – IPA 2021-2022)</w:t>
            </w:r>
            <w:r w:rsidRPr="008C761D">
              <w:rPr>
                <w:sz w:val="20"/>
                <w:szCs w:val="20"/>
                <w:lang w:val="en-US"/>
              </w:rPr>
              <w:t xml:space="preserve"> </w:t>
            </w:r>
          </w:p>
          <w:p w14:paraId="5BABFFA8" w14:textId="0D2144E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This</w:t>
            </w:r>
            <w:r w:rsidRPr="008C761D">
              <w:rPr>
                <w:sz w:val="20"/>
                <w:szCs w:val="20"/>
                <w:lang w:val="en-US"/>
              </w:rPr>
              <w:t xml:space="preserve"> </w:t>
            </w:r>
            <w:r w:rsidRPr="008C761D">
              <w:rPr>
                <w:rFonts w:cs="Calibri"/>
                <w:sz w:val="20"/>
                <w:szCs w:val="20"/>
                <w:lang w:val="en-US"/>
              </w:rPr>
              <w:t xml:space="preserve">should be harmonized at </w:t>
            </w:r>
            <w:r w:rsidR="00D4719C" w:rsidRPr="008C761D">
              <w:rPr>
                <w:rFonts w:cs="Calibri"/>
                <w:sz w:val="20"/>
                <w:szCs w:val="20"/>
                <w:lang w:val="en-US"/>
              </w:rPr>
              <w:t>national</w:t>
            </w:r>
            <w:r w:rsidRPr="008C761D">
              <w:rPr>
                <w:rFonts w:cs="Calibri"/>
                <w:sz w:val="20"/>
                <w:szCs w:val="20"/>
                <w:lang w:val="en-US"/>
              </w:rPr>
              <w:t xml:space="preserve"> level with the standards defined in the Multi-Annual Strategic Plan of the EU for the implementation of the eCustoms program - MASP - C. The funds for realization are planned from the EU IPA funds.</w:t>
            </w:r>
          </w:p>
          <w:p w14:paraId="707BB7E1" w14:textId="77777777" w:rsidR="003A338C" w:rsidRPr="003C6564" w:rsidRDefault="003A338C" w:rsidP="003A338C">
            <w:pPr>
              <w:spacing w:after="0" w:line="240" w:lineRule="auto"/>
              <w:jc w:val="both"/>
              <w:rPr>
                <w:rFonts w:cs="Calibri"/>
                <w:sz w:val="10"/>
                <w:szCs w:val="10"/>
                <w:lang w:val="en-US"/>
              </w:rPr>
            </w:pPr>
          </w:p>
          <w:p w14:paraId="554A2980"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The Customs Administration is working on preparation of the new legislative framework – Customs Law and respective implementing regulation to harmonise with the current Union Customs Law (UCC). The UCC main feature is digitalisation of all the processes related to the trade and customs. Hence, the programs, hardware, and software that are in use in the Customs Administration is necessary to be properly aligned with EU requirements. It is important to point that from the ICT perspective and e-customs, the Multi-Annual Strategic Plan for electronic Customs MASP – C1 of the EU is the ultimate goal to be achieved for the digitalisation in the customs area/union. The task of the Customs Administration in the following years is to prepare necessary infrastructure in hardware and most important in software for the upcoming reforms and upgrades of ICT systems.</w:t>
            </w:r>
          </w:p>
          <w:p w14:paraId="1926E998"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 ICT Customs systems:</w:t>
            </w:r>
          </w:p>
          <w:p w14:paraId="04DC3ABF"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 Import System (AEI, SP, ICS2, e-Com&amp;CP), </w:t>
            </w:r>
          </w:p>
          <w:p w14:paraId="0FC672A7"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 Export System (AES, SP), </w:t>
            </w:r>
          </w:p>
          <w:p w14:paraId="4B292C29"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NCTS System phase 6.</w:t>
            </w:r>
          </w:p>
          <w:p w14:paraId="05900347" w14:textId="77777777" w:rsidR="003A338C" w:rsidRPr="003C6564" w:rsidRDefault="003A338C" w:rsidP="003A338C">
            <w:pPr>
              <w:spacing w:after="0" w:line="240" w:lineRule="auto"/>
              <w:jc w:val="both"/>
              <w:rPr>
                <w:rFonts w:cs="Calibri"/>
                <w:sz w:val="10"/>
                <w:szCs w:val="10"/>
                <w:lang w:val="en-US"/>
              </w:rPr>
            </w:pPr>
          </w:p>
          <w:p w14:paraId="00DA813B"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ICT infrastructure:</w:t>
            </w:r>
          </w:p>
          <w:p w14:paraId="599C5E04"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The needs of Customs Administration in area of the ICT infrastructure are extensive due to the </w:t>
            </w:r>
          </w:p>
          <w:p w14:paraId="5ECFB863"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scope of activities and procedures implemented in digital format. In the estimations of the CARNM the next procurement of the ICT infrastructure equipment (Hardware and System software) that needs to be procured is around 1mil EUR (within the period of three years). This equipment shall fill the gaps that will be generated by development </w:t>
            </w:r>
            <w:r w:rsidRPr="008C761D">
              <w:rPr>
                <w:rFonts w:cs="Calibri"/>
                <w:sz w:val="20"/>
                <w:szCs w:val="20"/>
                <w:lang w:val="en-US"/>
              </w:rPr>
              <w:lastRenderedPageBreak/>
              <w:t xml:space="preserve">of new Customs Systems; or due to the need to renew some of the existing equipment. Further, the Hardware infrastructure installed in the CARNM shall be renewed every 3 years and the approximate value based on the </w:t>
            </w:r>
          </w:p>
          <w:p w14:paraId="61E199B6" w14:textId="77777777"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 xml:space="preserve">latest available data to CARNM is indicatively 0,6mil EUR/renewal. The same amount is necessary </w:t>
            </w:r>
          </w:p>
          <w:p w14:paraId="7D9A1F7B" w14:textId="612FF436" w:rsidR="003A338C" w:rsidRPr="008C761D" w:rsidRDefault="003A338C" w:rsidP="003A338C">
            <w:pPr>
              <w:spacing w:after="0" w:line="240" w:lineRule="auto"/>
              <w:jc w:val="both"/>
              <w:rPr>
                <w:rFonts w:cs="Calibri"/>
                <w:sz w:val="20"/>
                <w:szCs w:val="20"/>
                <w:lang w:val="en-US"/>
              </w:rPr>
            </w:pPr>
            <w:r w:rsidRPr="008C761D">
              <w:rPr>
                <w:rFonts w:cs="Calibri"/>
                <w:sz w:val="20"/>
                <w:szCs w:val="20"/>
                <w:lang w:val="en-US"/>
              </w:rPr>
              <w:t>for acquisition of Licenses for the new EU systems as approximate amount.</w:t>
            </w:r>
          </w:p>
          <w:p w14:paraId="1CB6B316" w14:textId="77777777" w:rsidR="003A338C" w:rsidRPr="008C761D" w:rsidRDefault="003A338C" w:rsidP="003A338C">
            <w:pPr>
              <w:spacing w:after="0" w:line="240" w:lineRule="auto"/>
              <w:jc w:val="both"/>
              <w:rPr>
                <w:rFonts w:cs="Calibri"/>
                <w:b/>
                <w:bCs/>
                <w:sz w:val="20"/>
                <w:szCs w:val="20"/>
                <w:lang w:val="en-US"/>
              </w:rPr>
            </w:pPr>
            <w:r w:rsidRPr="008C761D">
              <w:rPr>
                <w:rFonts w:cs="Calibri"/>
                <w:b/>
                <w:bCs/>
                <w:sz w:val="20"/>
                <w:szCs w:val="20"/>
                <w:lang w:val="en-US"/>
              </w:rPr>
              <w:t>Modernization and digitalization of E-Customs systems of Customs administration of the Republic of North Macedonia</w:t>
            </w:r>
          </w:p>
          <w:p w14:paraId="2CAC64A5" w14:textId="28012125" w:rsidR="004A38AA" w:rsidRPr="008C761D" w:rsidRDefault="003A338C" w:rsidP="003A338C">
            <w:pPr>
              <w:spacing w:after="0" w:line="240" w:lineRule="auto"/>
              <w:jc w:val="both"/>
              <w:rPr>
                <w:rFonts w:cs="Calibri"/>
                <w:sz w:val="20"/>
                <w:szCs w:val="20"/>
                <w:lang w:val="en-US"/>
              </w:rPr>
            </w:pPr>
            <w:r w:rsidRPr="008C761D">
              <w:rPr>
                <w:rFonts w:cs="Calibri"/>
                <w:sz w:val="20"/>
                <w:szCs w:val="20"/>
                <w:lang w:val="en-US"/>
              </w:rPr>
              <w:t>The Customs Administration gets a 4.8 million US dollars grant from the Government of the Republic of Korea for development and implementation of a risk management system and data warehouse.</w:t>
            </w:r>
            <w:r w:rsidRPr="008C761D">
              <w:rPr>
                <w:sz w:val="20"/>
                <w:szCs w:val="20"/>
                <w:lang w:val="en-US"/>
              </w:rPr>
              <w:t xml:space="preserve"> </w:t>
            </w:r>
            <w:r w:rsidRPr="008C761D">
              <w:rPr>
                <w:rFonts w:cs="Calibri"/>
                <w:sz w:val="20"/>
                <w:szCs w:val="20"/>
                <w:lang w:val="en-US"/>
              </w:rPr>
              <w:t>The establishment of this system will enable better targeting of declarations with risk of paying duties in an amount lower than the real price of the goods, incorrect customs classification or incorrect origin of the goods declaration. Future policies based on this system will be aimed at developing the Customs Administration and improving risk management.</w:t>
            </w:r>
          </w:p>
        </w:tc>
      </w:tr>
    </w:tbl>
    <w:p w14:paraId="384BC651" w14:textId="77777777" w:rsidR="00DF185F" w:rsidRPr="008C761D" w:rsidRDefault="00DF185F" w:rsidP="00E84CD0">
      <w:pPr>
        <w:spacing w:line="240" w:lineRule="auto"/>
        <w:jc w:val="both"/>
        <w:rPr>
          <w:rFonts w:cs="Calibri"/>
          <w:lang w:val="en-US"/>
        </w:rPr>
      </w:pPr>
    </w:p>
    <w:p w14:paraId="1A7B588D" w14:textId="77777777" w:rsidR="004A38AA" w:rsidRPr="008C761D" w:rsidRDefault="004A38AA"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3DD3389D" w14:textId="1F4D2929" w:rsidR="00D30E64" w:rsidRPr="008C761D" w:rsidRDefault="00D30E64" w:rsidP="00D30E64">
      <w:pPr>
        <w:spacing w:line="240" w:lineRule="auto"/>
        <w:jc w:val="both"/>
        <w:rPr>
          <w:rFonts w:cs="Calibri"/>
          <w:lang w:val="en-US"/>
        </w:rPr>
      </w:pPr>
      <w:r w:rsidRPr="008C761D">
        <w:rPr>
          <w:rFonts w:cs="Calibri"/>
          <w:lang w:val="en-US"/>
        </w:rPr>
        <w:t>An</w:t>
      </w:r>
      <w:r w:rsidR="00EA4DEC">
        <w:rPr>
          <w:rFonts w:cs="Calibri"/>
          <w:lang w:val="en-US"/>
        </w:rPr>
        <w:t xml:space="preserve"> </w:t>
      </w:r>
      <w:r w:rsidRPr="008C761D">
        <w:rPr>
          <w:rFonts w:cs="Calibri"/>
          <w:lang w:val="en-US"/>
        </w:rPr>
        <w:t>important strategic goal of the CA will be the establishment of interoperability and interconnection with European systems, but also integration with systems at the national level.</w:t>
      </w:r>
    </w:p>
    <w:p w14:paraId="6B2FC2FD" w14:textId="77777777" w:rsidR="00D30E64" w:rsidRPr="008C761D" w:rsidRDefault="00D30E64" w:rsidP="00D30E64">
      <w:pPr>
        <w:spacing w:line="240" w:lineRule="auto"/>
        <w:jc w:val="both"/>
        <w:rPr>
          <w:rFonts w:cs="Calibri"/>
          <w:lang w:val="en-US"/>
        </w:rPr>
      </w:pPr>
      <w:r w:rsidRPr="008C761D">
        <w:rPr>
          <w:rFonts w:cs="Calibri"/>
          <w:lang w:val="en-US"/>
        </w:rPr>
        <w:t>In exploiting the opportunities, special emphasis will be placed on the constant consolidation of IT systems and their upgrading and maintenance according to technological development, which will provide better quality and greater availability of electronic public services as a benefit for service users who would fulfill their obligations within of customs procedures without the obligation of physical presence.</w:t>
      </w:r>
    </w:p>
    <w:p w14:paraId="22584997" w14:textId="77777777" w:rsidR="00D30E64" w:rsidRPr="008C761D" w:rsidRDefault="00D30E64" w:rsidP="00D30E64">
      <w:pPr>
        <w:spacing w:line="240" w:lineRule="auto"/>
        <w:jc w:val="both"/>
        <w:rPr>
          <w:rFonts w:cs="Calibri"/>
          <w:lang w:val="en-US"/>
        </w:rPr>
      </w:pPr>
      <w:r w:rsidRPr="008C761D">
        <w:rPr>
          <w:rFonts w:cs="Calibri"/>
          <w:lang w:val="en-US"/>
        </w:rPr>
        <w:t>With the implementation of modern technologies, the knowledge of the customs officers will be improved, who would have the opportunity for more analysis and better supervision. The training system needs to be strengthened to be able to follow the vocational training needs imposed by digitalisation and modernization in general.</w:t>
      </w:r>
    </w:p>
    <w:p w14:paraId="300BEC11" w14:textId="77777777" w:rsidR="00D30E64" w:rsidRPr="008C761D" w:rsidRDefault="00D30E64" w:rsidP="00D30E64">
      <w:pPr>
        <w:spacing w:line="240" w:lineRule="auto"/>
        <w:jc w:val="both"/>
        <w:rPr>
          <w:rFonts w:cs="Calibri"/>
          <w:lang w:val="en-US"/>
        </w:rPr>
      </w:pPr>
      <w:r w:rsidRPr="008C761D">
        <w:rPr>
          <w:rFonts w:cs="Calibri"/>
          <w:lang w:val="en-US"/>
        </w:rPr>
        <w:t>The work processes will be subject to optimization, rationalization and further editing with acts.</w:t>
      </w:r>
    </w:p>
    <w:p w14:paraId="546C0338" w14:textId="77777777" w:rsidR="00D30E64" w:rsidRPr="008C761D" w:rsidRDefault="00D30E64" w:rsidP="00D30E64">
      <w:pPr>
        <w:spacing w:line="240" w:lineRule="auto"/>
        <w:jc w:val="both"/>
        <w:rPr>
          <w:rFonts w:cs="Calibri"/>
          <w:lang w:val="en-US"/>
        </w:rPr>
      </w:pPr>
      <w:r w:rsidRPr="008C761D">
        <w:rPr>
          <w:rFonts w:cs="Calibri"/>
          <w:lang w:val="en-US"/>
        </w:rPr>
        <w:t>The motivation of the employees and their interest in achieving higher professional standards will be nurtured. One of the goals will be to direct the activities towards providing more customs experts who will be especially important when starting the negotiations with the European Union.</w:t>
      </w:r>
    </w:p>
    <w:p w14:paraId="4EC45A47" w14:textId="77777777" w:rsidR="00D30E64" w:rsidRPr="008C761D" w:rsidRDefault="00D30E64" w:rsidP="00D30E64">
      <w:pPr>
        <w:spacing w:line="240" w:lineRule="auto"/>
        <w:jc w:val="both"/>
        <w:rPr>
          <w:rFonts w:cs="Calibri"/>
          <w:lang w:val="en-US"/>
        </w:rPr>
      </w:pPr>
      <w:r w:rsidRPr="008C761D">
        <w:rPr>
          <w:rFonts w:cs="Calibri"/>
          <w:lang w:val="en-US"/>
        </w:rPr>
        <w:t>The Customs Administration will also strive to improve the working conditions of its employees.</w:t>
      </w:r>
    </w:p>
    <w:p w14:paraId="5DC834F3" w14:textId="77777777" w:rsidR="00D30E64" w:rsidRPr="008C761D" w:rsidRDefault="00D30E64" w:rsidP="00D30E64">
      <w:pPr>
        <w:spacing w:line="240" w:lineRule="auto"/>
        <w:jc w:val="both"/>
        <w:rPr>
          <w:rFonts w:cs="Calibri"/>
          <w:lang w:val="en-US"/>
        </w:rPr>
      </w:pPr>
      <w:r w:rsidRPr="008C761D">
        <w:rPr>
          <w:rFonts w:cs="Calibri"/>
          <w:lang w:val="en-US"/>
        </w:rPr>
        <w:t>Within the IPA 2018 national program, the Customs Administration procured equipment - Improving the quality of customs controls and combating fraud and illicit trade in goods from the Project "Increasing quality of customs controls in combating fraud and illegal trafficking of goods". as well as equipment for the Disaster Recovery Center, in order to ensure continuity of business processes in the Customs Administration and data storage through consolidation of ICT systems and establishment of a joint Data Center in case of crisis and natural disasters.</w:t>
      </w:r>
    </w:p>
    <w:p w14:paraId="64A44257" w14:textId="77777777" w:rsidR="00D30E64" w:rsidRPr="008C761D" w:rsidRDefault="00D30E64" w:rsidP="00D30E64">
      <w:pPr>
        <w:spacing w:line="240" w:lineRule="auto"/>
        <w:jc w:val="both"/>
        <w:rPr>
          <w:rFonts w:cs="Calibri"/>
          <w:lang w:val="en-US"/>
        </w:rPr>
      </w:pPr>
      <w:r w:rsidRPr="008C761D">
        <w:rPr>
          <w:rFonts w:cs="Calibri"/>
          <w:lang w:val="en-US"/>
        </w:rPr>
        <w:t>In 2021, the activities related to the harmonization of tax and customs legislation continue, which are implemented with twinning support within the EU-IPA 2018 twinning project "Improving Revenue Collection and Tax and Customs Policy". The full text of the new Customs Law (UCC) and the full bylaws (implementing and delegating) have been prepared. In this project, the Customs Administration appears as a participant in Component 1 (Alignment of Legislation) and holder of Component 3 (Capacity Building of the Customs Administration).</w:t>
      </w:r>
    </w:p>
    <w:p w14:paraId="0C91EB4F" w14:textId="6F498448" w:rsidR="00D30E64" w:rsidRPr="008C761D" w:rsidRDefault="00D30E64" w:rsidP="00D30E64">
      <w:pPr>
        <w:spacing w:line="240" w:lineRule="auto"/>
        <w:jc w:val="both"/>
        <w:rPr>
          <w:rFonts w:cs="Calibri"/>
          <w:lang w:val="en-US"/>
        </w:rPr>
      </w:pPr>
      <w:r w:rsidRPr="008C761D">
        <w:rPr>
          <w:rFonts w:cs="Calibri"/>
          <w:lang w:val="en-US"/>
        </w:rPr>
        <w:lastRenderedPageBreak/>
        <w:t xml:space="preserve">The </w:t>
      </w:r>
      <w:r w:rsidR="0014432F">
        <w:rPr>
          <w:rFonts w:cs="Calibri"/>
          <w:lang w:val="en-US"/>
        </w:rPr>
        <w:t>S</w:t>
      </w:r>
      <w:r w:rsidRPr="008C761D">
        <w:rPr>
          <w:rFonts w:cs="Calibri"/>
          <w:lang w:val="en-US"/>
        </w:rPr>
        <w:t>trategic plan</w:t>
      </w:r>
      <w:r w:rsidR="0014432F">
        <w:rPr>
          <w:rFonts w:cs="Calibri"/>
          <w:lang w:val="en-US"/>
        </w:rPr>
        <w:t xml:space="preserve"> 2024-2026</w:t>
      </w:r>
      <w:r w:rsidRPr="008C761D">
        <w:rPr>
          <w:rFonts w:cs="Calibri"/>
          <w:lang w:val="en-US"/>
        </w:rPr>
        <w:t xml:space="preserve"> builds on the previously realized activities and is complementary to the strategic activities defined by the separate strategies of the Customs Administration that refer to specific domains of implementation of the missions of the service: Strategy for development of ICT of the Customs Administration 2021-2025; Customs Risk Management Strategy for Customs Issues 2023-2026; Integrity and Anti-Corruption Strategy in the Customs Administration of the Republic of North Macedonia 2019-2022; Strategy for training and development of competencies in the Customs Administration of the Republic of North Macedonia 2021-2023;</w:t>
      </w:r>
    </w:p>
    <w:p w14:paraId="54FCF829" w14:textId="77777777" w:rsidR="00D30E64" w:rsidRPr="008C761D" w:rsidRDefault="00D30E64" w:rsidP="00D30E64">
      <w:pPr>
        <w:spacing w:line="240" w:lineRule="auto"/>
        <w:jc w:val="both"/>
        <w:rPr>
          <w:rFonts w:cs="Calibri"/>
          <w:lang w:val="en-US"/>
        </w:rPr>
      </w:pPr>
      <w:r w:rsidRPr="008C761D">
        <w:rPr>
          <w:rFonts w:cs="Calibri"/>
          <w:lang w:val="en-US"/>
        </w:rPr>
        <w:t>Digital Customs remains a driving factor in facilitating the exchange of information, the complexity of procedures and physical contacts with economic operators. The concrete benefits are recognized in reduced costs, lower efficiency risk and prevention of corrupt practices.</w:t>
      </w:r>
    </w:p>
    <w:p w14:paraId="07C91B28" w14:textId="77777777" w:rsidR="00D30E64" w:rsidRPr="008C761D" w:rsidRDefault="00D30E64" w:rsidP="00D30E64">
      <w:pPr>
        <w:spacing w:line="240" w:lineRule="auto"/>
        <w:jc w:val="both"/>
        <w:rPr>
          <w:rFonts w:cs="Calibri"/>
          <w:lang w:val="en-US"/>
        </w:rPr>
      </w:pPr>
      <w:r w:rsidRPr="008C761D">
        <w:rPr>
          <w:rFonts w:cs="Calibri"/>
          <w:lang w:val="en-US"/>
        </w:rPr>
        <w:t>One of the most important strategic goals of the CA will be the establishment of interoperability and interconnection with European systems, but also integration with systems at the national level.</w:t>
      </w:r>
    </w:p>
    <w:p w14:paraId="72E98E50" w14:textId="77777777" w:rsidR="0037730E" w:rsidRDefault="0037730E" w:rsidP="00361E94">
      <w:pPr>
        <w:spacing w:line="240" w:lineRule="auto"/>
        <w:jc w:val="both"/>
        <w:rPr>
          <w:rFonts w:cs="Calibri"/>
          <w:b/>
          <w:bCs/>
          <w:iCs/>
          <w:color w:val="0070C0"/>
          <w:lang w:val="en-US"/>
        </w:rPr>
      </w:pPr>
    </w:p>
    <w:p w14:paraId="3CA9B39C" w14:textId="0BF93817" w:rsidR="00361E94" w:rsidRPr="003C6564" w:rsidRDefault="00361E94" w:rsidP="00361E94">
      <w:pPr>
        <w:spacing w:line="240" w:lineRule="auto"/>
        <w:jc w:val="both"/>
        <w:rPr>
          <w:rFonts w:cs="Calibri"/>
          <w:b/>
          <w:bCs/>
          <w:iCs/>
          <w:color w:val="0070C0"/>
          <w:lang w:val="en-US"/>
        </w:rPr>
      </w:pPr>
      <w:r w:rsidRPr="003C6564">
        <w:rPr>
          <w:rFonts w:cs="Calibri"/>
          <w:b/>
          <w:bCs/>
          <w:iCs/>
          <w:color w:val="0070C0"/>
          <w:lang w:val="en-US"/>
        </w:rPr>
        <w:t>Activity 1: Implementation of modern systems in order to comply with the Multiannual Strategic Plan of the EU (MASP), integration with European systems and procurement of appropriate hardware.</w:t>
      </w:r>
    </w:p>
    <w:p w14:paraId="1BA875AE" w14:textId="77777777" w:rsidR="00361E94" w:rsidRPr="008C761D" w:rsidRDefault="00361E94" w:rsidP="00361E94">
      <w:pPr>
        <w:spacing w:line="240" w:lineRule="auto"/>
        <w:jc w:val="both"/>
        <w:rPr>
          <w:rFonts w:cs="Calibri"/>
          <w:lang w:val="en-US"/>
        </w:rPr>
      </w:pPr>
      <w:r w:rsidRPr="008C761D">
        <w:rPr>
          <w:rFonts w:cs="Calibri"/>
          <w:lang w:val="en-US"/>
        </w:rPr>
        <w:t>In order to be modern and efficient and ready to adapt to the inevitable changes, the CA will raise the level of quality and professionalism of the work performed by the customs officers, in accordance with the principles of simplification, fairness and efficiency. Customs strives to be “SMART” which is in line with the policy of the World Customs Organization, which means: secure borders, automation, traceability and measurability, improving risk management and above all monitoring and application of the latest technology.</w:t>
      </w:r>
    </w:p>
    <w:p w14:paraId="28B76416" w14:textId="77777777" w:rsidR="00361E94" w:rsidRPr="008C761D" w:rsidRDefault="00361E94" w:rsidP="00361E94">
      <w:pPr>
        <w:spacing w:line="240" w:lineRule="auto"/>
        <w:jc w:val="both"/>
        <w:rPr>
          <w:rFonts w:cs="Calibri"/>
          <w:lang w:val="en-US"/>
        </w:rPr>
      </w:pPr>
      <w:r w:rsidRPr="008C761D">
        <w:rPr>
          <w:rFonts w:cs="Calibri"/>
          <w:lang w:val="en-US"/>
        </w:rPr>
        <w:t>Modern working conditions, including equipment and IT support, is key to achieving this priority. Special attention will be paid to additional digitalization of processes and upgrading of existing equipment (hardware, software and licenses) for its implementation.</w:t>
      </w:r>
    </w:p>
    <w:p w14:paraId="1E876B99" w14:textId="77777777" w:rsidR="00361E94" w:rsidRPr="008C761D" w:rsidRDefault="00361E94" w:rsidP="00361E94">
      <w:pPr>
        <w:spacing w:line="240" w:lineRule="auto"/>
        <w:jc w:val="both"/>
        <w:rPr>
          <w:rFonts w:cs="Calibri"/>
          <w:lang w:val="en-US"/>
        </w:rPr>
      </w:pPr>
      <w:r w:rsidRPr="008C761D">
        <w:rPr>
          <w:rFonts w:cs="Calibri"/>
          <w:lang w:val="en-US"/>
        </w:rPr>
        <w:t>Implementation of interoperability standards in accordance with the National Interoperability Platform is an area covered by the CA in the stages of planning, defining needs and implementing projects for the development of new ICT systems, taking into account national regulations in the field of e-government and e-services electronic documents, electronic identification and confidential services and by appropriately applying the needs and standards for interconnection and interoperability with EU ICT systems.</w:t>
      </w:r>
    </w:p>
    <w:p w14:paraId="4C378A9F" w14:textId="77777777" w:rsidR="00361E94" w:rsidRPr="008C761D" w:rsidRDefault="00361E94" w:rsidP="00361E94">
      <w:pPr>
        <w:spacing w:line="240" w:lineRule="auto"/>
        <w:jc w:val="both"/>
        <w:rPr>
          <w:rFonts w:cs="Calibri"/>
          <w:lang w:val="en-US"/>
        </w:rPr>
      </w:pPr>
      <w:r w:rsidRPr="008C761D">
        <w:rPr>
          <w:rFonts w:cs="Calibri"/>
          <w:lang w:val="en-US"/>
        </w:rPr>
        <w:t>All activities that will be undertaken for the modernization of the customs service will be in accordance with the commitment of the modern European services to be proactive, to act homogeneously with all participants, with a commitment to innovation and sustainability. Establishing a data channel with trusted partners and effective data sharing mechanisms remains a challenge.</w:t>
      </w:r>
    </w:p>
    <w:p w14:paraId="09CDDEE4" w14:textId="77777777" w:rsidR="00361E94" w:rsidRPr="003C6564" w:rsidRDefault="00361E94" w:rsidP="00361E94">
      <w:pPr>
        <w:spacing w:line="240" w:lineRule="auto"/>
        <w:jc w:val="both"/>
        <w:rPr>
          <w:rFonts w:cs="Calibri"/>
          <w:lang w:val="en-US"/>
        </w:rPr>
      </w:pPr>
      <w:r w:rsidRPr="003C6564">
        <w:rPr>
          <w:rFonts w:cs="Calibri"/>
          <w:lang w:val="en-US"/>
        </w:rPr>
        <w:t>Strategic action activities for modernization and digitalization of customs services:</w:t>
      </w:r>
    </w:p>
    <w:p w14:paraId="39EC7E3C" w14:textId="77777777" w:rsidR="00361E94" w:rsidRPr="008C761D" w:rsidRDefault="00361E94" w:rsidP="00361E94">
      <w:pPr>
        <w:spacing w:line="240" w:lineRule="auto"/>
        <w:jc w:val="both"/>
        <w:rPr>
          <w:rFonts w:cs="Calibri"/>
          <w:lang w:val="en-US"/>
        </w:rPr>
      </w:pPr>
      <w:r w:rsidRPr="008C761D">
        <w:rPr>
          <w:rFonts w:cs="Calibri"/>
          <w:lang w:val="en-US"/>
        </w:rPr>
        <w:t>Introduction of a complete paperless environment in the customs procedure, through the implementation of electronic systems from the e-Customs program, i.e. the Multiannual Strategic Plan of the EU (MASP), which are compatible with the systems and procedures in the European Union.</w:t>
      </w:r>
    </w:p>
    <w:p w14:paraId="40B3A07C" w14:textId="77777777" w:rsidR="00361E94" w:rsidRPr="008C761D" w:rsidRDefault="00361E94" w:rsidP="00361E94">
      <w:pPr>
        <w:spacing w:line="240" w:lineRule="auto"/>
        <w:jc w:val="both"/>
        <w:rPr>
          <w:rFonts w:cs="Calibri"/>
          <w:lang w:val="en-US"/>
        </w:rPr>
      </w:pPr>
      <w:r w:rsidRPr="008C761D">
        <w:rPr>
          <w:rFonts w:cs="Calibri"/>
          <w:lang w:val="en-US"/>
        </w:rPr>
        <w:t xml:space="preserve">The engagement for preparation for interconnection and interoperability with EU systems and implementation of systems harmonized with EU systems, which can be established before EU accession, continues. The activities from the first phase of implementation (until 2023) refer to the </w:t>
      </w:r>
      <w:r w:rsidRPr="008C761D">
        <w:rPr>
          <w:rFonts w:cs="Calibri"/>
          <w:lang w:val="en-US"/>
        </w:rPr>
        <w:lastRenderedPageBreak/>
        <w:t>development of the NCTS transit system phase 5, as well as the national development of the other ICT systems, in accordance with the ICT Development Strategy of the Customs Administration 2021-2025. In parallel, further analysis will be carried out for full harmonization with the EU systems through the implementation of future projects from the second phase (2024-2025).</w:t>
      </w:r>
    </w:p>
    <w:p w14:paraId="462082F9" w14:textId="77777777" w:rsidR="00361E94" w:rsidRPr="008C761D" w:rsidRDefault="00361E94" w:rsidP="003C6564">
      <w:pPr>
        <w:spacing w:after="0" w:line="240" w:lineRule="auto"/>
        <w:jc w:val="both"/>
        <w:rPr>
          <w:rFonts w:cs="Calibri"/>
          <w:lang w:val="en-US"/>
        </w:rPr>
      </w:pPr>
      <w:r w:rsidRPr="008C761D">
        <w:rPr>
          <w:rFonts w:cs="Calibri"/>
          <w:lang w:val="en-US"/>
        </w:rPr>
        <w:t>Further promotion of the benefits for small and medium enterprises for the application of e-commerce;</w:t>
      </w:r>
    </w:p>
    <w:p w14:paraId="684D60B3" w14:textId="77777777" w:rsidR="00361E94" w:rsidRPr="008C761D" w:rsidRDefault="00361E94" w:rsidP="003C6564">
      <w:pPr>
        <w:spacing w:after="0" w:line="240" w:lineRule="auto"/>
        <w:jc w:val="both"/>
        <w:rPr>
          <w:rFonts w:cs="Calibri"/>
          <w:lang w:val="en-US"/>
        </w:rPr>
      </w:pPr>
      <w:r w:rsidRPr="008C761D">
        <w:rPr>
          <w:rFonts w:cs="Calibri"/>
          <w:lang w:val="en-US"/>
        </w:rPr>
        <w:t>Application of modern standards and practices in defining and realizing the business requirements of CA, using appropriate project methodology for implementation of new concepts and IT solutions, proven in the IT market.</w:t>
      </w:r>
    </w:p>
    <w:p w14:paraId="7B838F7C" w14:textId="77777777" w:rsidR="00361E94" w:rsidRPr="008C761D" w:rsidRDefault="00361E94" w:rsidP="003C6564">
      <w:pPr>
        <w:spacing w:after="0" w:line="240" w:lineRule="auto"/>
        <w:jc w:val="both"/>
        <w:rPr>
          <w:rFonts w:cs="Calibri"/>
          <w:lang w:val="en-US"/>
        </w:rPr>
      </w:pPr>
      <w:r w:rsidRPr="008C761D">
        <w:rPr>
          <w:rFonts w:cs="Calibri"/>
          <w:lang w:val="en-US"/>
        </w:rPr>
        <w:t>Improving the flow of information between all stakeholders in the activities related to the Customs Administration;</w:t>
      </w:r>
    </w:p>
    <w:p w14:paraId="01248DCC" w14:textId="77777777" w:rsidR="00361E94" w:rsidRPr="008C761D" w:rsidRDefault="00361E94" w:rsidP="003C6564">
      <w:pPr>
        <w:spacing w:after="0" w:line="240" w:lineRule="auto"/>
        <w:jc w:val="both"/>
        <w:rPr>
          <w:rFonts w:cs="Calibri"/>
          <w:lang w:val="en-US"/>
        </w:rPr>
      </w:pPr>
      <w:r w:rsidRPr="008C761D">
        <w:rPr>
          <w:rFonts w:cs="Calibri"/>
          <w:lang w:val="en-US"/>
        </w:rPr>
        <w:t>Development of the external and governmental domain and increase of the transparency and timely information of all participants in the customs procedures, as well as of the users of the IT systems, through increased application of internet, intranet and modern social networks.</w:t>
      </w:r>
    </w:p>
    <w:p w14:paraId="7260876D" w14:textId="77777777" w:rsidR="00361E94" w:rsidRPr="008C761D" w:rsidRDefault="00361E94" w:rsidP="003C6564">
      <w:pPr>
        <w:spacing w:after="0" w:line="240" w:lineRule="auto"/>
        <w:jc w:val="both"/>
        <w:rPr>
          <w:rFonts w:cs="Calibri"/>
          <w:lang w:val="en-US"/>
        </w:rPr>
      </w:pPr>
      <w:r w:rsidRPr="008C761D">
        <w:rPr>
          <w:rFonts w:cs="Calibri"/>
          <w:lang w:val="en-US"/>
        </w:rPr>
        <w:t>Interoperability and interconnection with EU systems, as well as integration with systems of the national government domain;</w:t>
      </w:r>
    </w:p>
    <w:p w14:paraId="7C3842E7" w14:textId="77777777" w:rsidR="00361E94" w:rsidRPr="008C761D" w:rsidRDefault="00361E94" w:rsidP="003C6564">
      <w:pPr>
        <w:spacing w:after="0" w:line="240" w:lineRule="auto"/>
        <w:jc w:val="both"/>
        <w:rPr>
          <w:rFonts w:cs="Calibri"/>
          <w:lang w:val="en-US"/>
        </w:rPr>
      </w:pPr>
      <w:r w:rsidRPr="008C761D">
        <w:rPr>
          <w:rFonts w:cs="Calibri"/>
          <w:lang w:val="en-US"/>
        </w:rPr>
        <w:t>Consolidation and modernization of the systems and hardware infrastructure for operation of the ICT systems of the Customs Administration;</w:t>
      </w:r>
    </w:p>
    <w:p w14:paraId="156B894A" w14:textId="77777777" w:rsidR="00361E94" w:rsidRPr="008C761D" w:rsidRDefault="00361E94" w:rsidP="003C6564">
      <w:pPr>
        <w:spacing w:after="0" w:line="240" w:lineRule="auto"/>
        <w:jc w:val="both"/>
        <w:rPr>
          <w:rFonts w:cs="Calibri"/>
          <w:lang w:val="en-US"/>
        </w:rPr>
      </w:pPr>
      <w:r w:rsidRPr="008C761D">
        <w:rPr>
          <w:rFonts w:cs="Calibri"/>
          <w:lang w:val="en-US"/>
        </w:rPr>
        <w:t>Increasing the administrative capacity and improving the measures for ensuring continuity and stability in the use of ICT systems.</w:t>
      </w:r>
    </w:p>
    <w:p w14:paraId="597E889D" w14:textId="77777777" w:rsidR="00361E94" w:rsidRPr="008C761D" w:rsidRDefault="00361E94" w:rsidP="003C6564">
      <w:pPr>
        <w:spacing w:after="0" w:line="240" w:lineRule="auto"/>
        <w:jc w:val="both"/>
        <w:rPr>
          <w:rFonts w:cs="Calibri"/>
          <w:lang w:val="en-US"/>
        </w:rPr>
      </w:pPr>
      <w:r w:rsidRPr="008C761D">
        <w:rPr>
          <w:rFonts w:cs="Calibri"/>
          <w:lang w:val="en-US"/>
        </w:rPr>
        <w:t>Planned development and implementation of a data warehouse (Data Warehouse) in order to provide conditions for integrity, unambiguity and maximum utilization of data and data models in the Customs Administration.</w:t>
      </w:r>
    </w:p>
    <w:p w14:paraId="664BD9BB" w14:textId="77777777" w:rsidR="00361E94" w:rsidRPr="008C761D" w:rsidRDefault="00361E94" w:rsidP="003C6564">
      <w:pPr>
        <w:spacing w:after="0" w:line="240" w:lineRule="auto"/>
        <w:jc w:val="both"/>
        <w:rPr>
          <w:rFonts w:cs="Calibri"/>
          <w:lang w:val="en-US"/>
        </w:rPr>
      </w:pPr>
      <w:r w:rsidRPr="008C761D">
        <w:rPr>
          <w:rFonts w:cs="Calibri"/>
          <w:lang w:val="en-US"/>
        </w:rPr>
        <w:t>A remote location data center (Disaster Recovery) will be established to provide the necessary requirements and standards for data protection, ensuring adequate protection of systems from disasters, as well as continuity of operation.</w:t>
      </w:r>
    </w:p>
    <w:p w14:paraId="407F8B88" w14:textId="77777777" w:rsidR="003C6564" w:rsidRPr="003C6564" w:rsidRDefault="003C6564" w:rsidP="00E84CD0">
      <w:pPr>
        <w:spacing w:line="240" w:lineRule="auto"/>
        <w:jc w:val="both"/>
        <w:rPr>
          <w:rFonts w:cs="Calibri"/>
          <w:b/>
          <w:bCs/>
          <w:i/>
          <w:iCs/>
          <w:color w:val="4F81BD"/>
          <w:sz w:val="10"/>
          <w:szCs w:val="10"/>
          <w:lang w:val="en-US"/>
        </w:rPr>
      </w:pPr>
    </w:p>
    <w:p w14:paraId="44A0D91E" w14:textId="2A5CADAD" w:rsidR="004A38AA" w:rsidRPr="008C761D" w:rsidRDefault="004A38AA" w:rsidP="00E84CD0">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E5647" w:rsidRPr="008C761D" w14:paraId="61E4C51B" w14:textId="77777777" w:rsidTr="007B1112">
        <w:tc>
          <w:tcPr>
            <w:tcW w:w="2518" w:type="dxa"/>
            <w:tcBorders>
              <w:top w:val="nil"/>
              <w:bottom w:val="single" w:sz="4" w:space="0" w:color="FFFFFF"/>
            </w:tcBorders>
            <w:shd w:val="clear" w:color="auto" w:fill="1F3864"/>
          </w:tcPr>
          <w:p w14:paraId="69B626FE" w14:textId="719DE594"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D4719C">
              <w:rPr>
                <w:rFonts w:cs="Calibri"/>
                <w:b/>
                <w:color w:val="FFFFFF"/>
                <w:sz w:val="20"/>
                <w:szCs w:val="20"/>
                <w:lang w:val="en-US"/>
              </w:rPr>
              <w:t xml:space="preserve"> </w:t>
            </w:r>
            <w:r w:rsidRPr="008C761D">
              <w:rPr>
                <w:rFonts w:cs="Calibri"/>
                <w:b/>
                <w:color w:val="FFFFFF"/>
                <w:sz w:val="20"/>
                <w:szCs w:val="20"/>
                <w:lang w:val="en-US"/>
              </w:rPr>
              <w:t>in</w:t>
            </w:r>
            <w:r w:rsidR="00D4719C">
              <w:rPr>
                <w:rFonts w:cs="Calibri"/>
                <w:b/>
                <w:color w:val="FFFFFF"/>
                <w:sz w:val="20"/>
                <w:szCs w:val="20"/>
                <w:lang w:val="en-US"/>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0C02C8FA" w14:textId="23370AC5" w:rsidR="005E5647" w:rsidRPr="008C761D" w:rsidRDefault="005E5647" w:rsidP="00E84CD0">
            <w:pPr>
              <w:spacing w:line="240" w:lineRule="auto"/>
              <w:jc w:val="both"/>
              <w:rPr>
                <w:rFonts w:cs="Calibri"/>
                <w:sz w:val="20"/>
                <w:szCs w:val="20"/>
                <w:lang w:val="en-US"/>
              </w:rPr>
            </w:pPr>
            <w:r w:rsidRPr="008C761D">
              <w:rPr>
                <w:rFonts w:cs="Calibri"/>
                <w:sz w:val="20"/>
                <w:szCs w:val="20"/>
                <w:lang w:val="en-US"/>
              </w:rPr>
              <w:t>202</w:t>
            </w:r>
            <w:r w:rsidR="0011690C" w:rsidRPr="008C761D">
              <w:rPr>
                <w:rFonts w:cs="Calibri"/>
                <w:sz w:val="20"/>
                <w:szCs w:val="20"/>
                <w:lang w:val="en-US"/>
              </w:rPr>
              <w:t>7</w:t>
            </w:r>
          </w:p>
        </w:tc>
      </w:tr>
      <w:tr w:rsidR="005E5647" w:rsidRPr="008C761D" w14:paraId="241D9366" w14:textId="77777777" w:rsidTr="007B1112">
        <w:tc>
          <w:tcPr>
            <w:tcW w:w="2518" w:type="dxa"/>
            <w:tcBorders>
              <w:top w:val="single" w:sz="4" w:space="0" w:color="FFFFFF"/>
              <w:bottom w:val="single" w:sz="4" w:space="0" w:color="FFFFFF"/>
            </w:tcBorders>
            <w:shd w:val="clear" w:color="auto" w:fill="1F3864"/>
          </w:tcPr>
          <w:p w14:paraId="206A960B" w14:textId="77777777"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40AF9CA" w14:textId="45A5B626" w:rsidR="005E5647" w:rsidRPr="008C761D" w:rsidRDefault="005E5647" w:rsidP="00E84CD0">
            <w:pPr>
              <w:spacing w:line="240" w:lineRule="auto"/>
              <w:jc w:val="both"/>
              <w:rPr>
                <w:rFonts w:cs="Calibri"/>
                <w:color w:val="000000"/>
                <w:sz w:val="20"/>
                <w:szCs w:val="20"/>
                <w:lang w:val="en-US"/>
              </w:rPr>
            </w:pPr>
            <w:r w:rsidRPr="008C761D">
              <w:rPr>
                <w:rFonts w:cs="Calibri"/>
                <w:color w:val="000000"/>
                <w:sz w:val="20"/>
                <w:szCs w:val="20"/>
                <w:lang w:val="en-US"/>
              </w:rPr>
              <w:t>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equipping</w:t>
            </w:r>
            <w:r w:rsidR="00361E94" w:rsidRPr="008C761D">
              <w:rPr>
                <w:rFonts w:cs="Calibri"/>
                <w:color w:val="000000"/>
                <w:sz w:val="20"/>
                <w:szCs w:val="20"/>
                <w:lang w:val="en-US"/>
              </w:rPr>
              <w:t xml:space="preserve"> </w:t>
            </w:r>
            <w:r w:rsidRPr="008C761D">
              <w:rPr>
                <w:rFonts w:cs="Calibri"/>
                <w:color w:val="000000"/>
                <w:sz w:val="20"/>
                <w:szCs w:val="20"/>
                <w:lang w:val="en-US"/>
              </w:rPr>
              <w:t>with appropriate hardware for those systems.</w:t>
            </w:r>
          </w:p>
        </w:tc>
      </w:tr>
      <w:tr w:rsidR="005E5647" w:rsidRPr="008C761D" w14:paraId="5941367B" w14:textId="77777777" w:rsidTr="007B1112">
        <w:tc>
          <w:tcPr>
            <w:tcW w:w="2518" w:type="dxa"/>
            <w:tcBorders>
              <w:top w:val="single" w:sz="4" w:space="0" w:color="FFFFFF"/>
              <w:bottom w:val="single" w:sz="4" w:space="0" w:color="FFFFFF"/>
            </w:tcBorders>
            <w:shd w:val="clear" w:color="auto" w:fill="1F3864"/>
          </w:tcPr>
          <w:p w14:paraId="1DAC81CE" w14:textId="7424B7CF"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D4719C">
              <w:rPr>
                <w:rFonts w:cs="Calibri"/>
                <w:b/>
                <w:color w:val="FFFFFF"/>
                <w:sz w:val="20"/>
                <w:szCs w:val="20"/>
                <w:lang w:val="en-US"/>
              </w:rPr>
              <w:t xml:space="preserve"> </w:t>
            </w:r>
            <w:r w:rsidRPr="008C761D">
              <w:rPr>
                <w:rFonts w:cs="Calibri"/>
                <w:b/>
                <w:color w:val="FFFFFF"/>
                <w:sz w:val="20"/>
                <w:szCs w:val="20"/>
                <w:lang w:val="en-US"/>
              </w:rPr>
              <w:t>implications:</w:t>
            </w:r>
          </w:p>
        </w:tc>
        <w:tc>
          <w:tcPr>
            <w:tcW w:w="6246" w:type="dxa"/>
            <w:tcBorders>
              <w:top w:val="single" w:sz="4" w:space="0" w:color="FFFFFF"/>
              <w:bottom w:val="single" w:sz="4" w:space="0" w:color="FFFFFF"/>
            </w:tcBorders>
            <w:shd w:val="clear" w:color="auto" w:fill="D9E2F3"/>
          </w:tcPr>
          <w:p w14:paraId="7DFC75D4" w14:textId="11A4F126" w:rsidR="005E5647" w:rsidRPr="008C761D" w:rsidRDefault="009220E2" w:rsidP="00E84CD0">
            <w:pPr>
              <w:spacing w:after="0" w:line="240" w:lineRule="auto"/>
              <w:jc w:val="both"/>
              <w:rPr>
                <w:rFonts w:cs="Calibri"/>
                <w:sz w:val="20"/>
                <w:szCs w:val="20"/>
                <w:lang w:val="en-US"/>
              </w:rPr>
            </w:pPr>
            <w:r w:rsidRPr="008C761D">
              <w:rPr>
                <w:rFonts w:cs="Calibri"/>
                <w:sz w:val="20"/>
                <w:szCs w:val="20"/>
                <w:lang w:val="en-US"/>
              </w:rPr>
              <w:t xml:space="preserve">EUR </w:t>
            </w:r>
            <w:r w:rsidR="0011690C" w:rsidRPr="008C761D">
              <w:rPr>
                <w:rFonts w:cs="Calibri"/>
                <w:sz w:val="20"/>
                <w:szCs w:val="20"/>
                <w:lang w:val="en-US"/>
              </w:rPr>
              <w:t>1</w:t>
            </w:r>
            <w:r w:rsidR="005E5647" w:rsidRPr="008C761D">
              <w:rPr>
                <w:rFonts w:cs="Calibri"/>
                <w:sz w:val="20"/>
                <w:szCs w:val="20"/>
                <w:lang w:val="en-US"/>
              </w:rPr>
              <w:t>5</w:t>
            </w:r>
            <w:r w:rsidR="000863C9" w:rsidRPr="008C761D">
              <w:rPr>
                <w:rFonts w:cs="Calibri"/>
                <w:sz w:val="20"/>
                <w:szCs w:val="20"/>
                <w:lang w:val="en-US"/>
              </w:rPr>
              <w:t>,</w:t>
            </w:r>
            <w:r w:rsidR="0011690C" w:rsidRPr="008C761D">
              <w:rPr>
                <w:rFonts w:cs="Calibri"/>
                <w:sz w:val="20"/>
                <w:szCs w:val="20"/>
                <w:lang w:val="en-US"/>
              </w:rPr>
              <w:t>0</w:t>
            </w:r>
            <w:r w:rsidR="005E5647" w:rsidRPr="008C761D">
              <w:rPr>
                <w:rFonts w:cs="Calibri"/>
                <w:sz w:val="20"/>
                <w:szCs w:val="20"/>
                <w:lang w:val="en-US"/>
              </w:rPr>
              <w:t>00</w:t>
            </w:r>
            <w:r w:rsidR="000863C9" w:rsidRPr="008C761D">
              <w:rPr>
                <w:rFonts w:cs="Calibri"/>
                <w:sz w:val="20"/>
                <w:szCs w:val="20"/>
                <w:lang w:val="en-US"/>
              </w:rPr>
              <w:t>,</w:t>
            </w:r>
            <w:r w:rsidR="005E5647" w:rsidRPr="008C761D">
              <w:rPr>
                <w:rFonts w:cs="Calibri"/>
                <w:sz w:val="20"/>
                <w:szCs w:val="20"/>
                <w:lang w:val="en-US"/>
              </w:rPr>
              <w:t>000</w:t>
            </w:r>
          </w:p>
        </w:tc>
      </w:tr>
      <w:tr w:rsidR="005E5647" w:rsidRPr="008C761D" w14:paraId="4D23FA01" w14:textId="77777777" w:rsidTr="007B1112">
        <w:tc>
          <w:tcPr>
            <w:tcW w:w="2518" w:type="dxa"/>
            <w:tcBorders>
              <w:top w:val="single" w:sz="4" w:space="0" w:color="FFFFFF"/>
              <w:bottom w:val="single" w:sz="4" w:space="0" w:color="FFFFFF"/>
            </w:tcBorders>
            <w:shd w:val="clear" w:color="auto" w:fill="1F3864"/>
          </w:tcPr>
          <w:p w14:paraId="35D3FF40" w14:textId="29912B0F"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w:t>
            </w:r>
            <w:r w:rsidR="00D4719C">
              <w:rPr>
                <w:rFonts w:cs="Calibri"/>
                <w:b/>
                <w:color w:val="FFFFFF"/>
                <w:sz w:val="20"/>
                <w:szCs w:val="20"/>
                <w:lang w:val="en-US"/>
              </w:rPr>
              <w:t xml:space="preserve"> </w:t>
            </w:r>
            <w:r w:rsidRPr="008C761D">
              <w:rPr>
                <w:rFonts w:cs="Calibri"/>
                <w:b/>
                <w:color w:val="FFFFFF"/>
                <w:sz w:val="20"/>
                <w:szCs w:val="20"/>
                <w:lang w:val="en-US"/>
              </w:rPr>
              <w:t xml:space="preserve">entity: </w:t>
            </w:r>
          </w:p>
        </w:tc>
        <w:tc>
          <w:tcPr>
            <w:tcW w:w="6246" w:type="dxa"/>
            <w:tcBorders>
              <w:top w:val="single" w:sz="4" w:space="0" w:color="FFFFFF"/>
              <w:bottom w:val="single" w:sz="4" w:space="0" w:color="FFFFFF"/>
            </w:tcBorders>
            <w:shd w:val="clear" w:color="auto" w:fill="D9E2F3"/>
          </w:tcPr>
          <w:p w14:paraId="20F409AD" w14:textId="06ECCDF4" w:rsidR="005E5647" w:rsidRPr="008C761D" w:rsidRDefault="005E5647" w:rsidP="00E84CD0">
            <w:pPr>
              <w:spacing w:after="0" w:line="240" w:lineRule="auto"/>
              <w:jc w:val="both"/>
              <w:rPr>
                <w:rFonts w:cs="Calibri"/>
                <w:sz w:val="20"/>
                <w:szCs w:val="20"/>
                <w:lang w:val="en-US"/>
              </w:rPr>
            </w:pPr>
            <w:r w:rsidRPr="008C761D">
              <w:rPr>
                <w:rFonts w:cs="Calibri"/>
                <w:sz w:val="20"/>
                <w:szCs w:val="20"/>
                <w:lang w:val="en-US"/>
              </w:rPr>
              <w:t>Customs</w:t>
            </w:r>
            <w:r w:rsidR="00361E94" w:rsidRPr="008C761D">
              <w:rPr>
                <w:rFonts w:cs="Calibri"/>
                <w:sz w:val="20"/>
                <w:szCs w:val="20"/>
                <w:lang w:val="en-US"/>
              </w:rPr>
              <w:t xml:space="preserve"> </w:t>
            </w:r>
            <w:r w:rsidRPr="008C761D">
              <w:rPr>
                <w:rFonts w:cs="Calibri"/>
                <w:sz w:val="20"/>
                <w:szCs w:val="20"/>
                <w:lang w:val="en-US"/>
              </w:rPr>
              <w:t>Administration</w:t>
            </w:r>
          </w:p>
        </w:tc>
      </w:tr>
      <w:tr w:rsidR="005E5647" w:rsidRPr="008C761D" w14:paraId="58B90642" w14:textId="77777777" w:rsidTr="007B1112">
        <w:tc>
          <w:tcPr>
            <w:tcW w:w="2518" w:type="dxa"/>
            <w:tcBorders>
              <w:top w:val="single" w:sz="4" w:space="0" w:color="FFFFFF"/>
              <w:bottom w:val="nil"/>
            </w:tcBorders>
            <w:shd w:val="clear" w:color="auto" w:fill="1F3864"/>
          </w:tcPr>
          <w:p w14:paraId="783ACF21" w14:textId="77777777" w:rsidR="005E5647" w:rsidRPr="008C761D" w:rsidRDefault="005E5647"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03290BDE" w14:textId="6BA4E8A9" w:rsidR="005E5647" w:rsidRPr="008C761D" w:rsidRDefault="00361E94" w:rsidP="00E84CD0">
            <w:pPr>
              <w:spacing w:after="0" w:line="240" w:lineRule="auto"/>
              <w:jc w:val="both"/>
              <w:rPr>
                <w:rFonts w:cs="Calibri"/>
                <w:sz w:val="20"/>
                <w:szCs w:val="20"/>
                <w:lang w:val="en-US"/>
              </w:rPr>
            </w:pPr>
            <w:r w:rsidRPr="008C761D">
              <w:rPr>
                <w:rFonts w:cs="Calibri"/>
                <w:sz w:val="20"/>
                <w:szCs w:val="20"/>
                <w:lang w:val="en-US"/>
              </w:rPr>
              <w:t>Untimely implementation of all phases in the process of harmonization with EU systems.</w:t>
            </w:r>
          </w:p>
        </w:tc>
      </w:tr>
    </w:tbl>
    <w:p w14:paraId="4D31FE2D" w14:textId="32E7A300" w:rsidR="004A38AA" w:rsidRDefault="004A38AA" w:rsidP="00E84CD0">
      <w:pPr>
        <w:spacing w:line="240" w:lineRule="auto"/>
        <w:jc w:val="both"/>
        <w:rPr>
          <w:rFonts w:cs="Calibri"/>
          <w:lang w:val="en-US"/>
        </w:rPr>
      </w:pPr>
    </w:p>
    <w:p w14:paraId="4F3F7A94" w14:textId="77777777" w:rsidR="00EA4DEC" w:rsidRPr="008C761D" w:rsidRDefault="00EA4DEC" w:rsidP="00EA4DEC">
      <w:pPr>
        <w:spacing w:before="240" w:line="240" w:lineRule="auto"/>
        <w:jc w:val="both"/>
        <w:rPr>
          <w:rFonts w:cs="Calibri"/>
          <w:b/>
          <w:color w:val="0070C0"/>
          <w:sz w:val="24"/>
          <w:szCs w:val="24"/>
          <w:lang w:val="en-US"/>
        </w:rPr>
      </w:pPr>
      <w:r w:rsidRPr="008C761D">
        <w:rPr>
          <w:rFonts w:cs="Calibri"/>
          <w:b/>
          <w:color w:val="0070C0"/>
          <w:sz w:val="24"/>
          <w:szCs w:val="24"/>
          <w:lang w:val="en-US"/>
        </w:rPr>
        <w:t xml:space="preserve">Measure </w:t>
      </w:r>
      <w:r>
        <w:rPr>
          <w:rFonts w:cs="Calibri"/>
          <w:b/>
          <w:color w:val="0070C0"/>
          <w:sz w:val="24"/>
          <w:szCs w:val="24"/>
          <w:lang w:val="en-US"/>
        </w:rPr>
        <w:t>3</w:t>
      </w:r>
      <w:r w:rsidRPr="008C761D">
        <w:rPr>
          <w:rFonts w:cs="Calibri"/>
          <w:b/>
          <w:color w:val="0070C0"/>
          <w:sz w:val="24"/>
          <w:szCs w:val="24"/>
          <w:lang w:val="en-US"/>
        </w:rPr>
        <w:t xml:space="preserve">: </w:t>
      </w:r>
      <w:r w:rsidRPr="00F72B20">
        <w:rPr>
          <w:rFonts w:cs="Calibri"/>
          <w:b/>
          <w:color w:val="0070C0"/>
          <w:sz w:val="24"/>
          <w:szCs w:val="24"/>
          <w:lang w:val="en-US"/>
        </w:rPr>
        <w:t>Adequate monitoring of excise goods and collection of excise duties</w:t>
      </w:r>
    </w:p>
    <w:p w14:paraId="514E6CEF" w14:textId="77777777" w:rsidR="00EA4DEC" w:rsidRDefault="00EA4DEC" w:rsidP="00EA4DEC">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Measureobjective</w:t>
      </w:r>
    </w:p>
    <w:p w14:paraId="48B5FF9D" w14:textId="77777777" w:rsidR="00EA4DEC" w:rsidRPr="008C761D" w:rsidRDefault="00EA4DEC" w:rsidP="00EA4DEC">
      <w:pPr>
        <w:tabs>
          <w:tab w:val="left" w:pos="0"/>
        </w:tabs>
        <w:spacing w:line="240" w:lineRule="auto"/>
        <w:jc w:val="both"/>
        <w:rPr>
          <w:rFonts w:cs="Calibri"/>
          <w:color w:val="2C2825"/>
          <w:shd w:val="clear" w:color="auto" w:fill="FFFFFF"/>
          <w:lang w:val="en-US"/>
        </w:rPr>
      </w:pPr>
      <w:r>
        <w:rPr>
          <w:rFonts w:cs="Calibri"/>
          <w:color w:val="2C2825"/>
          <w:shd w:val="clear" w:color="auto" w:fill="FFFFFF"/>
          <w:lang w:val="en-US"/>
        </w:rPr>
        <w:t>The goal of this measure is through in</w:t>
      </w:r>
      <w:r w:rsidRPr="00245DD0">
        <w:rPr>
          <w:rFonts w:cs="Calibri"/>
          <w:color w:val="2C2825"/>
          <w:shd w:val="clear" w:color="auto" w:fill="FFFFFF"/>
          <w:lang w:val="en-US"/>
        </w:rPr>
        <w:t xml:space="preserve">troduction of procedures and instruments for appropriate monitoring of excise </w:t>
      </w:r>
      <w:proofErr w:type="gramStart"/>
      <w:r w:rsidRPr="00245DD0">
        <w:rPr>
          <w:rFonts w:cs="Calibri"/>
          <w:color w:val="2C2825"/>
          <w:shd w:val="clear" w:color="auto" w:fill="FFFFFF"/>
          <w:lang w:val="en-US"/>
        </w:rPr>
        <w:t xml:space="preserve">goods </w:t>
      </w:r>
      <w:r>
        <w:rPr>
          <w:rFonts w:cs="Calibri"/>
          <w:color w:val="2C2825"/>
          <w:shd w:val="clear" w:color="auto" w:fill="FFFFFF"/>
          <w:lang w:val="en-US"/>
        </w:rPr>
        <w:t>,to</w:t>
      </w:r>
      <w:proofErr w:type="gramEnd"/>
      <w:r>
        <w:rPr>
          <w:rFonts w:cs="Calibri"/>
          <w:color w:val="2C2825"/>
          <w:shd w:val="clear" w:color="auto" w:fill="FFFFFF"/>
          <w:lang w:val="en-US"/>
        </w:rPr>
        <w:t xml:space="preserve"> combat against illicit trade in tobacco products and to increase</w:t>
      </w:r>
      <w:r w:rsidRPr="00245DD0">
        <w:rPr>
          <w:rFonts w:cs="Calibri"/>
          <w:color w:val="2C2825"/>
          <w:shd w:val="clear" w:color="auto" w:fill="FFFFFF"/>
          <w:lang w:val="en-US"/>
        </w:rPr>
        <w:t xml:space="preserve"> </w:t>
      </w:r>
      <w:r w:rsidRPr="00245DD0">
        <w:rPr>
          <w:rFonts w:cs="Calibri"/>
          <w:color w:val="2C2825"/>
          <w:shd w:val="clear" w:color="auto" w:fill="FFFFFF"/>
          <w:lang w:val="en-US"/>
        </w:rPr>
        <w:lastRenderedPageBreak/>
        <w:t>collection of excise duties</w:t>
      </w:r>
      <w:r>
        <w:rPr>
          <w:rFonts w:cs="Calibri"/>
          <w:color w:val="2C2825"/>
          <w:shd w:val="clear" w:color="auto" w:fill="FFFFFF"/>
          <w:lang w:val="en-US"/>
        </w:rPr>
        <w:t xml:space="preserve">. </w:t>
      </w:r>
      <w:r w:rsidRPr="00245DD0">
        <w:rPr>
          <w:rFonts w:cs="Calibri"/>
          <w:color w:val="2C2825"/>
          <w:shd w:val="clear" w:color="auto" w:fill="FFFFFF"/>
          <w:lang w:val="en-US"/>
        </w:rPr>
        <w:t>Adequate monitoring of excise goods is important due to the increased volume of trade in such goods, the harm to health (especially found in tobacco products), registered tax evasion, illicit trade in excise goods as a source of financing for organized crime.</w:t>
      </w:r>
    </w:p>
    <w:p w14:paraId="091C0E5E" w14:textId="77777777" w:rsidR="00EA4DEC" w:rsidRPr="008C761D" w:rsidRDefault="00EA4DEC" w:rsidP="00EA4DEC">
      <w:pPr>
        <w:spacing w:line="240" w:lineRule="auto"/>
        <w:jc w:val="both"/>
        <w:rPr>
          <w:rFonts w:cs="Calibri"/>
          <w:lang w:val="en-US"/>
        </w:rPr>
      </w:pPr>
    </w:p>
    <w:p w14:paraId="145FE7F2" w14:textId="77777777" w:rsidR="00EA4DEC" w:rsidRPr="008C761D" w:rsidRDefault="00EA4DEC" w:rsidP="00EA4DEC">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3E51E071" w14:textId="77777777" w:rsidR="00EA4DEC" w:rsidRDefault="00EA4DEC" w:rsidP="00EA4DEC">
      <w:pPr>
        <w:spacing w:line="240" w:lineRule="auto"/>
        <w:jc w:val="both"/>
        <w:rPr>
          <w:rFonts w:cs="Calibri"/>
        </w:rPr>
      </w:pPr>
      <w:r w:rsidRPr="00E91328">
        <w:rPr>
          <w:rFonts w:cs="Calibri"/>
        </w:rPr>
        <w:t>Introduction of procedures and instruments for appropriate monitoring of excise goods and collection of excise duties</w:t>
      </w:r>
      <w:r>
        <w:rPr>
          <w:rFonts w:cs="Calibri"/>
        </w:rPr>
        <w:t xml:space="preserve"> is a bigchalengefor CA, taking into account the current EU Track &amp; Trace system.</w:t>
      </w:r>
      <w:r w:rsidRPr="00E91328">
        <w:rPr>
          <w:rFonts w:cs="Calibri"/>
        </w:rPr>
        <w:t xml:space="preserve"> Adequate monitoring of excise goods is important due to the increased volume of trade in such goods, the harm to health (especially found in tobacco products), registered tax evasion, illicit trade in </w:t>
      </w:r>
      <w:r>
        <w:rPr>
          <w:rFonts w:cs="Calibri"/>
        </w:rPr>
        <w:t>tobacco products</w:t>
      </w:r>
      <w:r w:rsidRPr="00E91328">
        <w:rPr>
          <w:rFonts w:cs="Calibri"/>
        </w:rPr>
        <w:t xml:space="preserve"> as a source of financing for organized crime. With the measures taken for the appropriate collection of excise duties, special attention is paid to the reliability and the possibility that the competent authorities and citizens can check the authenticity of the products</w:t>
      </w:r>
      <w:r>
        <w:rPr>
          <w:rFonts w:cs="Calibri"/>
        </w:rPr>
        <w:t xml:space="preserve">. </w:t>
      </w:r>
    </w:p>
    <w:p w14:paraId="661C2B5C" w14:textId="77777777" w:rsidR="00EA4DEC" w:rsidRDefault="00EA4DEC" w:rsidP="00EA4DEC">
      <w:pPr>
        <w:spacing w:line="240" w:lineRule="auto"/>
        <w:jc w:val="both"/>
        <w:rPr>
          <w:rFonts w:cs="Calibri"/>
        </w:rPr>
      </w:pPr>
      <w:r w:rsidRPr="00E91328">
        <w:rPr>
          <w:rFonts w:cs="Calibri"/>
        </w:rPr>
        <w:t>TRACK&amp;TRACE system is based on digital product identification by applying a unique identifier in the form of a digital code to the product packaging during the production process. The digital code contains security measures against forgery and enables subsequent tracking of the movement of the specific product from the manufacturer to the first retail outlet</w:t>
      </w:r>
    </w:p>
    <w:p w14:paraId="61B8603B" w14:textId="77777777" w:rsidR="00EA4DEC" w:rsidRPr="005A5F6C" w:rsidRDefault="00EA4DEC" w:rsidP="00EA4DEC">
      <w:pPr>
        <w:spacing w:line="240" w:lineRule="auto"/>
        <w:jc w:val="both"/>
        <w:rPr>
          <w:rFonts w:cs="Calibri"/>
        </w:rPr>
      </w:pPr>
      <w:r w:rsidRPr="005A5F6C">
        <w:rPr>
          <w:rFonts w:cs="Calibri"/>
        </w:rPr>
        <w:t>The complexity of data provided by the Track &amp; Trace system enables the detection of cigarettes that appear illegally on the market and avoid payment of excise duty.</w:t>
      </w:r>
    </w:p>
    <w:p w14:paraId="7950A247" w14:textId="77777777" w:rsidR="00EA4DEC" w:rsidRPr="005A5F6C" w:rsidRDefault="00EA4DEC" w:rsidP="00EA4DEC">
      <w:pPr>
        <w:spacing w:line="240" w:lineRule="auto"/>
        <w:jc w:val="both"/>
        <w:rPr>
          <w:rFonts w:cs="Calibri"/>
        </w:rPr>
      </w:pPr>
      <w:r w:rsidRPr="005A5F6C">
        <w:rPr>
          <w:rFonts w:cs="Calibri"/>
        </w:rPr>
        <w:t>Bearing in mind that the Track &amp; Trace system is part of the EU regulation, the Republic of North Macedonia will develop a system based on the example of the EU Track &amp; Trace system, compatible with it and with a technical possibility for intercommunication in a certain period. However, the fact that RSM is not yet an EU member state will inevitably require certain modifications during implementation, especially due to the impossibility of using the common depository, to which only EU member states have access.</w:t>
      </w:r>
    </w:p>
    <w:p w14:paraId="256E7EBF" w14:textId="77777777" w:rsidR="00EA4DEC" w:rsidRPr="005A5F6C" w:rsidRDefault="00EA4DEC" w:rsidP="00EA4DEC">
      <w:pPr>
        <w:spacing w:line="240" w:lineRule="auto"/>
        <w:jc w:val="both"/>
        <w:rPr>
          <w:rFonts w:cs="Calibri"/>
        </w:rPr>
      </w:pPr>
      <w:r w:rsidRPr="005A5F6C">
        <w:rPr>
          <w:rFonts w:cs="Calibri"/>
        </w:rPr>
        <w:t>In the process of implementing the Track &amp; Trace system as a complex and multidisciplinary one, several state institutions with different responsibilities will be involved, as well as economic operators as a key link in the process.</w:t>
      </w:r>
    </w:p>
    <w:p w14:paraId="7B64F2DD" w14:textId="112F7EC7" w:rsidR="00EA4DEC" w:rsidRDefault="00EA4DEC" w:rsidP="00EA4DEC">
      <w:pPr>
        <w:spacing w:line="240" w:lineRule="auto"/>
        <w:jc w:val="both"/>
        <w:rPr>
          <w:rFonts w:cs="Calibri"/>
        </w:rPr>
      </w:pPr>
      <w:r w:rsidRPr="005A5F6C">
        <w:rPr>
          <w:rFonts w:cs="Calibri"/>
        </w:rPr>
        <w:t xml:space="preserve">  The introduction of this system necessarily requires the provision of a test period for trial work before putting it into use.</w:t>
      </w:r>
    </w:p>
    <w:p w14:paraId="5AAD4A99" w14:textId="77777777" w:rsidR="00EA4DEC" w:rsidRDefault="00EA4DEC" w:rsidP="00EA4DEC">
      <w:pPr>
        <w:spacing w:line="240" w:lineRule="auto"/>
        <w:jc w:val="both"/>
        <w:rPr>
          <w:rFonts w:cs="Calibri"/>
          <w:b/>
          <w:bCs/>
          <w:iCs/>
          <w:color w:val="0070C0"/>
          <w:lang w:val="en-US"/>
        </w:rPr>
      </w:pPr>
      <w:r w:rsidRPr="00532C0E">
        <w:rPr>
          <w:rFonts w:cs="Calibri"/>
          <w:b/>
          <w:bCs/>
          <w:iCs/>
          <w:color w:val="0070C0"/>
          <w:lang w:val="en-US"/>
        </w:rPr>
        <w:t xml:space="preserve">Activity 1: </w:t>
      </w:r>
      <w:r w:rsidRPr="00152D75">
        <w:rPr>
          <w:rFonts w:cs="Calibri"/>
          <w:b/>
          <w:bCs/>
          <w:iCs/>
          <w:color w:val="0070C0"/>
          <w:lang w:val="en-US"/>
        </w:rPr>
        <w:t>Establishing a system for marking and tracking tobacco products (cigarettes) through the TRACK&amp;TRACE system</w:t>
      </w:r>
    </w:p>
    <w:p w14:paraId="48BEAAC9" w14:textId="77777777" w:rsidR="00EA4DEC" w:rsidRPr="00EA4DEC" w:rsidRDefault="00EA4DEC" w:rsidP="00EA4DEC">
      <w:pPr>
        <w:spacing w:line="240" w:lineRule="auto"/>
        <w:jc w:val="both"/>
        <w:rPr>
          <w:rFonts w:cs="Calibri"/>
          <w:lang w:val="en-US"/>
        </w:rPr>
      </w:pPr>
      <w:r w:rsidRPr="00EA4DEC">
        <w:rPr>
          <w:rFonts w:cs="Calibri"/>
          <w:lang w:val="en-US"/>
        </w:rPr>
        <w:t>For the successful implementation of the Track &amp; Trace system, changes and adjustments to the legal and by-law regulations are necessary, which will be the subject of the work of a specially formed Working Group.</w:t>
      </w:r>
    </w:p>
    <w:p w14:paraId="55AAB6A9" w14:textId="77777777" w:rsidR="00EA4DEC" w:rsidRPr="00EA4DEC" w:rsidRDefault="00EA4DEC" w:rsidP="00EA4DEC">
      <w:pPr>
        <w:spacing w:line="240" w:lineRule="auto"/>
        <w:jc w:val="both"/>
        <w:rPr>
          <w:rFonts w:cs="Calibri"/>
          <w:lang w:val="en-US"/>
        </w:rPr>
      </w:pPr>
      <w:r w:rsidRPr="00EA4DEC">
        <w:rPr>
          <w:rFonts w:cs="Calibri"/>
          <w:lang w:val="en-US"/>
        </w:rPr>
        <w:t>The cooperation started with the economic operators affected by the Track &amp; Trace system will be intensified, which will have significant financial implications for its introduction.</w:t>
      </w:r>
    </w:p>
    <w:p w14:paraId="112E62D7" w14:textId="77777777" w:rsidR="00EA4DEC" w:rsidRPr="00EA4DEC" w:rsidRDefault="00EA4DEC" w:rsidP="00EA4DEC">
      <w:pPr>
        <w:spacing w:line="240" w:lineRule="auto"/>
        <w:jc w:val="both"/>
        <w:rPr>
          <w:rFonts w:cs="Calibri"/>
          <w:lang w:val="en-US"/>
        </w:rPr>
      </w:pPr>
      <w:r w:rsidRPr="00EA4DEC">
        <w:rPr>
          <w:rFonts w:cs="Calibri"/>
          <w:lang w:val="en-US"/>
        </w:rPr>
        <w:t>A significant part of the introduction of this system is the process of providing all the necessary resources for its application, which will mainly cause financial implications for the economic operators who will be part of the Track &amp; Trace system. This implies the purchase of expensive equipment for marking and tracking cigarettes in the entire supply chain, starting from production to the first retail outlet. Also, economic operators have an obligation to choose and finance a primary depository for storing the unique codes.</w:t>
      </w:r>
    </w:p>
    <w:p w14:paraId="3B9285BB" w14:textId="77777777" w:rsidR="00EA4DEC" w:rsidRPr="00EA4DEC" w:rsidRDefault="00EA4DEC" w:rsidP="00EA4DEC">
      <w:pPr>
        <w:spacing w:line="240" w:lineRule="auto"/>
        <w:jc w:val="both"/>
        <w:rPr>
          <w:rFonts w:cs="Calibri"/>
          <w:lang w:val="en-US"/>
        </w:rPr>
      </w:pPr>
      <w:r w:rsidRPr="00EA4DEC">
        <w:rPr>
          <w:rFonts w:cs="Calibri"/>
          <w:lang w:val="en-US"/>
        </w:rPr>
        <w:lastRenderedPageBreak/>
        <w:t>A particularly key step in the implementation process of the Track &amp; Trace system is the selection of an issuer of unique product identifiers - codes, as well as the selection of a secondary depository for storing all issued codes.</w:t>
      </w:r>
    </w:p>
    <w:p w14:paraId="7F21368A" w14:textId="77777777" w:rsidR="00EA4DEC" w:rsidRPr="00EA4DEC" w:rsidRDefault="00EA4DEC" w:rsidP="00EA4DEC">
      <w:pPr>
        <w:spacing w:line="240" w:lineRule="auto"/>
        <w:jc w:val="both"/>
        <w:rPr>
          <w:rFonts w:cs="Calibri"/>
          <w:lang w:val="en-US"/>
        </w:rPr>
      </w:pPr>
      <w:r w:rsidRPr="00EA4DEC">
        <w:rPr>
          <w:rFonts w:cs="Calibri"/>
          <w:lang w:val="en-US"/>
        </w:rPr>
        <w:t>Also, for the practical implementation of the Track &amp; Trace system, consulting assistance from the EU countries, which already have experience with the application of the system, will be needed.</w:t>
      </w:r>
    </w:p>
    <w:p w14:paraId="383643A5" w14:textId="77777777" w:rsidR="00EA4DEC" w:rsidRPr="00EA4DEC" w:rsidRDefault="00EA4DEC" w:rsidP="00EA4DEC">
      <w:pPr>
        <w:spacing w:line="240" w:lineRule="auto"/>
        <w:jc w:val="both"/>
        <w:rPr>
          <w:rFonts w:cs="Calibri"/>
          <w:lang w:val="en-US"/>
        </w:rPr>
      </w:pPr>
      <w:r w:rsidRPr="00EA4DEC">
        <w:rPr>
          <w:rFonts w:cs="Calibri"/>
          <w:lang w:val="en-US"/>
        </w:rPr>
        <w:t>Finally, it is of particular importance to mention the necessary alignment of the Track &amp; Trace system with the existing electronic system of the Customs Administration, which must be compatible.</w:t>
      </w:r>
    </w:p>
    <w:p w14:paraId="661F5283" w14:textId="1663B768" w:rsidR="00EA4DEC" w:rsidRPr="00EA4DEC" w:rsidRDefault="00EA4DEC" w:rsidP="00EA4DEC">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EA4DEC" w:rsidRPr="008C761D" w14:paraId="1482CAC1" w14:textId="77777777" w:rsidTr="00EA4DEC">
        <w:tc>
          <w:tcPr>
            <w:tcW w:w="2518" w:type="dxa"/>
            <w:tcBorders>
              <w:top w:val="nil"/>
              <w:bottom w:val="single" w:sz="4" w:space="0" w:color="FFFFFF"/>
            </w:tcBorders>
            <w:shd w:val="clear" w:color="auto" w:fill="1F3864"/>
          </w:tcPr>
          <w:p w14:paraId="01418656" w14:textId="77777777" w:rsidR="00EA4DEC" w:rsidRPr="008C761D" w:rsidRDefault="00EA4DEC" w:rsidP="00EA4DEC">
            <w:pPr>
              <w:spacing w:line="240" w:lineRule="auto"/>
              <w:jc w:val="both"/>
              <w:rPr>
                <w:rFonts w:cs="Calibri"/>
                <w:b/>
                <w:color w:val="FFFFFF"/>
                <w:sz w:val="20"/>
                <w:szCs w:val="20"/>
                <w:lang w:val="en-US"/>
              </w:rPr>
            </w:pPr>
            <w:bookmarkStart w:id="34" w:name="_Hlk160537785"/>
            <w:r w:rsidRPr="008C761D">
              <w:rPr>
                <w:rFonts w:cs="Calibri"/>
                <w:b/>
                <w:color w:val="FFFFFF"/>
                <w:sz w:val="20"/>
                <w:szCs w:val="20"/>
                <w:lang w:val="en-US"/>
              </w:rPr>
              <w:t>Completed</w:t>
            </w:r>
            <w:r>
              <w:rPr>
                <w:rFonts w:cs="Calibri"/>
                <w:b/>
                <w:color w:val="FFFFFF"/>
                <w:sz w:val="20"/>
                <w:szCs w:val="20"/>
                <w:lang w:val="en-US"/>
              </w:rPr>
              <w:t xml:space="preserve"> </w:t>
            </w:r>
            <w:r w:rsidRPr="008C761D">
              <w:rPr>
                <w:rFonts w:cs="Calibri"/>
                <w:b/>
                <w:color w:val="FFFFFF"/>
                <w:sz w:val="20"/>
                <w:szCs w:val="20"/>
                <w:lang w:val="en-US"/>
              </w:rPr>
              <w:t>in</w:t>
            </w:r>
            <w:r>
              <w:rPr>
                <w:rFonts w:cs="Calibri"/>
                <w:b/>
                <w:color w:val="FFFFFF"/>
                <w:sz w:val="20"/>
                <w:szCs w:val="20"/>
                <w:lang w:val="en-US"/>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49CB3A27" w14:textId="77777777" w:rsidR="00EA4DEC" w:rsidRPr="008C761D" w:rsidRDefault="00EA4DEC" w:rsidP="00EA4DEC">
            <w:pPr>
              <w:spacing w:line="240" w:lineRule="auto"/>
              <w:jc w:val="both"/>
              <w:rPr>
                <w:rFonts w:cs="Calibri"/>
                <w:sz w:val="20"/>
                <w:szCs w:val="20"/>
                <w:lang w:val="en-US"/>
              </w:rPr>
            </w:pPr>
            <w:r w:rsidRPr="008C761D">
              <w:rPr>
                <w:rFonts w:cs="Calibri"/>
                <w:sz w:val="20"/>
                <w:szCs w:val="20"/>
                <w:lang w:val="en-US"/>
              </w:rPr>
              <w:t>202</w:t>
            </w:r>
            <w:r>
              <w:rPr>
                <w:rFonts w:cs="Calibri"/>
                <w:sz w:val="20"/>
                <w:szCs w:val="20"/>
                <w:lang w:val="en-US"/>
              </w:rPr>
              <w:t>7</w:t>
            </w:r>
          </w:p>
        </w:tc>
      </w:tr>
      <w:tr w:rsidR="00EA4DEC" w:rsidRPr="008C761D" w14:paraId="1C6C1B2A" w14:textId="77777777" w:rsidTr="00EA4DEC">
        <w:tc>
          <w:tcPr>
            <w:tcW w:w="2518" w:type="dxa"/>
            <w:tcBorders>
              <w:top w:val="single" w:sz="4" w:space="0" w:color="FFFFFF"/>
              <w:bottom w:val="single" w:sz="4" w:space="0" w:color="FFFFFF"/>
            </w:tcBorders>
            <w:shd w:val="clear" w:color="auto" w:fill="1F3864"/>
          </w:tcPr>
          <w:p w14:paraId="78A91238" w14:textId="77777777" w:rsidR="00EA4DEC" w:rsidRPr="008C761D" w:rsidRDefault="00EA4DEC" w:rsidP="00EA4DEC">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092CF2D2" w14:textId="77777777" w:rsidR="00EA4DEC" w:rsidRPr="006C13FB" w:rsidRDefault="00EA4DEC" w:rsidP="00EA4DEC">
            <w:pPr>
              <w:pStyle w:val="ListParagraph"/>
              <w:numPr>
                <w:ilvl w:val="0"/>
                <w:numId w:val="56"/>
              </w:numPr>
              <w:spacing w:line="240" w:lineRule="auto"/>
              <w:ind w:left="250" w:hanging="180"/>
              <w:rPr>
                <w:rFonts w:cs="Calibri"/>
                <w:color w:val="000000"/>
                <w:sz w:val="20"/>
                <w:szCs w:val="20"/>
                <w:lang w:val="en-US"/>
              </w:rPr>
            </w:pPr>
            <w:r w:rsidRPr="006C13FB">
              <w:rPr>
                <w:rFonts w:cs="Calibri"/>
                <w:color w:val="000000"/>
                <w:sz w:val="20"/>
                <w:szCs w:val="20"/>
                <w:lang w:val="en-US"/>
              </w:rPr>
              <w:t>Available track &amp; Trace system that provide adequate monitoring of excise goods (cigarettes</w:t>
            </w:r>
            <w:proofErr w:type="gramStart"/>
            <w:r w:rsidRPr="006C13FB">
              <w:rPr>
                <w:rFonts w:cs="Calibri"/>
                <w:color w:val="000000"/>
                <w:sz w:val="20"/>
                <w:szCs w:val="20"/>
                <w:lang w:val="en-US"/>
              </w:rPr>
              <w:t>).</w:t>
            </w:r>
            <w:r w:rsidRPr="006C13FB">
              <w:rPr>
                <w:rFonts w:cs="Calibri"/>
                <w:color w:val="2C2825"/>
                <w:lang w:val="en-US"/>
              </w:rPr>
              <w:t>decreases</w:t>
            </w:r>
            <w:proofErr w:type="gramEnd"/>
            <w:r w:rsidRPr="006C13FB">
              <w:rPr>
                <w:rFonts w:cs="Calibri"/>
                <w:color w:val="2C2825"/>
                <w:lang w:val="en-US"/>
              </w:rPr>
              <w:t xml:space="preserve"> illicit trade and tax evasion  in tobacco products </w:t>
            </w:r>
          </w:p>
        </w:tc>
      </w:tr>
      <w:tr w:rsidR="00EA4DEC" w:rsidRPr="008C761D" w14:paraId="634D571A" w14:textId="77777777" w:rsidTr="00EA4DEC">
        <w:trPr>
          <w:trHeight w:val="391"/>
        </w:trPr>
        <w:tc>
          <w:tcPr>
            <w:tcW w:w="2518" w:type="dxa"/>
            <w:tcBorders>
              <w:top w:val="single" w:sz="4" w:space="0" w:color="FFFFFF"/>
              <w:bottom w:val="single" w:sz="4" w:space="0" w:color="FFFFFF"/>
            </w:tcBorders>
            <w:shd w:val="clear" w:color="auto" w:fill="1F3864"/>
          </w:tcPr>
          <w:p w14:paraId="7A5AC88F" w14:textId="77777777" w:rsidR="00EA4DEC" w:rsidRPr="00106CF1" w:rsidRDefault="00EA4DEC" w:rsidP="00EA4DEC">
            <w:pPr>
              <w:spacing w:line="240" w:lineRule="auto"/>
              <w:jc w:val="both"/>
              <w:rPr>
                <w:rFonts w:cs="Calibri"/>
                <w:b/>
                <w:color w:val="FFFFFF"/>
                <w:sz w:val="20"/>
                <w:szCs w:val="20"/>
                <w:lang w:val="en-US"/>
              </w:rPr>
            </w:pPr>
            <w:r w:rsidRPr="00106CF1">
              <w:rPr>
                <w:rFonts w:cs="Calibri"/>
                <w:b/>
                <w:color w:val="FFFFFF"/>
                <w:sz w:val="20"/>
                <w:szCs w:val="20"/>
                <w:lang w:val="en-US"/>
              </w:rPr>
              <w:t>Costsimplications:</w:t>
            </w:r>
          </w:p>
        </w:tc>
        <w:tc>
          <w:tcPr>
            <w:tcW w:w="6246" w:type="dxa"/>
            <w:tcBorders>
              <w:top w:val="single" w:sz="4" w:space="0" w:color="FFFFFF"/>
              <w:bottom w:val="single" w:sz="4" w:space="0" w:color="FFFFFF"/>
            </w:tcBorders>
            <w:shd w:val="clear" w:color="auto" w:fill="D9E2F3"/>
          </w:tcPr>
          <w:p w14:paraId="07CD1FE5" w14:textId="77777777" w:rsidR="00EA4DEC" w:rsidRPr="006C13FB" w:rsidRDefault="00EA4DEC" w:rsidP="00EA4DEC">
            <w:pPr>
              <w:pStyle w:val="ListParagraph"/>
              <w:numPr>
                <w:ilvl w:val="0"/>
                <w:numId w:val="56"/>
              </w:numPr>
              <w:spacing w:line="240" w:lineRule="auto"/>
              <w:ind w:left="250" w:hanging="180"/>
              <w:rPr>
                <w:rFonts w:cs="Calibri"/>
                <w:sz w:val="20"/>
                <w:szCs w:val="20"/>
                <w:lang w:val="en-US"/>
              </w:rPr>
            </w:pPr>
            <w:r w:rsidRPr="006C13FB">
              <w:rPr>
                <w:rFonts w:cs="Calibri"/>
                <w:sz w:val="20"/>
                <w:szCs w:val="20"/>
                <w:lang w:val="en-US"/>
              </w:rPr>
              <w:t>Funding cannot be planned at the moment</w:t>
            </w:r>
          </w:p>
        </w:tc>
      </w:tr>
      <w:tr w:rsidR="00EA4DEC" w:rsidRPr="008C761D" w14:paraId="6406C3B5" w14:textId="77777777" w:rsidTr="00EA4DEC">
        <w:trPr>
          <w:trHeight w:val="532"/>
        </w:trPr>
        <w:tc>
          <w:tcPr>
            <w:tcW w:w="2518" w:type="dxa"/>
            <w:tcBorders>
              <w:top w:val="single" w:sz="4" w:space="0" w:color="FFFFFF"/>
              <w:bottom w:val="single" w:sz="4" w:space="0" w:color="FFFFFF"/>
            </w:tcBorders>
            <w:shd w:val="clear" w:color="auto" w:fill="1F3864"/>
          </w:tcPr>
          <w:p w14:paraId="29136227" w14:textId="77777777" w:rsidR="00EA4DEC" w:rsidRPr="00106CF1" w:rsidRDefault="00EA4DEC" w:rsidP="00EA4DEC">
            <w:pPr>
              <w:spacing w:line="240" w:lineRule="auto"/>
              <w:jc w:val="both"/>
              <w:rPr>
                <w:rFonts w:cs="Calibri"/>
                <w:b/>
                <w:color w:val="FFFFFF"/>
                <w:sz w:val="20"/>
                <w:szCs w:val="20"/>
                <w:lang w:val="en-US"/>
              </w:rPr>
            </w:pPr>
            <w:r w:rsidRPr="00106CF1">
              <w:rPr>
                <w:rFonts w:cs="Calibri"/>
                <w:b/>
                <w:color w:val="FFFFFF"/>
                <w:sz w:val="20"/>
                <w:szCs w:val="20"/>
                <w:lang w:val="en-US"/>
              </w:rPr>
              <w:t xml:space="preserve">Responsible entity: </w:t>
            </w:r>
          </w:p>
        </w:tc>
        <w:tc>
          <w:tcPr>
            <w:tcW w:w="6246" w:type="dxa"/>
            <w:tcBorders>
              <w:top w:val="single" w:sz="4" w:space="0" w:color="FFFFFF"/>
              <w:bottom w:val="single" w:sz="4" w:space="0" w:color="FFFFFF"/>
            </w:tcBorders>
            <w:shd w:val="clear" w:color="auto" w:fill="D9E2F3"/>
          </w:tcPr>
          <w:p w14:paraId="67A9469C" w14:textId="77777777" w:rsidR="00EA4DEC" w:rsidRPr="00106CF1" w:rsidRDefault="00EA4DEC" w:rsidP="00EA4DEC">
            <w:pPr>
              <w:pStyle w:val="ListParagraph"/>
              <w:numPr>
                <w:ilvl w:val="0"/>
                <w:numId w:val="56"/>
              </w:numPr>
              <w:spacing w:line="240" w:lineRule="auto"/>
              <w:ind w:left="250" w:hanging="180"/>
              <w:rPr>
                <w:rFonts w:cs="Calibri"/>
                <w:sz w:val="20"/>
                <w:szCs w:val="20"/>
                <w:lang w:val="en-US"/>
              </w:rPr>
            </w:pPr>
            <w:r w:rsidRPr="00106CF1">
              <w:rPr>
                <w:rFonts w:cs="Calibri"/>
                <w:sz w:val="20"/>
                <w:szCs w:val="20"/>
                <w:lang w:val="en-US"/>
              </w:rPr>
              <w:t>Customs administration</w:t>
            </w:r>
          </w:p>
        </w:tc>
      </w:tr>
      <w:tr w:rsidR="00EA4DEC" w:rsidRPr="008C761D" w14:paraId="55DBCA92" w14:textId="77777777" w:rsidTr="00EA4DEC">
        <w:tc>
          <w:tcPr>
            <w:tcW w:w="2518" w:type="dxa"/>
            <w:tcBorders>
              <w:top w:val="single" w:sz="4" w:space="0" w:color="FFFFFF"/>
              <w:bottom w:val="nil"/>
            </w:tcBorders>
            <w:shd w:val="clear" w:color="auto" w:fill="1F3864"/>
          </w:tcPr>
          <w:p w14:paraId="728EEC50" w14:textId="77777777" w:rsidR="00EA4DEC" w:rsidRPr="00D11D72" w:rsidRDefault="00EA4DEC" w:rsidP="00EA4DEC">
            <w:pPr>
              <w:tabs>
                <w:tab w:val="right" w:pos="2302"/>
              </w:tabs>
              <w:spacing w:line="240" w:lineRule="auto"/>
              <w:jc w:val="both"/>
              <w:rPr>
                <w:rFonts w:cs="Calibri"/>
                <w:b/>
                <w:color w:val="FFFFFF"/>
                <w:sz w:val="20"/>
                <w:szCs w:val="20"/>
              </w:rPr>
            </w:pPr>
            <w:r w:rsidRPr="008C761D">
              <w:rPr>
                <w:rFonts w:cs="Calibri"/>
                <w:b/>
                <w:color w:val="FFFFFF"/>
                <w:sz w:val="20"/>
                <w:szCs w:val="20"/>
                <w:lang w:val="en-US"/>
              </w:rPr>
              <w:t>Risk:</w:t>
            </w:r>
            <w:r>
              <w:rPr>
                <w:rFonts w:cs="Calibri"/>
                <w:b/>
                <w:color w:val="FFFFFF"/>
                <w:sz w:val="20"/>
                <w:szCs w:val="20"/>
                <w:lang w:val="en-US"/>
              </w:rPr>
              <w:tab/>
            </w:r>
          </w:p>
        </w:tc>
        <w:tc>
          <w:tcPr>
            <w:tcW w:w="6246" w:type="dxa"/>
            <w:tcBorders>
              <w:top w:val="single" w:sz="4" w:space="0" w:color="FFFFFF"/>
              <w:bottom w:val="nil"/>
            </w:tcBorders>
            <w:shd w:val="clear" w:color="auto" w:fill="D9E2F3"/>
          </w:tcPr>
          <w:p w14:paraId="700CB90A" w14:textId="77777777" w:rsidR="00EA4DEC" w:rsidRPr="00882998" w:rsidRDefault="00EA4DEC" w:rsidP="00EA4DEC">
            <w:pPr>
              <w:pStyle w:val="ListParagraph"/>
              <w:numPr>
                <w:ilvl w:val="0"/>
                <w:numId w:val="56"/>
              </w:numPr>
              <w:spacing w:after="0" w:line="240" w:lineRule="auto"/>
              <w:ind w:left="250" w:hanging="180"/>
              <w:rPr>
                <w:rFonts w:cs="Calibri"/>
                <w:sz w:val="20"/>
                <w:szCs w:val="20"/>
              </w:rPr>
            </w:pPr>
            <w:r w:rsidRPr="00882998">
              <w:rPr>
                <w:rFonts w:cs="Calibri"/>
                <w:sz w:val="20"/>
                <w:szCs w:val="20"/>
              </w:rPr>
              <w:t>Resistance of economic operators due to large financial investments and request for a transitional period</w:t>
            </w:r>
          </w:p>
          <w:p w14:paraId="332397C4" w14:textId="77777777" w:rsidR="00EA4DEC" w:rsidRPr="006C13FB" w:rsidRDefault="00EA4DEC" w:rsidP="00EA4DEC">
            <w:pPr>
              <w:pStyle w:val="ListParagraph"/>
              <w:numPr>
                <w:ilvl w:val="0"/>
                <w:numId w:val="56"/>
              </w:numPr>
              <w:spacing w:after="0" w:line="240" w:lineRule="auto"/>
              <w:ind w:left="250" w:hanging="200"/>
              <w:rPr>
                <w:rFonts w:cs="Calibri"/>
                <w:sz w:val="20"/>
                <w:szCs w:val="20"/>
              </w:rPr>
            </w:pPr>
            <w:r w:rsidRPr="006C13FB">
              <w:rPr>
                <w:rFonts w:cs="Calibri"/>
                <w:sz w:val="20"/>
                <w:szCs w:val="20"/>
              </w:rPr>
              <w:t>Uncertainty of the duration of the process of providing necessary prerequisites for implementation (choice of code issuer, secondary depository)</w:t>
            </w:r>
          </w:p>
          <w:p w14:paraId="7781F9AA" w14:textId="77777777" w:rsidR="00EA4DEC" w:rsidRPr="006C13FB" w:rsidRDefault="00EA4DEC" w:rsidP="00EA4DEC">
            <w:pPr>
              <w:pStyle w:val="ListParagraph"/>
              <w:numPr>
                <w:ilvl w:val="0"/>
                <w:numId w:val="56"/>
              </w:numPr>
              <w:spacing w:after="0" w:line="240" w:lineRule="auto"/>
              <w:ind w:left="250" w:hanging="200"/>
              <w:rPr>
                <w:rFonts w:cs="Calibri"/>
                <w:sz w:val="20"/>
                <w:szCs w:val="20"/>
              </w:rPr>
            </w:pPr>
            <w:r w:rsidRPr="006C13FB">
              <w:rPr>
                <w:rFonts w:cs="Calibri"/>
                <w:sz w:val="20"/>
                <w:szCs w:val="20"/>
              </w:rPr>
              <w:t>Lack of organizational experience in the operation of such a system</w:t>
            </w:r>
          </w:p>
          <w:p w14:paraId="5053E931" w14:textId="77777777" w:rsidR="00EA4DEC" w:rsidRPr="006C13FB" w:rsidRDefault="00EA4DEC" w:rsidP="00EA4DEC">
            <w:pPr>
              <w:pStyle w:val="ListParagraph"/>
              <w:numPr>
                <w:ilvl w:val="0"/>
                <w:numId w:val="56"/>
              </w:numPr>
              <w:spacing w:after="0" w:line="240" w:lineRule="auto"/>
              <w:ind w:left="250" w:hanging="180"/>
              <w:rPr>
                <w:rFonts w:cs="Calibri"/>
                <w:sz w:val="20"/>
                <w:szCs w:val="20"/>
              </w:rPr>
            </w:pPr>
            <w:r w:rsidRPr="006C13FB">
              <w:rPr>
                <w:rFonts w:cs="Calibri"/>
                <w:sz w:val="20"/>
                <w:szCs w:val="20"/>
              </w:rPr>
              <w:t>Unpredictability of the system testing process</w:t>
            </w:r>
          </w:p>
          <w:p w14:paraId="3E25CF26" w14:textId="77777777" w:rsidR="00EA4DEC" w:rsidRPr="001D4F21" w:rsidRDefault="00EA4DEC" w:rsidP="00EA4DEC">
            <w:pPr>
              <w:spacing w:after="0" w:line="240" w:lineRule="auto"/>
              <w:ind w:left="183" w:hanging="200"/>
              <w:jc w:val="both"/>
              <w:rPr>
                <w:rFonts w:cs="Calibri"/>
                <w:sz w:val="20"/>
                <w:szCs w:val="20"/>
              </w:rPr>
            </w:pPr>
            <w:r w:rsidRPr="001D4F21">
              <w:rPr>
                <w:rFonts w:cs="Calibri"/>
                <w:sz w:val="20"/>
                <w:szCs w:val="20"/>
              </w:rPr>
              <w:t xml:space="preserve"> </w:t>
            </w:r>
            <w:r>
              <w:rPr>
                <w:rFonts w:cs="Calibri"/>
                <w:sz w:val="20"/>
                <w:szCs w:val="20"/>
                <w:lang w:val="en-US"/>
              </w:rPr>
              <w:t xml:space="preserve">    </w:t>
            </w:r>
            <w:r w:rsidRPr="001D4F21">
              <w:rPr>
                <w:rFonts w:cs="Calibri"/>
                <w:sz w:val="20"/>
                <w:szCs w:val="20"/>
              </w:rPr>
              <w:t xml:space="preserve"> (mandatory trial period)</w:t>
            </w:r>
          </w:p>
          <w:p w14:paraId="4B88B02F" w14:textId="77777777" w:rsidR="00EA4DEC" w:rsidRPr="006C13FB" w:rsidRDefault="00EA4DEC" w:rsidP="00EA4DEC">
            <w:pPr>
              <w:pStyle w:val="ListParagraph"/>
              <w:numPr>
                <w:ilvl w:val="0"/>
                <w:numId w:val="56"/>
              </w:numPr>
              <w:spacing w:after="0" w:line="240" w:lineRule="auto"/>
              <w:ind w:left="250" w:hanging="250"/>
              <w:rPr>
                <w:rFonts w:cs="Calibri"/>
                <w:sz w:val="20"/>
                <w:szCs w:val="20"/>
              </w:rPr>
            </w:pPr>
            <w:r w:rsidRPr="006C13FB">
              <w:rPr>
                <w:rFonts w:cs="Calibri"/>
                <w:sz w:val="20"/>
                <w:szCs w:val="20"/>
              </w:rPr>
              <w:t>Risk of problems when harmonizing the Track &amp; Trace system with the existing customs electronic system</w:t>
            </w:r>
          </w:p>
        </w:tc>
      </w:tr>
      <w:bookmarkEnd w:id="34"/>
    </w:tbl>
    <w:p w14:paraId="78780D23" w14:textId="77777777" w:rsidR="00EA4DEC" w:rsidRPr="008C761D" w:rsidRDefault="00EA4DEC" w:rsidP="00EA4DEC">
      <w:pPr>
        <w:spacing w:line="240" w:lineRule="auto"/>
        <w:jc w:val="both"/>
        <w:rPr>
          <w:rFonts w:cs="Calibri"/>
          <w:lang w:val="en-US"/>
        </w:rPr>
      </w:pPr>
    </w:p>
    <w:p w14:paraId="11F0D9EB" w14:textId="77777777" w:rsidR="00376718" w:rsidRPr="003C6564" w:rsidRDefault="000874D8" w:rsidP="00E84CD0">
      <w:pPr>
        <w:pStyle w:val="Heading1"/>
        <w:spacing w:line="240" w:lineRule="auto"/>
        <w:jc w:val="both"/>
        <w:rPr>
          <w:rFonts w:ascii="Calibri" w:eastAsia="MS PGothic" w:hAnsi="Calibri" w:cs="Calibri"/>
          <w:color w:val="2F5496"/>
          <w:lang w:val="en-US" w:eastAsia="zh-CN"/>
        </w:rPr>
      </w:pPr>
      <w:r w:rsidRPr="008C761D">
        <w:rPr>
          <w:rFonts w:ascii="Calibri" w:eastAsia="MS PGothic" w:hAnsi="Calibri" w:cs="Calibri"/>
          <w:color w:val="2F5496"/>
          <w:sz w:val="36"/>
          <w:szCs w:val="36"/>
          <w:lang w:val="en-US" w:eastAsia="zh-CN"/>
        </w:rPr>
        <w:br w:type="page"/>
      </w:r>
      <w:bookmarkStart w:id="35" w:name="_Toc160611817"/>
      <w:r w:rsidR="00376718" w:rsidRPr="003C6564">
        <w:rPr>
          <w:rFonts w:ascii="Calibri" w:eastAsia="MS PGothic" w:hAnsi="Calibri" w:cs="Calibri"/>
          <w:color w:val="2F5496"/>
          <w:lang w:val="en-US" w:eastAsia="zh-CN"/>
        </w:rPr>
        <w:lastRenderedPageBreak/>
        <w:t>PILLAR III: Planning and Budget</w:t>
      </w:r>
      <w:bookmarkEnd w:id="35"/>
    </w:p>
    <w:p w14:paraId="5FE4D07B" w14:textId="007FD980" w:rsidR="00D144DD" w:rsidRPr="008C761D" w:rsidRDefault="00D4719C" w:rsidP="00D144DD">
      <w:pPr>
        <w:spacing w:line="240" w:lineRule="auto"/>
        <w:jc w:val="both"/>
        <w:rPr>
          <w:rFonts w:eastAsia="MS PGothic"/>
          <w:color w:val="4F81BD"/>
          <w:lang w:val="en-US" w:eastAsia="zh-CN"/>
        </w:rPr>
      </w:pPr>
      <w:r w:rsidRPr="008C761D">
        <w:rPr>
          <w:rFonts w:eastAsia="MS PGothic"/>
          <w:b/>
          <w:bCs/>
          <w:color w:val="4F81BD"/>
          <w:lang w:val="en-US" w:eastAsia="zh-CN"/>
        </w:rPr>
        <w:t>Introduction</w:t>
      </w:r>
    </w:p>
    <w:p w14:paraId="16BE9269" w14:textId="77777777" w:rsidR="001725EB" w:rsidRPr="008C761D" w:rsidRDefault="001725EB" w:rsidP="001725EB">
      <w:pPr>
        <w:widowControl w:val="0"/>
        <w:suppressAutoHyphens/>
        <w:snapToGrid w:val="0"/>
        <w:spacing w:after="120" w:line="240" w:lineRule="auto"/>
        <w:jc w:val="both"/>
        <w:rPr>
          <w:rFonts w:cs="Calibri"/>
          <w:lang w:val="en-US"/>
        </w:rPr>
      </w:pPr>
      <w:r w:rsidRPr="008C761D">
        <w:rPr>
          <w:rFonts w:cs="Calibri"/>
          <w:lang w:val="en-US"/>
        </w:rPr>
        <w:t xml:space="preserve">The new Budget Law is an extremely important, systemic and reform law. </w:t>
      </w:r>
    </w:p>
    <w:p w14:paraId="167E1D30" w14:textId="77777777"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 xml:space="preserve">The budget is one of the most important instruments of economic policy for any Government and state, but on the other hand of equal importance is the systemic budget law that defines the procedures for preparation and adoption of the Budget. </w:t>
      </w:r>
    </w:p>
    <w:p w14:paraId="4DAC704C" w14:textId="77777777"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In the current Law on Budgets from 2005, with several additional amendments and clarifications, it regulates the procedures for preparation, adoption, execution of the Budget of the Republic of North Macedonia and the budgets of the local self-government units and the City of Skopje, as well as reporting on execution of the budget.</w:t>
      </w:r>
    </w:p>
    <w:p w14:paraId="08D00D25" w14:textId="77777777"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 xml:space="preserve">However, new trends, recommendations and directives require new solutions for public financial management in accordance with the recommendations of international institutions and European Union directives. For the above reasons, the Ministry of Finance saw the need to draft a completely new law. </w:t>
      </w:r>
    </w:p>
    <w:p w14:paraId="3094EE8D" w14:textId="77777777" w:rsidR="002E67EB" w:rsidRPr="008C761D" w:rsidRDefault="002E67EB" w:rsidP="002E67EB">
      <w:pPr>
        <w:spacing w:after="160" w:line="259" w:lineRule="auto"/>
        <w:jc w:val="both"/>
        <w:rPr>
          <w:lang w:val="en-US"/>
        </w:rPr>
      </w:pPr>
      <w:r w:rsidRPr="008C761D">
        <w:rPr>
          <w:lang w:val="en-US"/>
        </w:rPr>
        <w:t>In direction of ensuring better financial reporting through the establishment of new accounting practices, also it is necessary to determine a strategic direction for the development of new accounting practices. Тhe development of new accounting practices also imposes the need to develop the capacity of the accounting profession in the public sector.</w:t>
      </w:r>
    </w:p>
    <w:p w14:paraId="10216243" w14:textId="20F27799" w:rsidR="002E67EB" w:rsidRPr="008C761D" w:rsidRDefault="00D4719C" w:rsidP="002E67EB">
      <w:pPr>
        <w:widowControl w:val="0"/>
        <w:suppressAutoHyphens/>
        <w:snapToGrid w:val="0"/>
        <w:spacing w:after="120" w:line="240" w:lineRule="auto"/>
        <w:jc w:val="both"/>
        <w:rPr>
          <w:rFonts w:cs="Calibri"/>
          <w:lang w:val="en-US"/>
        </w:rPr>
      </w:pPr>
      <w:proofErr w:type="gramStart"/>
      <w:r w:rsidRPr="008C761D">
        <w:rPr>
          <w:rFonts w:cs="Calibri"/>
          <w:lang w:val="en-US"/>
        </w:rPr>
        <w:t>Three</w:t>
      </w:r>
      <w:r w:rsidR="002E67EB" w:rsidRPr="008C761D">
        <w:rPr>
          <w:rFonts w:cs="Calibri"/>
          <w:lang w:val="en-US"/>
        </w:rPr>
        <w:t xml:space="preserve">  priorities</w:t>
      </w:r>
      <w:proofErr w:type="gramEnd"/>
      <w:r w:rsidR="002E67EB" w:rsidRPr="008C761D">
        <w:rPr>
          <w:rFonts w:cs="Calibri"/>
          <w:lang w:val="en-US"/>
        </w:rPr>
        <w:t xml:space="preserve"> are distinguished in this pillar:</w:t>
      </w:r>
    </w:p>
    <w:p w14:paraId="6BC35AF6" w14:textId="77777777" w:rsidR="002E67EB" w:rsidRPr="008C761D" w:rsidRDefault="002E67EB" w:rsidP="002E67EB">
      <w:pPr>
        <w:widowControl w:val="0"/>
        <w:numPr>
          <w:ilvl w:val="0"/>
          <w:numId w:val="96"/>
        </w:numPr>
        <w:suppressAutoHyphens/>
        <w:snapToGrid w:val="0"/>
        <w:spacing w:after="120" w:line="240" w:lineRule="auto"/>
        <w:jc w:val="both"/>
        <w:rPr>
          <w:rFonts w:cs="Calibri"/>
          <w:b/>
          <w:lang w:val="en-US"/>
        </w:rPr>
      </w:pPr>
      <w:r w:rsidRPr="008C761D">
        <w:rPr>
          <w:rFonts w:cs="Calibri"/>
          <w:b/>
          <w:color w:val="2C2825"/>
          <w:shd w:val="clear" w:color="auto" w:fill="FFFFFF"/>
          <w:lang w:val="en-US"/>
        </w:rPr>
        <w:t xml:space="preserve">Priority 1: </w:t>
      </w:r>
      <w:r w:rsidRPr="008C761D">
        <w:rPr>
          <w:rFonts w:cs="Calibri"/>
          <w:b/>
          <w:lang w:val="en-US"/>
        </w:rPr>
        <w:t xml:space="preserve">Budget Planning </w:t>
      </w:r>
    </w:p>
    <w:p w14:paraId="4085792B" w14:textId="77777777" w:rsidR="002E67EB" w:rsidRPr="008C761D" w:rsidRDefault="002E67EB" w:rsidP="002E67EB">
      <w:pPr>
        <w:widowControl w:val="0"/>
        <w:numPr>
          <w:ilvl w:val="0"/>
          <w:numId w:val="96"/>
        </w:numPr>
        <w:suppressAutoHyphens/>
        <w:snapToGrid w:val="0"/>
        <w:spacing w:after="120" w:line="240" w:lineRule="auto"/>
        <w:jc w:val="both"/>
        <w:rPr>
          <w:rFonts w:cs="Calibri"/>
          <w:b/>
          <w:lang w:val="en-US"/>
        </w:rPr>
      </w:pPr>
      <w:r w:rsidRPr="008C761D">
        <w:rPr>
          <w:rFonts w:cs="Calibri"/>
          <w:b/>
          <w:shd w:val="clear" w:color="auto" w:fill="FFFFFF"/>
          <w:lang w:val="en-US"/>
        </w:rPr>
        <w:t xml:space="preserve">Priority 2: </w:t>
      </w:r>
      <w:r w:rsidRPr="008C761D">
        <w:rPr>
          <w:rFonts w:cs="Calibri"/>
          <w:b/>
          <w:lang w:val="en-US"/>
        </w:rPr>
        <w:t xml:space="preserve">Strengthened Public Investment Management </w:t>
      </w:r>
    </w:p>
    <w:p w14:paraId="5B862C61" w14:textId="77777777" w:rsidR="002E67EB" w:rsidRPr="008C761D" w:rsidRDefault="002E67EB" w:rsidP="002E67EB">
      <w:pPr>
        <w:numPr>
          <w:ilvl w:val="0"/>
          <w:numId w:val="96"/>
        </w:numPr>
        <w:rPr>
          <w:rFonts w:cs="Calibri"/>
          <w:b/>
          <w:lang w:val="en-US"/>
        </w:rPr>
      </w:pPr>
      <w:r w:rsidRPr="008C761D">
        <w:rPr>
          <w:rFonts w:cs="Calibri"/>
          <w:b/>
          <w:lang w:val="en-US"/>
        </w:rPr>
        <w:t>Priority 3: Strengthen the accounting of budgets and budget users</w:t>
      </w:r>
    </w:p>
    <w:p w14:paraId="333338DA" w14:textId="45616333" w:rsidR="00D67B41" w:rsidRPr="008C761D" w:rsidRDefault="00D67B41" w:rsidP="00D67B41">
      <w:pPr>
        <w:widowControl w:val="0"/>
        <w:suppressAutoHyphens/>
        <w:snapToGrid w:val="0"/>
        <w:spacing w:after="120" w:line="240" w:lineRule="auto"/>
        <w:jc w:val="both"/>
        <w:rPr>
          <w:rFonts w:cs="Calibri"/>
          <w:b/>
          <w:lang w:val="en-US"/>
        </w:rPr>
      </w:pPr>
      <w:r w:rsidRPr="008C761D">
        <w:rPr>
          <w:rFonts w:cs="Calibri"/>
          <w:b/>
          <w:color w:val="2C2825"/>
          <w:shd w:val="clear" w:color="auto" w:fill="FFFFFF"/>
          <w:lang w:val="en-US"/>
        </w:rPr>
        <w:t xml:space="preserve">Priority 1: </w:t>
      </w:r>
      <w:r w:rsidRPr="008C761D">
        <w:rPr>
          <w:rFonts w:cs="Calibri"/>
          <w:b/>
          <w:lang w:val="en-US"/>
        </w:rPr>
        <w:t>Budget</w:t>
      </w:r>
      <w:r w:rsidR="002E67EB" w:rsidRPr="008C761D">
        <w:rPr>
          <w:rFonts w:cs="Calibri"/>
          <w:b/>
          <w:lang w:val="en-US"/>
        </w:rPr>
        <w:t xml:space="preserve"> </w:t>
      </w:r>
      <w:r w:rsidRPr="008C761D">
        <w:rPr>
          <w:rFonts w:cs="Calibri"/>
          <w:b/>
          <w:lang w:val="en-US"/>
        </w:rPr>
        <w:t>Planning</w:t>
      </w:r>
    </w:p>
    <w:p w14:paraId="463CF225" w14:textId="0898EA9A"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The new Budget Law fits into the concept of SMART Finance, i</w:t>
      </w:r>
      <w:r w:rsidR="00465A9A">
        <w:rPr>
          <w:rFonts w:cs="Calibri"/>
          <w:lang w:val="en-US"/>
        </w:rPr>
        <w:t>.</w:t>
      </w:r>
      <w:r w:rsidRPr="008C761D">
        <w:rPr>
          <w:rFonts w:cs="Calibri"/>
          <w:lang w:val="en-US"/>
        </w:rPr>
        <w:t>e it aims to provide a framework for conducting sound, predictable and sustainable fiscal policy and increase budget discipline and accountability.</w:t>
      </w:r>
    </w:p>
    <w:p w14:paraId="2B223F53" w14:textId="77777777"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 xml:space="preserve">Improving the management of public finances and strengthening the medium-term budget planning is one of the biggest priorities of the Government of the Republic of North Macedonia in the process of accession to the European Union. </w:t>
      </w:r>
    </w:p>
    <w:p w14:paraId="3D6FB500" w14:textId="77777777"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 xml:space="preserve">The proposed law contains provisions regarding: </w:t>
      </w:r>
    </w:p>
    <w:p w14:paraId="719C4F49" w14:textId="0488C29B" w:rsidR="002E67EB" w:rsidRPr="008C761D" w:rsidRDefault="00465A9A" w:rsidP="002E67EB">
      <w:pPr>
        <w:widowControl w:val="0"/>
        <w:numPr>
          <w:ilvl w:val="0"/>
          <w:numId w:val="70"/>
        </w:numPr>
        <w:suppressAutoHyphens/>
        <w:snapToGrid w:val="0"/>
        <w:spacing w:after="0" w:line="240" w:lineRule="auto"/>
        <w:ind w:left="709"/>
        <w:jc w:val="both"/>
        <w:rPr>
          <w:rFonts w:cs="Calibri"/>
          <w:lang w:val="en-US"/>
        </w:rPr>
      </w:pPr>
      <w:r>
        <w:rPr>
          <w:rFonts w:cs="Calibri"/>
          <w:lang w:val="en-US"/>
        </w:rPr>
        <w:t>p</w:t>
      </w:r>
      <w:r w:rsidR="002E67EB" w:rsidRPr="008C761D">
        <w:rPr>
          <w:rFonts w:cs="Calibri"/>
          <w:lang w:val="en-US"/>
        </w:rPr>
        <w:t xml:space="preserve">ublishing a register of public entities, which will group the public entities of the country into: budget users, public enterprises and other public entities; </w:t>
      </w:r>
    </w:p>
    <w:p w14:paraId="149A951D"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preparation of budget classifications; </w:t>
      </w:r>
    </w:p>
    <w:p w14:paraId="09573B1A"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fiscal rules and fiscal principles; </w:t>
      </w:r>
    </w:p>
    <w:p w14:paraId="72830572"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Establishment of the Fiscal Council, which should provide independent and professional analysis and opinions on macroeconomic and fiscal assumptions, fiscal strategy, budget, budget implementation reports, fiscal risks and the like;</w:t>
      </w:r>
    </w:p>
    <w:p w14:paraId="2774DEAD"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fiscal policy statement, should contain the directions for the fiscal strategy during the mandate of the Government; </w:t>
      </w:r>
    </w:p>
    <w:p w14:paraId="498F5ADA"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improved medium-term budget planning; </w:t>
      </w:r>
    </w:p>
    <w:p w14:paraId="1B9D4C64"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five-year fiscal strategy;</w:t>
      </w:r>
    </w:p>
    <w:p w14:paraId="7C886115"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improved structure and content of the budget; </w:t>
      </w:r>
    </w:p>
    <w:p w14:paraId="17014AC8"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lastRenderedPageBreak/>
        <w:t xml:space="preserve">temporary suspension of execution and rebalance of the budget; </w:t>
      </w:r>
    </w:p>
    <w:p w14:paraId="279EA0B7"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improved management of public financial and non-financial assets; </w:t>
      </w:r>
    </w:p>
    <w:p w14:paraId="0B885FF4"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borrowing and issuing guarantees;</w:t>
      </w:r>
    </w:p>
    <w:p w14:paraId="09D5D475"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 xml:space="preserve">improved transparency by improving the quality and quantity of reports; as well as </w:t>
      </w:r>
    </w:p>
    <w:p w14:paraId="6B44448C" w14:textId="77777777" w:rsidR="002E67EB" w:rsidRPr="008C761D" w:rsidRDefault="002E67EB" w:rsidP="002E67EB">
      <w:pPr>
        <w:widowControl w:val="0"/>
        <w:numPr>
          <w:ilvl w:val="0"/>
          <w:numId w:val="70"/>
        </w:numPr>
        <w:suppressAutoHyphens/>
        <w:snapToGrid w:val="0"/>
        <w:spacing w:after="0" w:line="240" w:lineRule="auto"/>
        <w:ind w:left="709"/>
        <w:jc w:val="both"/>
        <w:rPr>
          <w:rFonts w:cs="Calibri"/>
          <w:lang w:val="en-US"/>
        </w:rPr>
      </w:pPr>
      <w:r w:rsidRPr="008C761D">
        <w:rPr>
          <w:rFonts w:cs="Calibri"/>
          <w:lang w:val="en-US"/>
        </w:rPr>
        <w:t>Integrated information system for public financial management - IFMIS.</w:t>
      </w:r>
    </w:p>
    <w:p w14:paraId="46254608" w14:textId="77777777" w:rsidR="00D67B41" w:rsidRPr="008C761D" w:rsidRDefault="00D67B41" w:rsidP="00D67B41">
      <w:pPr>
        <w:widowControl w:val="0"/>
        <w:suppressAutoHyphens/>
        <w:snapToGrid w:val="0"/>
        <w:spacing w:after="120" w:line="240" w:lineRule="auto"/>
        <w:jc w:val="both"/>
        <w:rPr>
          <w:rFonts w:cs="Calibri"/>
          <w:color w:val="2C2825"/>
          <w:shd w:val="clear" w:color="auto" w:fill="FFFFFF"/>
          <w:lang w:val="en-US"/>
        </w:rPr>
      </w:pPr>
    </w:p>
    <w:p w14:paraId="1EFC76ED" w14:textId="09918FBF" w:rsidR="00D67B41" w:rsidRPr="008C761D" w:rsidRDefault="00D67B41" w:rsidP="00D67B41">
      <w:pPr>
        <w:widowControl w:val="0"/>
        <w:suppressAutoHyphens/>
        <w:snapToGrid w:val="0"/>
        <w:spacing w:after="120" w:line="240" w:lineRule="auto"/>
        <w:jc w:val="both"/>
        <w:rPr>
          <w:rFonts w:cs="Calibri"/>
          <w:b/>
          <w:lang w:val="en-US"/>
        </w:rPr>
      </w:pPr>
      <w:r w:rsidRPr="008C761D">
        <w:rPr>
          <w:rFonts w:cs="Calibri"/>
          <w:b/>
          <w:shd w:val="clear" w:color="auto" w:fill="FFFFFF"/>
          <w:lang w:val="en-US"/>
        </w:rPr>
        <w:t xml:space="preserve">Priority 2: </w:t>
      </w:r>
      <w:r w:rsidRPr="008C761D">
        <w:rPr>
          <w:rFonts w:cs="Calibri"/>
          <w:b/>
          <w:lang w:val="en-US"/>
        </w:rPr>
        <w:t>Strengthened</w:t>
      </w:r>
      <w:r w:rsidR="002E67EB" w:rsidRPr="008C761D">
        <w:rPr>
          <w:rFonts w:cs="Calibri"/>
          <w:b/>
          <w:lang w:val="en-US"/>
        </w:rPr>
        <w:t xml:space="preserve"> </w:t>
      </w:r>
      <w:r w:rsidRPr="008C761D">
        <w:rPr>
          <w:rFonts w:cs="Calibri"/>
          <w:b/>
          <w:lang w:val="en-US"/>
        </w:rPr>
        <w:t>Public</w:t>
      </w:r>
      <w:r w:rsidR="002E67EB" w:rsidRPr="008C761D">
        <w:rPr>
          <w:rFonts w:cs="Calibri"/>
          <w:b/>
          <w:lang w:val="en-US"/>
        </w:rPr>
        <w:t xml:space="preserve"> </w:t>
      </w:r>
      <w:r w:rsidRPr="008C761D">
        <w:rPr>
          <w:rFonts w:cs="Calibri"/>
          <w:b/>
          <w:lang w:val="en-US"/>
        </w:rPr>
        <w:t>Investment</w:t>
      </w:r>
      <w:r w:rsidR="002E67EB" w:rsidRPr="008C761D">
        <w:rPr>
          <w:rFonts w:cs="Calibri"/>
          <w:b/>
          <w:lang w:val="en-US"/>
        </w:rPr>
        <w:t xml:space="preserve"> </w:t>
      </w:r>
      <w:r w:rsidRPr="008C761D">
        <w:rPr>
          <w:rFonts w:cs="Calibri"/>
          <w:b/>
          <w:lang w:val="en-US"/>
        </w:rPr>
        <w:t>Management</w:t>
      </w:r>
    </w:p>
    <w:p w14:paraId="566B29A7" w14:textId="790E2DED" w:rsidR="00D67B41" w:rsidRPr="008C761D" w:rsidRDefault="00D67B41" w:rsidP="00D67B41">
      <w:pPr>
        <w:spacing w:before="240" w:after="160" w:line="240" w:lineRule="auto"/>
        <w:jc w:val="both"/>
        <w:rPr>
          <w:rFonts w:cs="Calibri"/>
          <w:lang w:val="en-US"/>
        </w:rPr>
      </w:pPr>
      <w:r w:rsidRPr="008C761D">
        <w:rPr>
          <w:rFonts w:cs="Calibri"/>
          <w:lang w:val="en-US"/>
        </w:rPr>
        <w:t>For the purpose of</w:t>
      </w:r>
      <w:r w:rsidR="00D4719C">
        <w:rPr>
          <w:rFonts w:cs="Calibri"/>
          <w:lang w:val="en-US"/>
        </w:rPr>
        <w:t xml:space="preserve"> </w:t>
      </w:r>
      <w:r w:rsidRPr="008C761D">
        <w:rPr>
          <w:rFonts w:cs="Calibri"/>
          <w:lang w:val="en-US"/>
        </w:rPr>
        <w:t>improving the planning, the allocation and the implementation of public infrastructure projects, reforms would be gradually introduced for increasing the efficiency of the public investment management practices, which will:</w:t>
      </w:r>
    </w:p>
    <w:p w14:paraId="6829D76A" w14:textId="77777777" w:rsidR="00D67B41" w:rsidRPr="008C761D" w:rsidRDefault="00D67B41" w:rsidP="003A338C">
      <w:pPr>
        <w:numPr>
          <w:ilvl w:val="0"/>
          <w:numId w:val="8"/>
        </w:numPr>
        <w:spacing w:after="160" w:line="240" w:lineRule="auto"/>
        <w:ind w:left="426" w:hanging="142"/>
        <w:contextualSpacing/>
        <w:jc w:val="both"/>
        <w:rPr>
          <w:rFonts w:eastAsia="MS PGothic" w:cs="Calibri"/>
          <w:lang w:val="en-US" w:eastAsia="zh-CN"/>
        </w:rPr>
      </w:pPr>
      <w:r w:rsidRPr="008C761D">
        <w:rPr>
          <w:rFonts w:eastAsia="MS PGothic" w:cs="Calibri"/>
          <w:lang w:val="en-US" w:eastAsia="zh-CN"/>
        </w:rPr>
        <w:t>contribute to greater harmonization of budget allocations with the Government’s investment priorities;</w:t>
      </w:r>
    </w:p>
    <w:p w14:paraId="2839DEFE" w14:textId="50C31AFD" w:rsidR="00D67B41" w:rsidRPr="008C761D" w:rsidRDefault="00D67B41" w:rsidP="003A338C">
      <w:pPr>
        <w:numPr>
          <w:ilvl w:val="0"/>
          <w:numId w:val="8"/>
        </w:numPr>
        <w:spacing w:after="160" w:line="240" w:lineRule="auto"/>
        <w:ind w:left="426" w:hanging="142"/>
        <w:contextualSpacing/>
        <w:jc w:val="both"/>
        <w:rPr>
          <w:rFonts w:eastAsia="MS PGothic" w:cs="Calibri"/>
          <w:lang w:val="en-US" w:eastAsia="zh-CN"/>
        </w:rPr>
      </w:pPr>
      <w:r w:rsidRPr="008C761D">
        <w:rPr>
          <w:rFonts w:eastAsia="MS PGothic" w:cs="Calibri"/>
          <w:lang w:val="en-US" w:eastAsia="zh-CN"/>
        </w:rPr>
        <w:t>improve the comprehensiveness of the budget documentation so as to include all public expenditures for capital investments and information on the financial needs of ongoing and new projects;</w:t>
      </w:r>
      <w:r w:rsidR="00D4719C">
        <w:rPr>
          <w:rFonts w:eastAsia="MS PGothic" w:cs="Calibri"/>
          <w:lang w:val="en-US" w:eastAsia="zh-CN"/>
        </w:rPr>
        <w:t xml:space="preserve"> </w:t>
      </w:r>
      <w:r w:rsidRPr="008C761D">
        <w:rPr>
          <w:rFonts w:eastAsia="MS PGothic" w:cs="Calibri"/>
          <w:lang w:val="en-US" w:eastAsia="zh-CN"/>
        </w:rPr>
        <w:t>and</w:t>
      </w:r>
    </w:p>
    <w:p w14:paraId="4F2C75D0" w14:textId="77777777" w:rsidR="00D67B41" w:rsidRPr="008C761D" w:rsidRDefault="00D67B41" w:rsidP="003A338C">
      <w:pPr>
        <w:numPr>
          <w:ilvl w:val="0"/>
          <w:numId w:val="8"/>
        </w:numPr>
        <w:spacing w:before="240" w:after="160" w:line="240" w:lineRule="auto"/>
        <w:ind w:left="426" w:hanging="142"/>
        <w:jc w:val="both"/>
        <w:rPr>
          <w:rFonts w:eastAsia="MS PGothic" w:cs="Calibri"/>
          <w:lang w:val="en-US" w:eastAsia="zh-CN"/>
        </w:rPr>
      </w:pPr>
      <w:r w:rsidRPr="008C761D">
        <w:rPr>
          <w:rFonts w:eastAsia="MS PGothic" w:cs="Calibri"/>
          <w:lang w:val="en-US" w:eastAsia="zh-CN"/>
        </w:rPr>
        <w:t xml:space="preserve">strengthen central oversight of the national public </w:t>
      </w:r>
      <w:proofErr w:type="gramStart"/>
      <w:r w:rsidRPr="008C761D">
        <w:rPr>
          <w:rFonts w:eastAsia="MS PGothic" w:cs="Calibri"/>
          <w:lang w:val="en-US" w:eastAsia="zh-CN"/>
        </w:rPr>
        <w:t>investments</w:t>
      </w:r>
      <w:proofErr w:type="gramEnd"/>
      <w:r w:rsidRPr="008C761D">
        <w:rPr>
          <w:rFonts w:eastAsia="MS PGothic" w:cs="Calibri"/>
          <w:lang w:val="en-US" w:eastAsia="zh-CN"/>
        </w:rPr>
        <w:t xml:space="preserve"> portfolio as a whole, including monitoring and management of the overall delivery risks.  </w:t>
      </w:r>
    </w:p>
    <w:p w14:paraId="1FD1B373" w14:textId="77777777" w:rsidR="002E67EB" w:rsidRPr="008C761D" w:rsidRDefault="002E67EB" w:rsidP="002E67EB">
      <w:pPr>
        <w:widowControl w:val="0"/>
        <w:suppressAutoHyphens/>
        <w:snapToGrid w:val="0"/>
        <w:spacing w:after="120" w:line="240" w:lineRule="auto"/>
        <w:jc w:val="both"/>
        <w:rPr>
          <w:rFonts w:cs="Calibri"/>
          <w:b/>
          <w:color w:val="2C2825"/>
          <w:shd w:val="clear" w:color="auto" w:fill="FFFFFF"/>
          <w:lang w:val="en-US"/>
        </w:rPr>
      </w:pPr>
      <w:r w:rsidRPr="008C761D">
        <w:rPr>
          <w:rFonts w:cs="Calibri"/>
          <w:b/>
          <w:color w:val="2C2825"/>
          <w:shd w:val="clear" w:color="auto" w:fill="FFFFFF"/>
          <w:lang w:val="en-US"/>
        </w:rPr>
        <w:t xml:space="preserve">Priority 3: Strengthen the accounting of budgets and budget users </w:t>
      </w:r>
    </w:p>
    <w:p w14:paraId="55DE3443" w14:textId="0CE0B040" w:rsidR="002E67EB" w:rsidRPr="008C761D" w:rsidRDefault="002E67EB" w:rsidP="002E67EB">
      <w:pPr>
        <w:widowControl w:val="0"/>
        <w:suppressAutoHyphens/>
        <w:snapToGrid w:val="0"/>
        <w:spacing w:after="120" w:line="240" w:lineRule="auto"/>
        <w:jc w:val="both"/>
        <w:rPr>
          <w:rFonts w:cs="Calibri"/>
          <w:lang w:val="en-US"/>
        </w:rPr>
      </w:pPr>
      <w:r w:rsidRPr="008C761D">
        <w:rPr>
          <w:rFonts w:cs="Calibri"/>
          <w:lang w:val="en-US"/>
        </w:rPr>
        <w:t xml:space="preserve">The aim </w:t>
      </w:r>
      <w:r w:rsidR="00D4719C">
        <w:rPr>
          <w:rFonts w:cs="Calibri"/>
          <w:lang w:val="en-US"/>
        </w:rPr>
        <w:t>of this Priority is adoption of</w:t>
      </w:r>
      <w:r w:rsidRPr="008C761D">
        <w:rPr>
          <w:rFonts w:cs="Calibri"/>
          <w:lang w:val="en-US"/>
        </w:rPr>
        <w:t xml:space="preserve"> Strategy for Improvement of Budget Institutions’ Accounting, and action plan for implementing the activities provided by the Strategy. Before the adoption of the Strategy, a gap analysis is required to identify the non-compliance of public sector accounting with the international practice, followed by determining the need, priorities and the objectives for introduction of the new accounting practices</w:t>
      </w:r>
    </w:p>
    <w:p w14:paraId="50E7BD25" w14:textId="77777777" w:rsidR="003C20E4" w:rsidRPr="008C761D" w:rsidRDefault="003C20E4" w:rsidP="00CE2DF4">
      <w:pPr>
        <w:spacing w:before="240" w:after="160" w:line="240" w:lineRule="auto"/>
        <w:ind w:left="720"/>
        <w:jc w:val="both"/>
        <w:rPr>
          <w:rFonts w:cs="Calibri"/>
          <w:color w:val="0070C0"/>
          <w:lang w:val="en-US"/>
        </w:rPr>
      </w:pPr>
    </w:p>
    <w:p w14:paraId="5C7AD544" w14:textId="77777777" w:rsidR="00376718" w:rsidRPr="003C6564" w:rsidRDefault="00376718" w:rsidP="00E6324F">
      <w:pPr>
        <w:pStyle w:val="Heading1"/>
        <w:rPr>
          <w:rFonts w:ascii="Calibri" w:hAnsi="Calibri" w:cs="Calibri"/>
          <w:color w:val="0070C0"/>
          <w:sz w:val="28"/>
          <w:szCs w:val="28"/>
          <w:lang w:val="en-US"/>
        </w:rPr>
      </w:pPr>
      <w:bookmarkStart w:id="36" w:name="_Toc98756261"/>
      <w:r w:rsidRPr="008C761D">
        <w:rPr>
          <w:highlight w:val="yellow"/>
          <w:lang w:val="en-US"/>
        </w:rPr>
        <w:br w:type="page"/>
      </w:r>
      <w:bookmarkStart w:id="37" w:name="_Toc160611818"/>
      <w:r w:rsidRPr="003C6564">
        <w:rPr>
          <w:rFonts w:ascii="Calibri" w:hAnsi="Calibri" w:cs="Calibri"/>
          <w:color w:val="0070C0"/>
          <w:sz w:val="28"/>
          <w:szCs w:val="28"/>
          <w:lang w:val="en-US"/>
        </w:rPr>
        <w:lastRenderedPageBreak/>
        <w:t>Priority 1: Budget Planning</w:t>
      </w:r>
      <w:bookmarkEnd w:id="36"/>
      <w:bookmarkEnd w:id="37"/>
    </w:p>
    <w:p w14:paraId="6F548983" w14:textId="77777777" w:rsidR="00376718" w:rsidRPr="008C761D" w:rsidRDefault="00376718"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192C5171" w14:textId="77777777" w:rsidR="009610EC" w:rsidRPr="008C761D" w:rsidRDefault="009610EC" w:rsidP="009610EC">
      <w:pPr>
        <w:spacing w:before="80" w:after="80" w:line="240" w:lineRule="auto"/>
        <w:jc w:val="both"/>
        <w:rPr>
          <w:rFonts w:eastAsia="MS PGothic" w:cs="Calibri"/>
          <w:lang w:val="en-US" w:eastAsia="zh-CN"/>
        </w:rPr>
      </w:pPr>
      <w:r w:rsidRPr="008C761D">
        <w:rPr>
          <w:rFonts w:eastAsia="MS PGothic" w:cs="Calibri"/>
          <w:lang w:val="en-US" w:eastAsia="zh-CN"/>
        </w:rPr>
        <w:t>In the medium-term, improve public expenditures structure, enhance the performance-based budget planning process, as well as gradually consolidate public finances by reducing the budget deficit as a percentage of GDP.</w:t>
      </w:r>
    </w:p>
    <w:p w14:paraId="45ABFE2A" w14:textId="77777777" w:rsidR="00376718" w:rsidRPr="008C761D" w:rsidRDefault="00376718" w:rsidP="00E84CD0">
      <w:pPr>
        <w:spacing w:before="80" w:after="80" w:line="240" w:lineRule="auto"/>
        <w:jc w:val="both"/>
        <w:rPr>
          <w:rFonts w:eastAsia="MS PGothic" w:cs="Calibri"/>
          <w:lang w:val="en-US" w:eastAsia="zh-CN"/>
        </w:rPr>
      </w:pPr>
      <w:r w:rsidRPr="008C761D">
        <w:rPr>
          <w:rFonts w:eastAsia="MS PGothic" w:cs="Calibri"/>
          <w:lang w:val="en-US" w:eastAsia="zh-CN"/>
        </w:rPr>
        <w:t>Objective of this priority will be achieved through the following measures and activities:</w:t>
      </w:r>
      <w:r w:rsidRPr="008C761D">
        <w:rPr>
          <w:rFonts w:eastAsia="MS PGothic" w:cs="Calibri"/>
          <w:lang w:val="en-US" w:eastAsia="zh-CN"/>
        </w:rPr>
        <w:tab/>
      </w:r>
    </w:p>
    <w:tbl>
      <w:tblPr>
        <w:tblW w:w="9873" w:type="dxa"/>
        <w:tblInd w:w="468" w:type="dxa"/>
        <w:tblLook w:val="01E0" w:firstRow="1" w:lastRow="1" w:firstColumn="1" w:lastColumn="1" w:noHBand="0" w:noVBand="0"/>
      </w:tblPr>
      <w:tblGrid>
        <w:gridCol w:w="1270"/>
        <w:gridCol w:w="8603"/>
      </w:tblGrid>
      <w:tr w:rsidR="00376718" w:rsidRPr="008C761D" w14:paraId="23576558" w14:textId="77777777" w:rsidTr="00EB301D">
        <w:tc>
          <w:tcPr>
            <w:tcW w:w="1270" w:type="dxa"/>
            <w:shd w:val="clear" w:color="auto" w:fill="auto"/>
          </w:tcPr>
          <w:p w14:paraId="72425F8E" w14:textId="419C4223" w:rsidR="00376718" w:rsidRPr="008C761D" w:rsidRDefault="00376718" w:rsidP="003C6564">
            <w:pPr>
              <w:spacing w:after="0" w:line="240" w:lineRule="auto"/>
              <w:ind w:hanging="101"/>
              <w:jc w:val="both"/>
              <w:rPr>
                <w:rFonts w:cs="Calibri"/>
                <w:b/>
                <w:lang w:val="en-US"/>
              </w:rPr>
            </w:pPr>
            <w:r w:rsidRPr="008C761D">
              <w:rPr>
                <w:rFonts w:cs="Calibri"/>
                <w:b/>
                <w:lang w:val="en-US"/>
              </w:rPr>
              <w:t>Measure</w:t>
            </w:r>
            <w:r w:rsidR="000F5BF4" w:rsidRPr="008C761D">
              <w:rPr>
                <w:rFonts w:cs="Calibri"/>
                <w:b/>
                <w:lang w:val="en-US"/>
              </w:rPr>
              <w:t xml:space="preserve"> </w:t>
            </w:r>
            <w:r w:rsidRPr="008C761D">
              <w:rPr>
                <w:rFonts w:cs="Calibri"/>
                <w:b/>
                <w:lang w:val="en-US"/>
              </w:rPr>
              <w:t>1:</w:t>
            </w:r>
          </w:p>
        </w:tc>
        <w:tc>
          <w:tcPr>
            <w:tcW w:w="8603" w:type="dxa"/>
            <w:shd w:val="clear" w:color="auto" w:fill="auto"/>
          </w:tcPr>
          <w:p w14:paraId="5D65B40E" w14:textId="77777777" w:rsidR="003C6564" w:rsidRDefault="00376718" w:rsidP="003C6564">
            <w:pPr>
              <w:tabs>
                <w:tab w:val="left" w:pos="1250"/>
              </w:tabs>
              <w:spacing w:after="0" w:line="240" w:lineRule="auto"/>
              <w:ind w:left="34"/>
              <w:jc w:val="both"/>
              <w:rPr>
                <w:rFonts w:cs="Calibri"/>
                <w:b/>
                <w:lang w:val="en-US"/>
              </w:rPr>
            </w:pPr>
            <w:r w:rsidRPr="008C761D">
              <w:rPr>
                <w:rFonts w:cs="Calibri"/>
                <w:b/>
                <w:lang w:val="en-US"/>
              </w:rPr>
              <w:t>Improving medium-term planning</w:t>
            </w:r>
          </w:p>
          <w:p w14:paraId="7758C3AB" w14:textId="0ACC5F03" w:rsidR="00376718" w:rsidRPr="008C761D" w:rsidRDefault="00376718" w:rsidP="003C6564">
            <w:pPr>
              <w:tabs>
                <w:tab w:val="left" w:pos="1250"/>
              </w:tabs>
              <w:spacing w:after="0" w:line="240" w:lineRule="auto"/>
              <w:ind w:left="34"/>
              <w:jc w:val="both"/>
              <w:rPr>
                <w:rFonts w:cs="Calibri"/>
                <w:b/>
                <w:lang w:val="en-US"/>
              </w:rPr>
            </w:pPr>
            <w:r w:rsidRPr="008C761D">
              <w:rPr>
                <w:rFonts w:cs="Calibri"/>
                <w:b/>
                <w:lang w:val="en-US"/>
              </w:rPr>
              <w:tab/>
            </w:r>
          </w:p>
        </w:tc>
      </w:tr>
      <w:tr w:rsidR="00376718" w:rsidRPr="008C761D" w14:paraId="703FA198" w14:textId="77777777" w:rsidTr="00EB301D">
        <w:tc>
          <w:tcPr>
            <w:tcW w:w="1270" w:type="dxa"/>
            <w:shd w:val="clear" w:color="auto" w:fill="auto"/>
          </w:tcPr>
          <w:p w14:paraId="6AD79BEF" w14:textId="77777777" w:rsidR="00376718" w:rsidRPr="008C761D" w:rsidRDefault="00376718" w:rsidP="003C6564">
            <w:pPr>
              <w:spacing w:after="0" w:line="240" w:lineRule="auto"/>
              <w:jc w:val="both"/>
              <w:rPr>
                <w:rFonts w:cs="Calibri"/>
                <w:lang w:val="en-US"/>
              </w:rPr>
            </w:pPr>
            <w:r w:rsidRPr="008C761D">
              <w:rPr>
                <w:rFonts w:cs="Calibri"/>
                <w:lang w:val="en-US"/>
              </w:rPr>
              <w:t>Activity 1:</w:t>
            </w:r>
          </w:p>
        </w:tc>
        <w:tc>
          <w:tcPr>
            <w:tcW w:w="8603" w:type="dxa"/>
            <w:shd w:val="clear" w:color="auto" w:fill="auto"/>
          </w:tcPr>
          <w:p w14:paraId="6C861E27" w14:textId="77777777" w:rsidR="00376718" w:rsidRPr="008C761D" w:rsidRDefault="00376718" w:rsidP="003C6564">
            <w:pPr>
              <w:spacing w:after="0" w:line="240" w:lineRule="auto"/>
              <w:ind w:left="34"/>
              <w:jc w:val="both"/>
              <w:rPr>
                <w:rFonts w:cs="Calibri"/>
                <w:lang w:val="en-US"/>
              </w:rPr>
            </w:pPr>
            <w:r w:rsidRPr="008C761D">
              <w:rPr>
                <w:rFonts w:cs="Calibri"/>
                <w:lang w:val="en-US"/>
              </w:rPr>
              <w:t>Medium-Term Fiscal Strategy based on a sectoral approach;</w:t>
            </w:r>
          </w:p>
        </w:tc>
      </w:tr>
      <w:tr w:rsidR="00376718" w:rsidRPr="008C761D" w14:paraId="4DA69FA8" w14:textId="77777777" w:rsidTr="00C17F2F">
        <w:trPr>
          <w:trHeight w:val="297"/>
        </w:trPr>
        <w:tc>
          <w:tcPr>
            <w:tcW w:w="1270" w:type="dxa"/>
            <w:shd w:val="clear" w:color="auto" w:fill="auto"/>
          </w:tcPr>
          <w:p w14:paraId="01B23266" w14:textId="72057F2F" w:rsidR="00376718" w:rsidRPr="008C761D" w:rsidRDefault="00376718" w:rsidP="003C6564">
            <w:pPr>
              <w:spacing w:after="0" w:line="240" w:lineRule="auto"/>
              <w:jc w:val="both"/>
              <w:rPr>
                <w:rFonts w:cs="Calibri"/>
                <w:lang w:val="en-US"/>
              </w:rPr>
            </w:pPr>
            <w:r w:rsidRPr="008C761D">
              <w:rPr>
                <w:rFonts w:cs="Calibri"/>
                <w:lang w:val="en-US"/>
              </w:rPr>
              <w:t>Activity 2:</w:t>
            </w:r>
          </w:p>
        </w:tc>
        <w:tc>
          <w:tcPr>
            <w:tcW w:w="8603" w:type="dxa"/>
            <w:shd w:val="clear" w:color="auto" w:fill="auto"/>
          </w:tcPr>
          <w:p w14:paraId="2C44275B" w14:textId="1638694C" w:rsidR="00376718" w:rsidRPr="008C761D" w:rsidRDefault="009610EC" w:rsidP="003C6564">
            <w:pPr>
              <w:spacing w:after="0" w:line="240" w:lineRule="auto"/>
              <w:ind w:left="34"/>
              <w:jc w:val="both"/>
              <w:rPr>
                <w:rFonts w:cs="Calibri"/>
                <w:lang w:val="en-US"/>
              </w:rPr>
            </w:pPr>
            <w:r w:rsidRPr="008C761D">
              <w:rPr>
                <w:rFonts w:cs="Calibri"/>
                <w:lang w:val="en-US"/>
              </w:rPr>
              <w:t xml:space="preserve">Determination of </w:t>
            </w:r>
            <w:proofErr w:type="gramStart"/>
            <w:r w:rsidRPr="008C761D">
              <w:rPr>
                <w:rFonts w:cs="Calibri"/>
                <w:lang w:val="en-US"/>
              </w:rPr>
              <w:t>medium term</w:t>
            </w:r>
            <w:proofErr w:type="gramEnd"/>
            <w:r w:rsidRPr="008C761D">
              <w:rPr>
                <w:rFonts w:cs="Calibri"/>
                <w:lang w:val="en-US"/>
              </w:rPr>
              <w:t xml:space="preserve"> </w:t>
            </w:r>
            <w:r w:rsidR="00D4719C" w:rsidRPr="008C761D">
              <w:rPr>
                <w:rFonts w:cs="Calibri"/>
                <w:lang w:val="en-US"/>
              </w:rPr>
              <w:t>expenditures</w:t>
            </w:r>
            <w:r w:rsidR="00D4719C">
              <w:rPr>
                <w:rFonts w:cs="Calibri"/>
                <w:lang w:val="en-US"/>
              </w:rPr>
              <w:t xml:space="preserve"> </w:t>
            </w:r>
            <w:r w:rsidRPr="008C761D">
              <w:rPr>
                <w:rFonts w:cs="Calibri"/>
                <w:lang w:val="en-US"/>
              </w:rPr>
              <w:t>celiings;</w:t>
            </w:r>
          </w:p>
        </w:tc>
      </w:tr>
      <w:tr w:rsidR="00376718" w:rsidRPr="008C761D" w14:paraId="0BD2B93A" w14:textId="77777777" w:rsidTr="00EB301D">
        <w:tc>
          <w:tcPr>
            <w:tcW w:w="1270" w:type="dxa"/>
            <w:shd w:val="clear" w:color="auto" w:fill="auto"/>
          </w:tcPr>
          <w:p w14:paraId="0C47D975" w14:textId="77777777" w:rsidR="00376718" w:rsidRPr="008C761D" w:rsidRDefault="00376718" w:rsidP="003C6564">
            <w:pPr>
              <w:spacing w:after="0" w:line="240" w:lineRule="auto"/>
              <w:jc w:val="both"/>
              <w:rPr>
                <w:rFonts w:cs="Calibri"/>
                <w:lang w:val="en-US"/>
              </w:rPr>
            </w:pPr>
            <w:r w:rsidRPr="008C761D">
              <w:rPr>
                <w:rFonts w:cs="Calibri"/>
                <w:lang w:val="en-US"/>
              </w:rPr>
              <w:t>Activity 3:</w:t>
            </w:r>
          </w:p>
        </w:tc>
        <w:tc>
          <w:tcPr>
            <w:tcW w:w="8603" w:type="dxa"/>
            <w:shd w:val="clear" w:color="auto" w:fill="auto"/>
          </w:tcPr>
          <w:p w14:paraId="3DDC3095" w14:textId="77777777" w:rsidR="00376718" w:rsidRPr="008C761D" w:rsidRDefault="00376718" w:rsidP="003C6564">
            <w:pPr>
              <w:spacing w:after="0" w:line="240" w:lineRule="auto"/>
              <w:ind w:left="34"/>
              <w:jc w:val="both"/>
              <w:rPr>
                <w:rFonts w:eastAsia="Times New Roman" w:cs="Calibri"/>
                <w:lang w:val="en-US" w:eastAsia="en-GB"/>
              </w:rPr>
            </w:pPr>
            <w:r w:rsidRPr="008C761D">
              <w:rPr>
                <w:rFonts w:eastAsia="Times New Roman" w:cs="Calibri"/>
                <w:lang w:val="en-US" w:eastAsia="en-GB"/>
              </w:rPr>
              <w:t>Strengthening medium-term planning at public enterprises and companies at central level.</w:t>
            </w:r>
          </w:p>
          <w:p w14:paraId="3B6E26C9" w14:textId="57ED18C5" w:rsidR="00EB301D" w:rsidRPr="008C761D" w:rsidRDefault="00EB301D" w:rsidP="003C6564">
            <w:pPr>
              <w:spacing w:after="0" w:line="240" w:lineRule="auto"/>
              <w:ind w:left="34"/>
              <w:jc w:val="both"/>
              <w:rPr>
                <w:rFonts w:cs="Calibri"/>
                <w:lang w:val="en-US"/>
              </w:rPr>
            </w:pPr>
          </w:p>
        </w:tc>
      </w:tr>
      <w:tr w:rsidR="00376718" w:rsidRPr="008C761D" w14:paraId="1BB9F8FF" w14:textId="77777777" w:rsidTr="00EB301D">
        <w:tc>
          <w:tcPr>
            <w:tcW w:w="1270" w:type="dxa"/>
            <w:shd w:val="clear" w:color="auto" w:fill="auto"/>
          </w:tcPr>
          <w:p w14:paraId="2E188F22" w14:textId="714E2EE5" w:rsidR="00376718" w:rsidRPr="008C761D" w:rsidRDefault="00376718" w:rsidP="003C6564">
            <w:pPr>
              <w:spacing w:after="0" w:line="240" w:lineRule="auto"/>
              <w:jc w:val="both"/>
              <w:rPr>
                <w:rFonts w:cs="Calibri"/>
                <w:b/>
                <w:lang w:val="en-US"/>
              </w:rPr>
            </w:pPr>
            <w:r w:rsidRPr="008C761D">
              <w:rPr>
                <w:rFonts w:cs="Calibri"/>
                <w:b/>
                <w:lang w:val="en-US"/>
              </w:rPr>
              <w:t>Measure</w:t>
            </w:r>
            <w:r w:rsidR="000F5BF4" w:rsidRPr="008C761D">
              <w:rPr>
                <w:rFonts w:cs="Calibri"/>
                <w:b/>
                <w:lang w:val="en-US"/>
              </w:rPr>
              <w:t xml:space="preserve"> </w:t>
            </w:r>
            <w:r w:rsidRPr="008C761D">
              <w:rPr>
                <w:rFonts w:cs="Calibri"/>
                <w:b/>
                <w:lang w:val="en-US"/>
              </w:rPr>
              <w:t>2:</w:t>
            </w:r>
          </w:p>
        </w:tc>
        <w:tc>
          <w:tcPr>
            <w:tcW w:w="8603" w:type="dxa"/>
            <w:shd w:val="clear" w:color="auto" w:fill="auto"/>
          </w:tcPr>
          <w:p w14:paraId="7F37D381" w14:textId="3AD15CAB" w:rsidR="00376718" w:rsidRPr="008C761D" w:rsidRDefault="000F5BF4" w:rsidP="003C6564">
            <w:pPr>
              <w:tabs>
                <w:tab w:val="left" w:pos="1250"/>
              </w:tabs>
              <w:spacing w:after="0" w:line="240" w:lineRule="auto"/>
              <w:ind w:left="34"/>
              <w:jc w:val="both"/>
              <w:rPr>
                <w:rFonts w:cs="Calibri"/>
                <w:b/>
                <w:lang w:val="en-US"/>
              </w:rPr>
            </w:pPr>
            <w:r w:rsidRPr="008C761D">
              <w:rPr>
                <w:rFonts w:cs="Calibri"/>
                <w:b/>
                <w:color w:val="000000"/>
                <w:shd w:val="clear" w:color="auto" w:fill="FFFFFF"/>
                <w:lang w:val="en-US"/>
              </w:rPr>
              <w:t>Improving sectoral approach of budget planning and development and implementation of bylaws</w:t>
            </w:r>
            <w:r w:rsidR="00376718" w:rsidRPr="008C761D">
              <w:rPr>
                <w:rFonts w:cs="Calibri"/>
                <w:b/>
                <w:lang w:val="en-US"/>
              </w:rPr>
              <w:tab/>
            </w:r>
          </w:p>
        </w:tc>
      </w:tr>
      <w:tr w:rsidR="00376718" w:rsidRPr="008C761D" w14:paraId="310C11DB" w14:textId="77777777" w:rsidTr="00EB301D">
        <w:tc>
          <w:tcPr>
            <w:tcW w:w="1270" w:type="dxa"/>
            <w:shd w:val="clear" w:color="auto" w:fill="auto"/>
          </w:tcPr>
          <w:p w14:paraId="48920F4D" w14:textId="77777777" w:rsidR="00376718" w:rsidRPr="008C761D" w:rsidRDefault="00376718" w:rsidP="003C6564">
            <w:pPr>
              <w:spacing w:after="0" w:line="240" w:lineRule="auto"/>
              <w:jc w:val="both"/>
              <w:rPr>
                <w:rFonts w:cs="Calibri"/>
                <w:lang w:val="en-US"/>
              </w:rPr>
            </w:pPr>
            <w:r w:rsidRPr="008C761D">
              <w:rPr>
                <w:rFonts w:cs="Calibri"/>
                <w:lang w:val="en-US"/>
              </w:rPr>
              <w:t>Activity 1:</w:t>
            </w:r>
          </w:p>
        </w:tc>
        <w:tc>
          <w:tcPr>
            <w:tcW w:w="8603" w:type="dxa"/>
            <w:shd w:val="clear" w:color="auto" w:fill="auto"/>
          </w:tcPr>
          <w:p w14:paraId="11136B67" w14:textId="3D8A7B40" w:rsidR="00DF185F" w:rsidRPr="008C761D" w:rsidRDefault="009610EC" w:rsidP="003C6564">
            <w:pPr>
              <w:spacing w:after="0" w:line="240" w:lineRule="auto"/>
              <w:ind w:left="34"/>
              <w:jc w:val="both"/>
              <w:rPr>
                <w:rFonts w:cs="Calibri"/>
                <w:color w:val="000000"/>
                <w:shd w:val="clear" w:color="auto" w:fill="FFFFFF"/>
                <w:lang w:val="en-US"/>
              </w:rPr>
            </w:pPr>
            <w:r w:rsidRPr="008C761D">
              <w:rPr>
                <w:rFonts w:cs="Calibri"/>
                <w:color w:val="000000"/>
                <w:shd w:val="clear" w:color="auto" w:fill="FFFFFF"/>
                <w:lang w:val="en-US"/>
              </w:rPr>
              <w:t xml:space="preserve">Preparing and implementing OBL bylaws </w:t>
            </w:r>
          </w:p>
        </w:tc>
      </w:tr>
      <w:tr w:rsidR="00376718" w:rsidRPr="008C761D" w14:paraId="2AD82F41" w14:textId="77777777" w:rsidTr="00EB301D">
        <w:tc>
          <w:tcPr>
            <w:tcW w:w="1270" w:type="dxa"/>
            <w:shd w:val="clear" w:color="auto" w:fill="auto"/>
          </w:tcPr>
          <w:p w14:paraId="3715C451" w14:textId="77777777" w:rsidR="00376718" w:rsidRPr="008C761D" w:rsidRDefault="00376718" w:rsidP="003C6564">
            <w:pPr>
              <w:spacing w:after="0" w:line="240" w:lineRule="auto"/>
              <w:jc w:val="both"/>
              <w:rPr>
                <w:rFonts w:cs="Calibri"/>
                <w:lang w:val="en-US"/>
              </w:rPr>
            </w:pPr>
            <w:r w:rsidRPr="008C761D">
              <w:rPr>
                <w:rFonts w:cs="Calibri"/>
                <w:lang w:val="en-US"/>
              </w:rPr>
              <w:t>Activity 2:</w:t>
            </w:r>
          </w:p>
        </w:tc>
        <w:tc>
          <w:tcPr>
            <w:tcW w:w="8603" w:type="dxa"/>
            <w:shd w:val="clear" w:color="auto" w:fill="auto"/>
          </w:tcPr>
          <w:p w14:paraId="3721E843" w14:textId="04A70FE9" w:rsidR="00376718" w:rsidRPr="008C761D" w:rsidRDefault="009610EC" w:rsidP="003C6564">
            <w:pPr>
              <w:spacing w:after="0" w:line="240" w:lineRule="auto"/>
              <w:ind w:left="34"/>
              <w:jc w:val="both"/>
              <w:rPr>
                <w:rFonts w:cs="Calibri"/>
                <w:color w:val="000000"/>
                <w:shd w:val="clear" w:color="auto" w:fill="FFFFFF"/>
                <w:lang w:val="en-US"/>
              </w:rPr>
            </w:pPr>
            <w:r w:rsidRPr="008C761D">
              <w:rPr>
                <w:rFonts w:cs="Calibri"/>
                <w:color w:val="000000"/>
                <w:shd w:val="clear" w:color="auto" w:fill="FFFFFF"/>
                <w:lang w:val="en-US"/>
              </w:rPr>
              <w:t>Preparing and implementing several types of classifications - administrative/organizational, economic, program, functional classifications, as well as classification of sources of financing;</w:t>
            </w:r>
          </w:p>
        </w:tc>
      </w:tr>
      <w:tr w:rsidR="00376718" w:rsidRPr="008C761D" w14:paraId="15935AC2" w14:textId="77777777" w:rsidTr="00C17F2F">
        <w:trPr>
          <w:trHeight w:val="423"/>
        </w:trPr>
        <w:tc>
          <w:tcPr>
            <w:tcW w:w="1270" w:type="dxa"/>
            <w:shd w:val="clear" w:color="auto" w:fill="auto"/>
          </w:tcPr>
          <w:p w14:paraId="42998D15" w14:textId="77777777" w:rsidR="00376718" w:rsidRPr="008C761D" w:rsidRDefault="00376718" w:rsidP="003C6564">
            <w:pPr>
              <w:spacing w:after="0" w:line="240" w:lineRule="auto"/>
              <w:jc w:val="both"/>
              <w:rPr>
                <w:rFonts w:cs="Calibri"/>
                <w:lang w:val="en-US"/>
              </w:rPr>
            </w:pPr>
            <w:r w:rsidRPr="008C761D">
              <w:rPr>
                <w:rFonts w:cs="Calibri"/>
                <w:lang w:val="en-US"/>
              </w:rPr>
              <w:t>Activity 3:</w:t>
            </w:r>
          </w:p>
          <w:p w14:paraId="17C62883" w14:textId="77777777" w:rsidR="00376718" w:rsidRPr="008C761D" w:rsidRDefault="00376718" w:rsidP="003C6564">
            <w:pPr>
              <w:spacing w:after="0" w:line="240" w:lineRule="auto"/>
              <w:jc w:val="both"/>
              <w:rPr>
                <w:rFonts w:cs="Calibri"/>
                <w:lang w:val="en-US"/>
              </w:rPr>
            </w:pPr>
          </w:p>
        </w:tc>
        <w:tc>
          <w:tcPr>
            <w:tcW w:w="8603" w:type="dxa"/>
            <w:shd w:val="clear" w:color="auto" w:fill="auto"/>
          </w:tcPr>
          <w:p w14:paraId="11196062" w14:textId="277F5C45" w:rsidR="00C17F2F" w:rsidRPr="008C761D" w:rsidRDefault="009610EC" w:rsidP="003C6564">
            <w:pPr>
              <w:spacing w:after="0" w:line="240" w:lineRule="auto"/>
              <w:ind w:left="34"/>
              <w:jc w:val="both"/>
              <w:rPr>
                <w:rFonts w:cs="Calibri"/>
                <w:color w:val="000000"/>
                <w:shd w:val="clear" w:color="auto" w:fill="FFFFFF"/>
                <w:lang w:val="en-US"/>
              </w:rPr>
            </w:pPr>
            <w:r w:rsidRPr="008C761D">
              <w:rPr>
                <w:rFonts w:cs="Calibri"/>
                <w:color w:val="000000"/>
                <w:shd w:val="clear" w:color="auto" w:fill="FFFFFF"/>
                <w:lang w:val="en-US"/>
              </w:rPr>
              <w:t>Strengthening of capacities, training of employees of the MoF and budget beneficiaries</w:t>
            </w:r>
          </w:p>
        </w:tc>
      </w:tr>
      <w:tr w:rsidR="00376718" w:rsidRPr="008C761D" w14:paraId="7894F6A0" w14:textId="77777777" w:rsidTr="00EB301D">
        <w:tc>
          <w:tcPr>
            <w:tcW w:w="1270" w:type="dxa"/>
            <w:shd w:val="clear" w:color="auto" w:fill="auto"/>
          </w:tcPr>
          <w:p w14:paraId="510D7F12" w14:textId="77777777" w:rsidR="00376718" w:rsidRPr="008C761D" w:rsidRDefault="00376718" w:rsidP="003C6564">
            <w:pPr>
              <w:spacing w:after="0" w:line="240" w:lineRule="auto"/>
              <w:jc w:val="both"/>
              <w:rPr>
                <w:rFonts w:cs="Calibri"/>
                <w:lang w:val="en-US"/>
              </w:rPr>
            </w:pPr>
            <w:r w:rsidRPr="008C761D">
              <w:rPr>
                <w:rFonts w:cs="Calibri"/>
                <w:b/>
                <w:lang w:val="en-US"/>
              </w:rPr>
              <w:t>Measure 3:</w:t>
            </w:r>
          </w:p>
          <w:p w14:paraId="0DD0B108" w14:textId="77777777" w:rsidR="00376718" w:rsidRPr="008C761D" w:rsidRDefault="00376718" w:rsidP="003C6564">
            <w:pPr>
              <w:spacing w:after="0" w:line="240" w:lineRule="auto"/>
              <w:jc w:val="both"/>
              <w:rPr>
                <w:rFonts w:cs="Calibri"/>
                <w:lang w:val="en-US"/>
              </w:rPr>
            </w:pPr>
          </w:p>
        </w:tc>
        <w:tc>
          <w:tcPr>
            <w:tcW w:w="8603" w:type="dxa"/>
            <w:shd w:val="clear" w:color="auto" w:fill="auto"/>
          </w:tcPr>
          <w:p w14:paraId="1A242B11" w14:textId="0907FBFC" w:rsidR="00376718" w:rsidRPr="008C761D" w:rsidRDefault="006A55CA" w:rsidP="003C6564">
            <w:pPr>
              <w:spacing w:after="0" w:line="240" w:lineRule="auto"/>
              <w:ind w:left="34"/>
              <w:jc w:val="both"/>
              <w:rPr>
                <w:rFonts w:cs="Calibri"/>
                <w:lang w:val="en-US"/>
              </w:rPr>
            </w:pPr>
            <w:r w:rsidRPr="008C761D">
              <w:rPr>
                <w:rFonts w:cs="Calibri"/>
                <w:b/>
                <w:color w:val="000000"/>
                <w:shd w:val="clear" w:color="auto" w:fill="FFFFFF"/>
                <w:lang w:val="en-US"/>
              </w:rPr>
              <w:t>Introducing</w:t>
            </w:r>
            <w:r w:rsidR="000F5BF4" w:rsidRPr="008C761D">
              <w:rPr>
                <w:rFonts w:cs="Calibri"/>
                <w:b/>
                <w:color w:val="000000"/>
                <w:shd w:val="clear" w:color="auto" w:fill="FFFFFF"/>
                <w:lang w:val="en-US"/>
              </w:rPr>
              <w:t xml:space="preserve"> </w:t>
            </w:r>
            <w:proofErr w:type="gramStart"/>
            <w:r w:rsidRPr="008C761D">
              <w:rPr>
                <w:rFonts w:cs="Calibri"/>
                <w:b/>
                <w:color w:val="000000"/>
                <w:shd w:val="clear" w:color="auto" w:fill="FFFFFF"/>
                <w:lang w:val="en-US"/>
              </w:rPr>
              <w:t>performance</w:t>
            </w:r>
            <w:r w:rsidR="000F5BF4" w:rsidRPr="008C761D">
              <w:rPr>
                <w:rFonts w:cs="Calibri"/>
                <w:b/>
                <w:color w:val="000000"/>
                <w:shd w:val="clear" w:color="auto" w:fill="FFFFFF"/>
                <w:lang w:val="en-US"/>
              </w:rPr>
              <w:t xml:space="preserve"> </w:t>
            </w:r>
            <w:r w:rsidRPr="008C761D">
              <w:rPr>
                <w:rFonts w:cs="Calibri"/>
                <w:b/>
                <w:color w:val="000000"/>
                <w:shd w:val="clear" w:color="auto" w:fill="FFFFFF"/>
                <w:lang w:val="en-US"/>
              </w:rPr>
              <w:t>based</w:t>
            </w:r>
            <w:proofErr w:type="gramEnd"/>
            <w:r w:rsidR="000F5BF4" w:rsidRPr="008C761D">
              <w:rPr>
                <w:rFonts w:cs="Calibri"/>
                <w:b/>
                <w:color w:val="000000"/>
                <w:shd w:val="clear" w:color="auto" w:fill="FFFFFF"/>
                <w:lang w:val="en-US"/>
              </w:rPr>
              <w:t xml:space="preserve"> </w:t>
            </w:r>
            <w:r w:rsidRPr="008C761D">
              <w:rPr>
                <w:rFonts w:cs="Calibri"/>
                <w:b/>
                <w:color w:val="000000"/>
                <w:shd w:val="clear" w:color="auto" w:fill="FFFFFF"/>
                <w:lang w:val="en-US"/>
              </w:rPr>
              <w:t>budget</w:t>
            </w:r>
            <w:r w:rsidR="00C71286">
              <w:rPr>
                <w:rFonts w:cs="Calibri"/>
                <w:b/>
                <w:color w:val="000000"/>
                <w:shd w:val="clear" w:color="auto" w:fill="FFFFFF"/>
                <w:lang w:val="en-US"/>
              </w:rPr>
              <w:t xml:space="preserve"> (value for money)</w:t>
            </w:r>
          </w:p>
        </w:tc>
      </w:tr>
      <w:tr w:rsidR="00376718" w:rsidRPr="008C761D" w14:paraId="159EFC28" w14:textId="77777777" w:rsidTr="00EB301D">
        <w:tc>
          <w:tcPr>
            <w:tcW w:w="1270" w:type="dxa"/>
            <w:shd w:val="clear" w:color="auto" w:fill="auto"/>
          </w:tcPr>
          <w:p w14:paraId="05C654F6" w14:textId="77777777" w:rsidR="00376718" w:rsidRPr="008C761D" w:rsidRDefault="00376718" w:rsidP="003C6564">
            <w:pPr>
              <w:spacing w:after="0" w:line="240" w:lineRule="auto"/>
              <w:jc w:val="both"/>
              <w:rPr>
                <w:rFonts w:cs="Calibri"/>
                <w:lang w:val="en-US"/>
              </w:rPr>
            </w:pPr>
            <w:r w:rsidRPr="008C761D">
              <w:rPr>
                <w:rFonts w:cs="Calibri"/>
                <w:lang w:val="en-US"/>
              </w:rPr>
              <w:t>Activity 1:</w:t>
            </w:r>
          </w:p>
          <w:p w14:paraId="24B60629" w14:textId="77777777" w:rsidR="00376718" w:rsidRPr="008C761D" w:rsidRDefault="00376718" w:rsidP="003C6564">
            <w:pPr>
              <w:spacing w:after="0" w:line="240" w:lineRule="auto"/>
              <w:jc w:val="both"/>
              <w:rPr>
                <w:rFonts w:cs="Calibri"/>
                <w:lang w:val="en-US"/>
              </w:rPr>
            </w:pPr>
          </w:p>
        </w:tc>
        <w:tc>
          <w:tcPr>
            <w:tcW w:w="8603" w:type="dxa"/>
            <w:shd w:val="clear" w:color="auto" w:fill="auto"/>
          </w:tcPr>
          <w:p w14:paraId="6D6D4FE5" w14:textId="11D36C40" w:rsidR="00376718" w:rsidRPr="008C761D" w:rsidRDefault="009610EC" w:rsidP="003C6564">
            <w:pPr>
              <w:spacing w:after="0" w:line="240" w:lineRule="auto"/>
              <w:jc w:val="both"/>
              <w:rPr>
                <w:rFonts w:cs="Calibri"/>
                <w:lang w:val="en-US"/>
              </w:rPr>
            </w:pPr>
            <w:r w:rsidRPr="008C761D">
              <w:rPr>
                <w:rFonts w:cs="Calibri"/>
                <w:lang w:val="en-US"/>
              </w:rPr>
              <w:t>Developing multi-year indicators for measuring the success in the implementation of budget policies;</w:t>
            </w:r>
          </w:p>
        </w:tc>
      </w:tr>
      <w:tr w:rsidR="00376718" w:rsidRPr="008C761D" w14:paraId="4713F182" w14:textId="77777777" w:rsidTr="00EB301D">
        <w:tc>
          <w:tcPr>
            <w:tcW w:w="1270" w:type="dxa"/>
            <w:shd w:val="clear" w:color="auto" w:fill="auto"/>
          </w:tcPr>
          <w:p w14:paraId="0F3C36AB" w14:textId="77777777" w:rsidR="00376718" w:rsidRPr="008C761D" w:rsidRDefault="00376718" w:rsidP="003C6564">
            <w:pPr>
              <w:spacing w:after="0" w:line="240" w:lineRule="auto"/>
              <w:jc w:val="both"/>
              <w:rPr>
                <w:rFonts w:cs="Calibri"/>
                <w:lang w:val="en-US"/>
              </w:rPr>
            </w:pPr>
            <w:r w:rsidRPr="008C761D">
              <w:rPr>
                <w:rFonts w:cs="Calibri"/>
                <w:lang w:val="en-US"/>
              </w:rPr>
              <w:t>Activity 2:</w:t>
            </w:r>
          </w:p>
          <w:p w14:paraId="1409F113" w14:textId="71E1AFD1" w:rsidR="009610EC" w:rsidRDefault="009610EC" w:rsidP="003C6564">
            <w:pPr>
              <w:spacing w:after="0" w:line="240" w:lineRule="auto"/>
              <w:jc w:val="both"/>
              <w:rPr>
                <w:rFonts w:cs="Calibri"/>
                <w:lang w:val="en-US"/>
              </w:rPr>
            </w:pPr>
          </w:p>
          <w:p w14:paraId="7A22DCBC" w14:textId="77777777" w:rsidR="003C6564" w:rsidRPr="008C761D" w:rsidRDefault="003C6564" w:rsidP="003C6564">
            <w:pPr>
              <w:spacing w:after="0" w:line="240" w:lineRule="auto"/>
              <w:jc w:val="both"/>
              <w:rPr>
                <w:rFonts w:cs="Calibri"/>
                <w:lang w:val="en-US"/>
              </w:rPr>
            </w:pPr>
          </w:p>
          <w:p w14:paraId="5C722D28" w14:textId="77777777" w:rsidR="009610EC" w:rsidRPr="008C761D" w:rsidRDefault="009610EC" w:rsidP="003C6564">
            <w:pPr>
              <w:spacing w:after="0" w:line="240" w:lineRule="auto"/>
              <w:jc w:val="both"/>
              <w:rPr>
                <w:rFonts w:cs="Calibri"/>
                <w:b/>
                <w:lang w:val="en-US"/>
              </w:rPr>
            </w:pPr>
            <w:r w:rsidRPr="008C761D">
              <w:rPr>
                <w:rFonts w:cs="Calibri"/>
                <w:b/>
                <w:lang w:val="en-US"/>
              </w:rPr>
              <w:t>Measure 4:</w:t>
            </w:r>
          </w:p>
          <w:p w14:paraId="233B4DC5" w14:textId="77777777" w:rsidR="009610EC" w:rsidRPr="008C761D" w:rsidRDefault="009610EC" w:rsidP="003C6564">
            <w:pPr>
              <w:spacing w:after="0" w:line="240" w:lineRule="auto"/>
              <w:jc w:val="both"/>
              <w:rPr>
                <w:rFonts w:cs="Calibri"/>
                <w:lang w:val="en-US"/>
              </w:rPr>
            </w:pPr>
          </w:p>
          <w:p w14:paraId="35234A2C" w14:textId="77777777" w:rsidR="009610EC" w:rsidRPr="008C761D" w:rsidRDefault="009610EC" w:rsidP="003C6564">
            <w:pPr>
              <w:spacing w:after="0" w:line="240" w:lineRule="auto"/>
              <w:jc w:val="both"/>
              <w:rPr>
                <w:rFonts w:cs="Calibri"/>
                <w:lang w:val="en-US"/>
              </w:rPr>
            </w:pPr>
            <w:r w:rsidRPr="008C761D">
              <w:rPr>
                <w:rFonts w:cs="Calibri"/>
                <w:lang w:val="en-US"/>
              </w:rPr>
              <w:t>Activity 1:</w:t>
            </w:r>
          </w:p>
          <w:p w14:paraId="4C2F274E" w14:textId="77777777" w:rsidR="009610EC" w:rsidRPr="008C761D" w:rsidRDefault="009610EC" w:rsidP="003C6564">
            <w:pPr>
              <w:spacing w:after="0" w:line="240" w:lineRule="auto"/>
              <w:jc w:val="both"/>
              <w:rPr>
                <w:rFonts w:cs="Calibri"/>
                <w:color w:val="000000"/>
                <w:shd w:val="clear" w:color="auto" w:fill="FFFFFF"/>
                <w:lang w:val="en-US"/>
              </w:rPr>
            </w:pPr>
          </w:p>
          <w:p w14:paraId="4803AF1B" w14:textId="77777777" w:rsidR="009610EC" w:rsidRPr="008C761D" w:rsidRDefault="009610EC" w:rsidP="003C6564">
            <w:pPr>
              <w:spacing w:after="0" w:line="240" w:lineRule="auto"/>
              <w:jc w:val="both"/>
              <w:rPr>
                <w:rFonts w:cs="Calibri"/>
                <w:color w:val="000000"/>
                <w:shd w:val="clear" w:color="auto" w:fill="FFFFFF"/>
                <w:lang w:val="en-US"/>
              </w:rPr>
            </w:pPr>
            <w:r w:rsidRPr="008C761D">
              <w:rPr>
                <w:rFonts w:cs="Calibri"/>
                <w:color w:val="000000"/>
                <w:shd w:val="clear" w:color="auto" w:fill="FFFFFF"/>
                <w:lang w:val="en-US"/>
              </w:rPr>
              <w:t>Activity 2:</w:t>
            </w:r>
          </w:p>
          <w:p w14:paraId="46CB8510" w14:textId="77777777" w:rsidR="009610EC" w:rsidRPr="008C761D" w:rsidRDefault="009610EC" w:rsidP="003C6564">
            <w:pPr>
              <w:spacing w:after="0" w:line="240" w:lineRule="auto"/>
              <w:jc w:val="both"/>
              <w:rPr>
                <w:rFonts w:cs="Calibri"/>
                <w:color w:val="000000"/>
                <w:sz w:val="18"/>
                <w:szCs w:val="18"/>
                <w:shd w:val="clear" w:color="auto" w:fill="FFFFFF"/>
                <w:lang w:val="en-US"/>
              </w:rPr>
            </w:pPr>
          </w:p>
          <w:p w14:paraId="08BC8D0F" w14:textId="77777777" w:rsidR="009610EC" w:rsidRPr="008C761D" w:rsidRDefault="009610EC" w:rsidP="003C6564">
            <w:pPr>
              <w:spacing w:after="0" w:line="240" w:lineRule="auto"/>
              <w:jc w:val="both"/>
              <w:rPr>
                <w:rFonts w:cs="Calibri"/>
                <w:color w:val="000000"/>
                <w:shd w:val="clear" w:color="auto" w:fill="FFFFFF"/>
                <w:lang w:val="en-US"/>
              </w:rPr>
            </w:pPr>
            <w:r w:rsidRPr="008C761D">
              <w:rPr>
                <w:rFonts w:cs="Calibri"/>
                <w:color w:val="000000"/>
                <w:shd w:val="clear" w:color="auto" w:fill="FFFFFF"/>
                <w:lang w:val="en-US"/>
              </w:rPr>
              <w:t>Activity 3:</w:t>
            </w:r>
          </w:p>
          <w:p w14:paraId="447C2E8C" w14:textId="77777777" w:rsidR="009610EC" w:rsidRPr="008C761D" w:rsidRDefault="009610EC" w:rsidP="003C6564">
            <w:pPr>
              <w:spacing w:after="0" w:line="240" w:lineRule="auto"/>
              <w:jc w:val="both"/>
              <w:rPr>
                <w:rFonts w:cs="Calibri"/>
                <w:lang w:val="en-US"/>
              </w:rPr>
            </w:pPr>
          </w:p>
          <w:p w14:paraId="42347D21" w14:textId="5A6A4FBD" w:rsidR="009610EC" w:rsidRPr="008C761D" w:rsidRDefault="009610EC" w:rsidP="003C6564">
            <w:pPr>
              <w:spacing w:after="0" w:line="240" w:lineRule="auto"/>
              <w:jc w:val="both"/>
              <w:rPr>
                <w:rFonts w:cs="Calibri"/>
                <w:lang w:val="en-US"/>
              </w:rPr>
            </w:pPr>
          </w:p>
        </w:tc>
        <w:tc>
          <w:tcPr>
            <w:tcW w:w="8603" w:type="dxa"/>
            <w:shd w:val="clear" w:color="auto" w:fill="auto"/>
          </w:tcPr>
          <w:p w14:paraId="72B13653" w14:textId="21B95F3F" w:rsidR="009610EC" w:rsidRDefault="009610EC" w:rsidP="003C6564">
            <w:pPr>
              <w:spacing w:after="0" w:line="240" w:lineRule="auto"/>
              <w:ind w:left="34"/>
              <w:jc w:val="both"/>
              <w:rPr>
                <w:rFonts w:cs="Calibri"/>
                <w:lang w:val="en-US"/>
              </w:rPr>
            </w:pPr>
            <w:r w:rsidRPr="008C761D">
              <w:rPr>
                <w:rFonts w:cs="Calibri"/>
                <w:lang w:val="en-US"/>
              </w:rPr>
              <w:t xml:space="preserve">Preparing procedures </w:t>
            </w:r>
            <w:r w:rsidR="00D4719C" w:rsidRPr="008C761D">
              <w:rPr>
                <w:rFonts w:cs="Calibri"/>
                <w:lang w:val="en-US"/>
              </w:rPr>
              <w:t>for monitoring</w:t>
            </w:r>
            <w:r w:rsidRPr="008C761D">
              <w:rPr>
                <w:rFonts w:cs="Calibri"/>
                <w:lang w:val="en-US"/>
              </w:rPr>
              <w:t xml:space="preserve"> the impact of sectoral policieson performance indicators</w:t>
            </w:r>
            <w:r w:rsidR="00376718" w:rsidRPr="008C761D">
              <w:rPr>
                <w:rFonts w:cs="Calibri"/>
                <w:lang w:val="en-US"/>
              </w:rPr>
              <w:t>.</w:t>
            </w:r>
          </w:p>
          <w:p w14:paraId="5F87A56A" w14:textId="77777777" w:rsidR="003C6564" w:rsidRPr="008C761D" w:rsidRDefault="003C6564" w:rsidP="003C6564">
            <w:pPr>
              <w:spacing w:after="0" w:line="240" w:lineRule="auto"/>
              <w:ind w:left="34"/>
              <w:jc w:val="both"/>
              <w:rPr>
                <w:rFonts w:cs="Calibri"/>
                <w:lang w:val="en-US"/>
              </w:rPr>
            </w:pPr>
          </w:p>
          <w:p w14:paraId="62A3D14A" w14:textId="77777777" w:rsidR="009610EC" w:rsidRPr="008C761D" w:rsidRDefault="009610EC" w:rsidP="003C6564">
            <w:pPr>
              <w:spacing w:after="0" w:line="240" w:lineRule="auto"/>
              <w:jc w:val="both"/>
              <w:rPr>
                <w:b/>
                <w:sz w:val="24"/>
                <w:szCs w:val="24"/>
                <w:lang w:val="en-US"/>
              </w:rPr>
            </w:pPr>
            <w:r w:rsidRPr="008C761D">
              <w:rPr>
                <w:b/>
                <w:sz w:val="24"/>
                <w:szCs w:val="24"/>
                <w:lang w:val="en-US"/>
              </w:rPr>
              <w:t>Spending review</w:t>
            </w:r>
          </w:p>
          <w:p w14:paraId="41A0E78A" w14:textId="77777777" w:rsidR="009610EC" w:rsidRPr="008C761D" w:rsidRDefault="009610EC" w:rsidP="003C6564">
            <w:pPr>
              <w:spacing w:after="0" w:line="240" w:lineRule="auto"/>
              <w:ind w:left="34"/>
              <w:jc w:val="both"/>
              <w:rPr>
                <w:b/>
                <w:sz w:val="20"/>
                <w:szCs w:val="20"/>
                <w:lang w:val="en-US"/>
              </w:rPr>
            </w:pPr>
          </w:p>
          <w:p w14:paraId="18E367CF" w14:textId="77FF1A81" w:rsidR="009610EC" w:rsidRPr="00C17F2F" w:rsidRDefault="000F5BF4" w:rsidP="003C6564">
            <w:pPr>
              <w:spacing w:after="0" w:line="240" w:lineRule="auto"/>
              <w:ind w:left="34"/>
              <w:jc w:val="both"/>
              <w:rPr>
                <w:rFonts w:cs="Calibri"/>
                <w:color w:val="000000"/>
                <w:shd w:val="clear" w:color="auto" w:fill="FFFFFF"/>
                <w:lang w:val="en-US"/>
              </w:rPr>
            </w:pPr>
            <w:r w:rsidRPr="008C761D">
              <w:rPr>
                <w:rFonts w:cs="Calibri"/>
                <w:color w:val="000000"/>
                <w:shd w:val="clear" w:color="auto" w:fill="FFFFFF"/>
                <w:lang w:val="en-US"/>
              </w:rPr>
              <w:t>Build capacity at the MoF and line ministries</w:t>
            </w:r>
            <w:r w:rsidRPr="008C761D" w:rsidDel="002B0820">
              <w:rPr>
                <w:rFonts w:cs="Calibri"/>
                <w:color w:val="000000"/>
                <w:shd w:val="clear" w:color="auto" w:fill="FFFFFF"/>
                <w:lang w:val="en-US"/>
              </w:rPr>
              <w:t xml:space="preserve"> </w:t>
            </w:r>
            <w:r w:rsidRPr="008C761D">
              <w:rPr>
                <w:rFonts w:cs="Calibri"/>
                <w:color w:val="000000"/>
                <w:shd w:val="clear" w:color="auto" w:fill="FFFFFF"/>
                <w:lang w:val="en-US"/>
              </w:rPr>
              <w:t>for conducting Spending </w:t>
            </w:r>
            <w:proofErr w:type="gramStart"/>
            <w:r w:rsidRPr="008C761D">
              <w:rPr>
                <w:rFonts w:cs="Calibri"/>
                <w:color w:val="000000"/>
                <w:shd w:val="clear" w:color="auto" w:fill="FFFFFF"/>
                <w:lang w:val="en-US"/>
              </w:rPr>
              <w:t>Reviews  on</w:t>
            </w:r>
            <w:proofErr w:type="gramEnd"/>
            <w:r w:rsidRPr="008C761D">
              <w:rPr>
                <w:rFonts w:cs="Calibri"/>
                <w:color w:val="000000"/>
                <w:shd w:val="clear" w:color="auto" w:fill="FFFFFF"/>
                <w:lang w:val="en-US"/>
              </w:rPr>
              <w:t xml:space="preserve"> a regular base</w:t>
            </w:r>
          </w:p>
          <w:p w14:paraId="3DCCF712" w14:textId="10A8B922" w:rsidR="009610EC" w:rsidRPr="008C761D" w:rsidRDefault="009610EC" w:rsidP="003C6564">
            <w:pPr>
              <w:spacing w:after="0" w:line="240" w:lineRule="auto"/>
              <w:ind w:left="34"/>
              <w:jc w:val="both"/>
              <w:rPr>
                <w:rFonts w:cs="Calibri"/>
                <w:lang w:val="en-US"/>
              </w:rPr>
            </w:pPr>
            <w:r w:rsidRPr="008C761D">
              <w:rPr>
                <w:rFonts w:cs="Calibri"/>
                <w:lang w:val="en-US"/>
              </w:rPr>
              <w:t xml:space="preserve">Prepare and adopt </w:t>
            </w:r>
            <w:r w:rsidR="00D4719C" w:rsidRPr="008C761D">
              <w:rPr>
                <w:rFonts w:cs="Calibri"/>
                <w:lang w:val="en-US"/>
              </w:rPr>
              <w:t>methodology</w:t>
            </w:r>
            <w:r w:rsidRPr="008C761D">
              <w:rPr>
                <w:rFonts w:cs="Calibri"/>
                <w:lang w:val="en-US"/>
              </w:rPr>
              <w:t xml:space="preserve"> with defining criteria and procedures for conducting Spending review</w:t>
            </w:r>
          </w:p>
          <w:p w14:paraId="79B8D398" w14:textId="77777777" w:rsidR="000F5BF4" w:rsidRPr="008C761D" w:rsidRDefault="000F5BF4" w:rsidP="003C6564">
            <w:pPr>
              <w:spacing w:after="0" w:line="240" w:lineRule="auto"/>
              <w:ind w:left="34"/>
              <w:jc w:val="both"/>
              <w:rPr>
                <w:rFonts w:cs="Calibri"/>
                <w:lang w:val="en-US"/>
              </w:rPr>
            </w:pPr>
            <w:r w:rsidRPr="008C761D">
              <w:rPr>
                <w:rFonts w:cs="Calibri"/>
                <w:color w:val="000000"/>
                <w:shd w:val="clear" w:color="auto" w:fill="FFFFFF"/>
                <w:lang w:val="en-US"/>
              </w:rPr>
              <w:t>Spending review as a basis for appropriate budgeting for the next mid-term period</w:t>
            </w:r>
          </w:p>
          <w:p w14:paraId="616A538B" w14:textId="77777777" w:rsidR="00376718" w:rsidRPr="008C761D" w:rsidRDefault="00376718" w:rsidP="003C6564">
            <w:pPr>
              <w:spacing w:after="0" w:line="240" w:lineRule="auto"/>
              <w:ind w:left="34"/>
              <w:jc w:val="both"/>
              <w:rPr>
                <w:rFonts w:cs="Calibri"/>
                <w:lang w:val="en-US"/>
              </w:rPr>
            </w:pPr>
          </w:p>
        </w:tc>
      </w:tr>
    </w:tbl>
    <w:p w14:paraId="6324E549"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3AC728C2" w14:textId="243127EA" w:rsidR="000F5BF4" w:rsidRPr="008C761D" w:rsidRDefault="000F5BF4" w:rsidP="003C6564">
      <w:pPr>
        <w:spacing w:after="0" w:line="240" w:lineRule="auto"/>
        <w:jc w:val="both"/>
        <w:rPr>
          <w:rFonts w:eastAsia="MS PGothic" w:cs="Calibri"/>
          <w:color w:val="FF0000"/>
          <w:lang w:val="en-US" w:eastAsia="zh-CN"/>
        </w:rPr>
      </w:pPr>
      <w:r w:rsidRPr="008C761D">
        <w:rPr>
          <w:rFonts w:eastAsia="MS PGothic" w:cs="Calibri"/>
          <w:lang w:val="en-US" w:eastAsia="zh-CN"/>
        </w:rPr>
        <w:t>P</w:t>
      </w:r>
      <w:r w:rsidRPr="008C761D">
        <w:rPr>
          <w:rFonts w:cs="Calibri"/>
          <w:lang w:val="en-US"/>
        </w:rPr>
        <w:t>redictable and reliable budget allocations for budget organisations</w:t>
      </w:r>
      <w:r w:rsidRPr="008C761D">
        <w:rPr>
          <w:rFonts w:eastAsia="MS PGothic" w:cs="Calibri"/>
          <w:lang w:val="en-US" w:eastAsia="zh-CN"/>
        </w:rPr>
        <w:t xml:space="preserve"> considering </w:t>
      </w:r>
      <w:r w:rsidR="00D4719C" w:rsidRPr="008C761D">
        <w:rPr>
          <w:rFonts w:eastAsia="MS PGothic" w:cs="Calibri"/>
          <w:lang w:val="en-US" w:eastAsia="zh-CN"/>
        </w:rPr>
        <w:t>consolidation</w:t>
      </w:r>
      <w:r w:rsidRPr="008C761D">
        <w:rPr>
          <w:rFonts w:eastAsia="MS PGothic" w:cs="Calibri"/>
          <w:lang w:val="en-US" w:eastAsia="zh-CN"/>
        </w:rPr>
        <w:t xml:space="preserve"> in public spending and reducing the budget deficit. </w:t>
      </w:r>
    </w:p>
    <w:p w14:paraId="6E336284" w14:textId="77777777" w:rsidR="00376718" w:rsidRPr="008C761D" w:rsidRDefault="00376718" w:rsidP="00E84CD0">
      <w:pPr>
        <w:tabs>
          <w:tab w:val="left" w:pos="851"/>
        </w:tabs>
        <w:spacing w:after="0" w:line="240" w:lineRule="auto"/>
        <w:ind w:left="1843" w:hanging="992"/>
        <w:jc w:val="both"/>
        <w:rPr>
          <w:rFonts w:eastAsia="MS PGothic" w:cs="Calibri"/>
          <w:color w:val="FF0000"/>
          <w:lang w:val="en-US" w:eastAsia="zh-CN"/>
        </w:rPr>
      </w:pPr>
    </w:p>
    <w:p w14:paraId="445766A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Outcome indicator </w:t>
      </w:r>
    </w:p>
    <w:p w14:paraId="6809E284" w14:textId="38D62668" w:rsidR="00A13E9D" w:rsidRPr="003C6564" w:rsidRDefault="00A13E9D" w:rsidP="003C6564">
      <w:pPr>
        <w:pStyle w:val="ListParagraph"/>
        <w:numPr>
          <w:ilvl w:val="0"/>
          <w:numId w:val="117"/>
        </w:numPr>
        <w:spacing w:after="0" w:line="240" w:lineRule="auto"/>
        <w:rPr>
          <w:rFonts w:cs="Calibri"/>
          <w:lang w:val="en-US"/>
        </w:rPr>
      </w:pPr>
      <w:r w:rsidRPr="003C6564">
        <w:rPr>
          <w:rFonts w:cs="Calibri"/>
          <w:lang w:val="en-US"/>
        </w:rPr>
        <w:t>Deviation</w:t>
      </w:r>
      <w:r w:rsidR="000F5BF4" w:rsidRPr="003C6564">
        <w:rPr>
          <w:rFonts w:cs="Calibri"/>
          <w:lang w:val="en-US"/>
        </w:rPr>
        <w:t xml:space="preserve"> </w:t>
      </w:r>
      <w:r w:rsidRPr="003C6564">
        <w:rPr>
          <w:rFonts w:cs="Calibri"/>
          <w:lang w:val="en-US"/>
        </w:rPr>
        <w:t>between</w:t>
      </w:r>
      <w:r w:rsidR="000F5BF4" w:rsidRPr="003C6564">
        <w:rPr>
          <w:rFonts w:cs="Calibri"/>
          <w:lang w:val="en-US"/>
        </w:rPr>
        <w:t xml:space="preserve"> </w:t>
      </w:r>
      <w:r w:rsidRPr="003C6564">
        <w:rPr>
          <w:rFonts w:cs="Calibri"/>
          <w:lang w:val="en-US"/>
        </w:rPr>
        <w:t>the</w:t>
      </w:r>
      <w:r w:rsidR="000F5BF4" w:rsidRPr="003C6564">
        <w:rPr>
          <w:rFonts w:cs="Calibri"/>
          <w:lang w:val="en-US"/>
        </w:rPr>
        <w:t xml:space="preserve"> </w:t>
      </w:r>
      <w:r w:rsidRPr="003C6564">
        <w:rPr>
          <w:rFonts w:cs="Calibri"/>
          <w:lang w:val="en-US"/>
        </w:rPr>
        <w:t>original</w:t>
      </w:r>
      <w:r w:rsidR="000F5BF4" w:rsidRPr="003C6564">
        <w:rPr>
          <w:rFonts w:cs="Calibri"/>
          <w:lang w:val="en-US"/>
        </w:rPr>
        <w:t xml:space="preserve"> </w:t>
      </w:r>
      <w:r w:rsidRPr="003C6564">
        <w:rPr>
          <w:rFonts w:cs="Calibri"/>
          <w:lang w:val="en-US"/>
        </w:rPr>
        <w:t>estimates</w:t>
      </w:r>
      <w:r w:rsidR="000F5BF4" w:rsidRPr="003C6564">
        <w:rPr>
          <w:rFonts w:cs="Calibri"/>
          <w:lang w:val="en-US"/>
        </w:rPr>
        <w:t xml:space="preserve"> </w:t>
      </w:r>
      <w:r w:rsidRPr="003C6564">
        <w:rPr>
          <w:rFonts w:cs="Calibri"/>
          <w:lang w:val="en-US"/>
        </w:rPr>
        <w:t>and</w:t>
      </w:r>
      <w:r w:rsidR="000F5BF4" w:rsidRPr="003C6564">
        <w:rPr>
          <w:rFonts w:cs="Calibri"/>
          <w:lang w:val="en-US"/>
        </w:rPr>
        <w:t xml:space="preserve"> </w:t>
      </w:r>
      <w:r w:rsidRPr="003C6564">
        <w:rPr>
          <w:rFonts w:cs="Calibri"/>
          <w:lang w:val="en-US"/>
        </w:rPr>
        <w:t>actual</w:t>
      </w:r>
      <w:r w:rsidR="000F5BF4" w:rsidRPr="003C6564">
        <w:rPr>
          <w:rFonts w:cs="Calibri"/>
          <w:lang w:val="en-US"/>
        </w:rPr>
        <w:t xml:space="preserve"> </w:t>
      </w:r>
      <w:r w:rsidRPr="003C6564">
        <w:rPr>
          <w:rFonts w:cs="Calibri"/>
          <w:lang w:val="en-US"/>
        </w:rPr>
        <w:t>outturns</w:t>
      </w:r>
    </w:p>
    <w:p w14:paraId="5E43D797" w14:textId="77777777" w:rsidR="007541EA" w:rsidRPr="008C761D" w:rsidRDefault="007541EA" w:rsidP="007541EA">
      <w:pPr>
        <w:spacing w:after="0" w:line="240" w:lineRule="auto"/>
        <w:ind w:left="125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7541EA" w:rsidRPr="008C761D" w14:paraId="2C1FB9CB" w14:textId="77777777" w:rsidTr="002B77A4">
        <w:trPr>
          <w:trHeight w:val="395"/>
        </w:trPr>
        <w:tc>
          <w:tcPr>
            <w:tcW w:w="4608" w:type="dxa"/>
            <w:shd w:val="clear" w:color="auto" w:fill="E8E8E8"/>
          </w:tcPr>
          <w:p w14:paraId="6BB29C70"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E2853B2"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1C8EC860" w14:textId="77777777" w:rsidTr="002B77A4">
        <w:trPr>
          <w:trHeight w:val="278"/>
        </w:trPr>
        <w:tc>
          <w:tcPr>
            <w:tcW w:w="4608" w:type="dxa"/>
            <w:shd w:val="clear" w:color="auto" w:fill="E8E8E8"/>
          </w:tcPr>
          <w:p w14:paraId="58276A53" w14:textId="15DDB6E6" w:rsidR="007541EA" w:rsidRPr="008C761D" w:rsidRDefault="00083A12" w:rsidP="00D4719C">
            <w:pPr>
              <w:tabs>
                <w:tab w:val="left" w:pos="1565"/>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(-)4,5 % </w:t>
            </w:r>
            <w:r w:rsidR="00D4719C">
              <w:rPr>
                <w:rFonts w:eastAsia="Times New Roman" w:cs="Calibri"/>
                <w:color w:val="202124"/>
                <w:sz w:val="20"/>
                <w:szCs w:val="20"/>
                <w:lang w:val="en-US"/>
              </w:rPr>
              <w:t>of</w:t>
            </w:r>
            <w:r w:rsidRPr="008C761D">
              <w:rPr>
                <w:rFonts w:eastAsia="Times New Roman" w:cs="Calibri"/>
                <w:color w:val="202124"/>
                <w:sz w:val="20"/>
                <w:szCs w:val="20"/>
                <w:lang w:val="en-US"/>
              </w:rPr>
              <w:t xml:space="preserve"> БДП</w:t>
            </w:r>
          </w:p>
        </w:tc>
        <w:tc>
          <w:tcPr>
            <w:tcW w:w="4608" w:type="dxa"/>
            <w:shd w:val="clear" w:color="auto" w:fill="E8E8E8"/>
          </w:tcPr>
          <w:p w14:paraId="7B26DA39"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-2,8% of GDP</w:t>
            </w:r>
          </w:p>
        </w:tc>
      </w:tr>
    </w:tbl>
    <w:p w14:paraId="74B7F165" w14:textId="2CB2ADDC" w:rsidR="007541EA" w:rsidRPr="008C761D" w:rsidRDefault="007541EA" w:rsidP="00DF185F">
      <w:pPr>
        <w:spacing w:after="0" w:line="240" w:lineRule="auto"/>
        <w:jc w:val="both"/>
        <w:rPr>
          <w:rFonts w:eastAsia="MS PGothic" w:cs="Calibri"/>
          <w:lang w:val="en-US" w:eastAsia="zh-CN"/>
        </w:rPr>
      </w:pPr>
    </w:p>
    <w:p w14:paraId="1F131472" w14:textId="77777777" w:rsidR="003C6564" w:rsidRDefault="003C6564" w:rsidP="00E84CD0">
      <w:pPr>
        <w:spacing w:line="240" w:lineRule="auto"/>
        <w:jc w:val="both"/>
        <w:rPr>
          <w:b/>
          <w:color w:val="0070C0"/>
          <w:sz w:val="24"/>
          <w:szCs w:val="24"/>
          <w:lang w:val="en-US"/>
        </w:rPr>
      </w:pPr>
    </w:p>
    <w:p w14:paraId="4FB4AE18" w14:textId="48865777" w:rsidR="00376718" w:rsidRPr="003C6564" w:rsidRDefault="00376718" w:rsidP="00E84CD0">
      <w:pPr>
        <w:spacing w:line="240" w:lineRule="auto"/>
        <w:jc w:val="both"/>
        <w:rPr>
          <w:b/>
          <w:color w:val="0070C0"/>
          <w:sz w:val="24"/>
          <w:szCs w:val="24"/>
          <w:lang w:val="en-US"/>
        </w:rPr>
      </w:pPr>
      <w:r w:rsidRPr="003C6564">
        <w:rPr>
          <w:b/>
          <w:color w:val="0070C0"/>
          <w:sz w:val="24"/>
          <w:szCs w:val="24"/>
          <w:lang w:val="en-US"/>
        </w:rPr>
        <w:lastRenderedPageBreak/>
        <w:t>Measure 1:</w:t>
      </w:r>
      <w:r w:rsidR="003C6564" w:rsidRPr="003C6564">
        <w:rPr>
          <w:b/>
          <w:color w:val="0070C0"/>
          <w:sz w:val="24"/>
          <w:szCs w:val="24"/>
          <w:lang w:val="en-US"/>
        </w:rPr>
        <w:t xml:space="preserve"> </w:t>
      </w:r>
      <w:r w:rsidRPr="003C6564">
        <w:rPr>
          <w:b/>
          <w:color w:val="0070C0"/>
          <w:sz w:val="24"/>
          <w:szCs w:val="24"/>
          <w:lang w:val="en-US"/>
        </w:rPr>
        <w:t>Improving Medium-Term Planning</w:t>
      </w:r>
    </w:p>
    <w:p w14:paraId="6187B90A"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2ED2AB2C" w14:textId="77777777" w:rsidR="00376718" w:rsidRPr="008C761D" w:rsidRDefault="00376718" w:rsidP="00E84CD0">
      <w:pPr>
        <w:tabs>
          <w:tab w:val="left" w:pos="851"/>
        </w:tabs>
        <w:spacing w:before="120" w:line="240" w:lineRule="auto"/>
        <w:jc w:val="both"/>
        <w:rPr>
          <w:rFonts w:cs="Calibri"/>
          <w:lang w:val="en-US" w:eastAsia="en-GB"/>
        </w:rPr>
      </w:pPr>
      <w:r w:rsidRPr="008C761D">
        <w:rPr>
          <w:rFonts w:cs="Calibri"/>
          <w:lang w:val="en-US" w:eastAsia="en-GB"/>
        </w:rPr>
        <w:t>Fiscal Strategy reflects the medium-term fiscal goals and strategic priorities of the Government of North Macedonia.</w:t>
      </w:r>
    </w:p>
    <w:p w14:paraId="62FD7818" w14:textId="77777777" w:rsidR="00376718" w:rsidRPr="008C761D" w:rsidRDefault="00376718" w:rsidP="00E84CD0">
      <w:pPr>
        <w:tabs>
          <w:tab w:val="left" w:pos="851"/>
        </w:tabs>
        <w:spacing w:before="120" w:line="240" w:lineRule="auto"/>
        <w:jc w:val="both"/>
        <w:rPr>
          <w:rFonts w:cs="Calibri"/>
          <w:lang w:val="en-US" w:eastAsia="en-GB"/>
        </w:rPr>
      </w:pPr>
      <w:r w:rsidRPr="008C761D">
        <w:rPr>
          <w:rFonts w:cs="Calibri"/>
          <w:lang w:val="en-US"/>
        </w:rPr>
        <w:t>Fiscal Strategy s</w:t>
      </w:r>
      <w:r w:rsidRPr="008C761D">
        <w:rPr>
          <w:rFonts w:eastAsia="Times New Roman" w:cs="Calibri"/>
          <w:color w:val="000000"/>
          <w:lang w:val="en-US" w:eastAsia="en-GB"/>
        </w:rPr>
        <w:t>hould have a strategic role in the planning process, which will reflect government priorities at the level of key sectors / areas, as well as provide information and analyses on new measures. </w:t>
      </w:r>
    </w:p>
    <w:p w14:paraId="30F52B01"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1"/>
        <w:gridCol w:w="7371"/>
      </w:tblGrid>
      <w:tr w:rsidR="00376718" w:rsidRPr="008C761D" w14:paraId="670DBD38" w14:textId="77777777" w:rsidTr="00C17F2F">
        <w:tc>
          <w:tcPr>
            <w:tcW w:w="1701" w:type="dxa"/>
            <w:shd w:val="clear" w:color="auto" w:fill="DDDDDD"/>
          </w:tcPr>
          <w:p w14:paraId="487F899F" w14:textId="77777777" w:rsidR="00376718" w:rsidRPr="003C6564" w:rsidRDefault="00376718" w:rsidP="00E84CD0">
            <w:pPr>
              <w:spacing w:after="0" w:line="240" w:lineRule="auto"/>
              <w:jc w:val="both"/>
              <w:rPr>
                <w:rFonts w:cs="Calibri"/>
                <w:b/>
                <w:sz w:val="20"/>
                <w:szCs w:val="20"/>
                <w:lang w:val="en-US"/>
              </w:rPr>
            </w:pPr>
            <w:r w:rsidRPr="003C6564">
              <w:rPr>
                <w:rFonts w:cs="Calibri"/>
                <w:b/>
                <w:sz w:val="20"/>
                <w:szCs w:val="20"/>
                <w:lang w:val="en-US"/>
              </w:rPr>
              <w:t>PEFA 2021:</w:t>
            </w:r>
          </w:p>
        </w:tc>
        <w:tc>
          <w:tcPr>
            <w:tcW w:w="7371" w:type="dxa"/>
            <w:shd w:val="clear" w:color="auto" w:fill="DDDDDD"/>
          </w:tcPr>
          <w:p w14:paraId="5FCF84CF" w14:textId="77777777" w:rsidR="00376718" w:rsidRPr="008C761D" w:rsidRDefault="00376718" w:rsidP="00E84CD0">
            <w:pPr>
              <w:tabs>
                <w:tab w:val="left" w:pos="851"/>
              </w:tabs>
              <w:spacing w:after="0" w:line="240" w:lineRule="auto"/>
              <w:jc w:val="both"/>
              <w:rPr>
                <w:rFonts w:cs="Calibri"/>
                <w:sz w:val="20"/>
                <w:szCs w:val="20"/>
                <w:lang w:val="en-US"/>
              </w:rPr>
            </w:pPr>
            <w:r w:rsidRPr="008C761D">
              <w:rPr>
                <w:rFonts w:cs="Calibri"/>
                <w:sz w:val="20"/>
                <w:szCs w:val="20"/>
                <w:lang w:val="en-US"/>
              </w:rPr>
              <w:t>-</w:t>
            </w:r>
            <w:r w:rsidRPr="008C761D">
              <w:rPr>
                <w:rFonts w:eastAsia="Times New Roman" w:cs="Calibri"/>
                <w:color w:val="000000"/>
                <w:sz w:val="20"/>
                <w:szCs w:val="20"/>
                <w:lang w:val="en-US" w:eastAsia="en-GB"/>
              </w:rPr>
              <w:t>Strengthened medium-term planning, by presenting new policies and explaining the circumstances in which they deviate from the initial projections,</w:t>
            </w:r>
          </w:p>
          <w:p w14:paraId="3726D031" w14:textId="77777777" w:rsidR="00376718" w:rsidRPr="008C761D" w:rsidRDefault="00376718" w:rsidP="00E84CD0">
            <w:pPr>
              <w:tabs>
                <w:tab w:val="left" w:pos="851"/>
              </w:tabs>
              <w:spacing w:after="0" w:line="240" w:lineRule="auto"/>
              <w:jc w:val="both"/>
              <w:rPr>
                <w:rFonts w:cs="Calibri"/>
                <w:sz w:val="20"/>
                <w:szCs w:val="20"/>
                <w:lang w:val="en-US"/>
              </w:rPr>
            </w:pPr>
            <w:r w:rsidRPr="008C761D">
              <w:rPr>
                <w:rFonts w:cs="Calibri"/>
                <w:sz w:val="20"/>
                <w:szCs w:val="20"/>
                <w:lang w:val="en-US"/>
              </w:rPr>
              <w:t>- Consolidated data coverage, pertaining to public enterprises and state-owned companies at central level, as part of the budget documentation.</w:t>
            </w:r>
          </w:p>
        </w:tc>
      </w:tr>
      <w:tr w:rsidR="00376718" w:rsidRPr="008C761D" w14:paraId="2AE6BED2" w14:textId="77777777" w:rsidTr="00C17F2F">
        <w:tc>
          <w:tcPr>
            <w:tcW w:w="1701" w:type="dxa"/>
            <w:shd w:val="clear" w:color="auto" w:fill="DDDDDD"/>
          </w:tcPr>
          <w:p w14:paraId="1520E9E2" w14:textId="77777777" w:rsidR="00376718" w:rsidRPr="003C6564" w:rsidRDefault="00376718" w:rsidP="00E84CD0">
            <w:pPr>
              <w:spacing w:after="0" w:line="240" w:lineRule="auto"/>
              <w:jc w:val="both"/>
              <w:rPr>
                <w:rFonts w:cs="Calibri"/>
                <w:b/>
                <w:sz w:val="20"/>
                <w:szCs w:val="20"/>
                <w:lang w:val="en-US"/>
              </w:rPr>
            </w:pPr>
            <w:r w:rsidRPr="003C6564">
              <w:rPr>
                <w:rFonts w:cs="Calibri"/>
                <w:b/>
                <w:sz w:val="20"/>
                <w:szCs w:val="20"/>
                <w:lang w:val="en-US"/>
              </w:rPr>
              <w:t>SIGMA 2021:</w:t>
            </w:r>
          </w:p>
        </w:tc>
        <w:tc>
          <w:tcPr>
            <w:tcW w:w="7371" w:type="dxa"/>
            <w:shd w:val="clear" w:color="auto" w:fill="DDDDDD"/>
          </w:tcPr>
          <w:p w14:paraId="2AB94318" w14:textId="77777777" w:rsidR="00A13E9D" w:rsidRPr="008C761D" w:rsidRDefault="00A13E9D" w:rsidP="00A13E9D">
            <w:pPr>
              <w:tabs>
                <w:tab w:val="left" w:pos="851"/>
              </w:tabs>
              <w:spacing w:after="0" w:line="240" w:lineRule="auto"/>
              <w:jc w:val="both"/>
              <w:rPr>
                <w:rFonts w:cs="Calibri"/>
                <w:sz w:val="20"/>
                <w:szCs w:val="20"/>
                <w:lang w:val="en-US"/>
              </w:rPr>
            </w:pPr>
            <w:r w:rsidRPr="008C761D">
              <w:rPr>
                <w:rFonts w:cs="Calibri"/>
                <w:sz w:val="20"/>
                <w:szCs w:val="20"/>
                <w:lang w:val="en-US"/>
              </w:rPr>
              <w:t>- Fiscal Strategy should be transformed, thus playing a strategic role in the policy planning, which will reflect government priorities at the level of key sectors/areas, as well as provide information and analyses about new measures,</w:t>
            </w:r>
          </w:p>
          <w:p w14:paraId="204FA7D8" w14:textId="77777777" w:rsidR="00376718" w:rsidRPr="008C761D" w:rsidRDefault="00A13E9D" w:rsidP="00A13E9D">
            <w:pPr>
              <w:tabs>
                <w:tab w:val="left" w:pos="851"/>
              </w:tabs>
              <w:spacing w:after="0" w:line="240" w:lineRule="auto"/>
              <w:jc w:val="both"/>
              <w:rPr>
                <w:rFonts w:cs="Calibri"/>
                <w:sz w:val="20"/>
                <w:szCs w:val="20"/>
                <w:lang w:val="en-US"/>
              </w:rPr>
            </w:pPr>
            <w:r w:rsidRPr="008C761D">
              <w:rPr>
                <w:rFonts w:cs="Calibri"/>
                <w:sz w:val="20"/>
                <w:szCs w:val="20"/>
                <w:lang w:val="en-US"/>
              </w:rPr>
              <w:t>- Improving the credibility of projections (1-year and multi-year).</w:t>
            </w:r>
          </w:p>
        </w:tc>
      </w:tr>
      <w:tr w:rsidR="00376718" w:rsidRPr="008C761D" w14:paraId="5635D18B" w14:textId="77777777" w:rsidTr="00C17F2F">
        <w:tc>
          <w:tcPr>
            <w:tcW w:w="1701" w:type="dxa"/>
            <w:shd w:val="clear" w:color="auto" w:fill="DDDDDD"/>
          </w:tcPr>
          <w:p w14:paraId="71333E5A" w14:textId="77777777" w:rsidR="00376718" w:rsidRPr="003C6564" w:rsidRDefault="00376718" w:rsidP="00E84CD0">
            <w:pPr>
              <w:spacing w:before="80" w:after="0" w:line="240" w:lineRule="auto"/>
              <w:jc w:val="both"/>
              <w:rPr>
                <w:rFonts w:cs="Calibri"/>
                <w:b/>
                <w:sz w:val="20"/>
                <w:szCs w:val="20"/>
                <w:lang w:val="en-US"/>
              </w:rPr>
            </w:pPr>
            <w:r w:rsidRPr="003C6564">
              <w:rPr>
                <w:rFonts w:cs="Calibri"/>
                <w:b/>
                <w:sz w:val="20"/>
                <w:szCs w:val="20"/>
                <w:lang w:val="en-US"/>
              </w:rPr>
              <w:t>EU  2021:</w:t>
            </w:r>
          </w:p>
        </w:tc>
        <w:tc>
          <w:tcPr>
            <w:tcW w:w="7371" w:type="dxa"/>
            <w:shd w:val="clear" w:color="auto" w:fill="DDDDDD"/>
          </w:tcPr>
          <w:p w14:paraId="55EBE826" w14:textId="3349FFCB" w:rsidR="00376718" w:rsidRPr="008C761D" w:rsidRDefault="003C3927" w:rsidP="00E84CD0">
            <w:pPr>
              <w:spacing w:after="0" w:line="240" w:lineRule="auto"/>
              <w:jc w:val="both"/>
              <w:rPr>
                <w:rFonts w:cs="Calibri"/>
                <w:sz w:val="20"/>
                <w:szCs w:val="20"/>
                <w:lang w:val="en-US"/>
              </w:rPr>
            </w:pPr>
            <w:r w:rsidRPr="008C761D">
              <w:rPr>
                <w:rFonts w:eastAsia="StobiSerif Regular" w:cs="Calibri"/>
                <w:sz w:val="20"/>
                <w:szCs w:val="20"/>
                <w:lang w:val="en-US"/>
              </w:rPr>
              <w:t xml:space="preserve">On 15th </w:t>
            </w:r>
            <w:r w:rsidR="00D4719C" w:rsidRPr="008C761D">
              <w:rPr>
                <w:rFonts w:eastAsia="StobiSerif Regular" w:cs="Calibri"/>
                <w:sz w:val="20"/>
                <w:szCs w:val="20"/>
                <w:lang w:val="en-US"/>
              </w:rPr>
              <w:t>of September</w:t>
            </w:r>
            <w:r w:rsidRPr="008C761D">
              <w:rPr>
                <w:rFonts w:eastAsia="StobiSerif Regular" w:cs="Calibri"/>
                <w:sz w:val="20"/>
                <w:szCs w:val="20"/>
                <w:lang w:val="en-US"/>
              </w:rPr>
              <w:t xml:space="preserve"> 2022, Parliament</w:t>
            </w:r>
            <w:r w:rsidR="00D4719C">
              <w:rPr>
                <w:rFonts w:eastAsia="StobiSerif Regular" w:cs="Calibri"/>
                <w:sz w:val="20"/>
                <w:szCs w:val="20"/>
                <w:lang w:val="en-US"/>
              </w:rPr>
              <w:t xml:space="preserve"> </w:t>
            </w:r>
            <w:r w:rsidRPr="008C761D">
              <w:rPr>
                <w:rFonts w:eastAsia="StobiSerif Regular" w:cs="Calibri"/>
                <w:sz w:val="20"/>
                <w:szCs w:val="20"/>
                <w:lang w:val="en-US"/>
              </w:rPr>
              <w:t>of</w:t>
            </w:r>
            <w:r w:rsidR="00D4719C">
              <w:rPr>
                <w:rFonts w:eastAsia="StobiSerif Regular" w:cs="Calibri"/>
                <w:sz w:val="20"/>
                <w:szCs w:val="20"/>
                <w:lang w:val="en-US"/>
              </w:rPr>
              <w:t xml:space="preserve"> </w:t>
            </w:r>
            <w:r w:rsidRPr="008C761D">
              <w:rPr>
                <w:rFonts w:eastAsia="StobiSerif Regular" w:cs="Calibri"/>
                <w:sz w:val="20"/>
                <w:szCs w:val="20"/>
                <w:lang w:val="en-US"/>
              </w:rPr>
              <w:t>the</w:t>
            </w:r>
            <w:r w:rsidR="00D4719C">
              <w:rPr>
                <w:rFonts w:eastAsia="StobiSerif Regular" w:cs="Calibri"/>
                <w:sz w:val="20"/>
                <w:szCs w:val="20"/>
                <w:lang w:val="en-US"/>
              </w:rPr>
              <w:t xml:space="preserve"> </w:t>
            </w:r>
            <w:r w:rsidRPr="008C761D">
              <w:rPr>
                <w:rFonts w:eastAsia="StobiSerif Regular" w:cs="Calibri"/>
                <w:sz w:val="20"/>
                <w:szCs w:val="20"/>
                <w:lang w:val="en-US"/>
              </w:rPr>
              <w:t>Republic</w:t>
            </w:r>
            <w:r w:rsidR="00D4719C">
              <w:rPr>
                <w:rFonts w:eastAsia="StobiSerif Regular" w:cs="Calibri"/>
                <w:sz w:val="20"/>
                <w:szCs w:val="20"/>
                <w:lang w:val="en-US"/>
              </w:rPr>
              <w:t xml:space="preserve"> </w:t>
            </w:r>
            <w:r w:rsidRPr="008C761D">
              <w:rPr>
                <w:rFonts w:eastAsia="StobiSerif Regular" w:cs="Calibri"/>
                <w:sz w:val="20"/>
                <w:szCs w:val="20"/>
                <w:lang w:val="en-US"/>
              </w:rPr>
              <w:t>of</w:t>
            </w:r>
            <w:r w:rsidR="00D4719C">
              <w:rPr>
                <w:rFonts w:eastAsia="StobiSerif Regular" w:cs="Calibri"/>
                <w:sz w:val="20"/>
                <w:szCs w:val="20"/>
                <w:lang w:val="en-US"/>
              </w:rPr>
              <w:t xml:space="preserve"> </w:t>
            </w:r>
            <w:r w:rsidRPr="008C761D">
              <w:rPr>
                <w:rFonts w:eastAsia="StobiSerif Regular" w:cs="Calibri"/>
                <w:sz w:val="20"/>
                <w:szCs w:val="20"/>
                <w:lang w:val="en-US"/>
              </w:rPr>
              <w:t>North</w:t>
            </w:r>
            <w:r w:rsidR="00D4719C">
              <w:rPr>
                <w:rFonts w:eastAsia="StobiSerif Regular" w:cs="Calibri"/>
                <w:sz w:val="20"/>
                <w:szCs w:val="20"/>
                <w:lang w:val="en-US"/>
              </w:rPr>
              <w:t xml:space="preserve"> </w:t>
            </w:r>
            <w:r w:rsidRPr="008C761D">
              <w:rPr>
                <w:rFonts w:eastAsia="StobiSerif Regular" w:cs="Calibri"/>
                <w:sz w:val="20"/>
                <w:szCs w:val="20"/>
                <w:lang w:val="en-US"/>
              </w:rPr>
              <w:t>Macedonia, adopted</w:t>
            </w:r>
            <w:r w:rsidR="00D4719C">
              <w:rPr>
                <w:rFonts w:eastAsia="StobiSerif Regular" w:cs="Calibri"/>
                <w:sz w:val="20"/>
                <w:szCs w:val="20"/>
                <w:lang w:val="en-US"/>
              </w:rPr>
              <w:t xml:space="preserve"> </w:t>
            </w:r>
            <w:r w:rsidRPr="008C761D">
              <w:rPr>
                <w:rFonts w:eastAsia="StobiSerif Regular" w:cs="Calibri"/>
                <w:sz w:val="20"/>
                <w:szCs w:val="20"/>
                <w:lang w:val="en-US"/>
              </w:rPr>
              <w:t>new</w:t>
            </w:r>
            <w:r w:rsidR="00D4719C">
              <w:rPr>
                <w:rFonts w:eastAsia="StobiSerif Regular" w:cs="Calibri"/>
                <w:sz w:val="20"/>
                <w:szCs w:val="20"/>
                <w:lang w:val="en-US"/>
              </w:rPr>
              <w:t xml:space="preserve"> </w:t>
            </w:r>
            <w:r w:rsidRPr="008C761D">
              <w:rPr>
                <w:rFonts w:eastAsia="StobiSerif Regular" w:cs="Calibri"/>
                <w:sz w:val="20"/>
                <w:szCs w:val="20"/>
                <w:lang w:val="en-US"/>
              </w:rPr>
              <w:t>Budget</w:t>
            </w:r>
            <w:r w:rsidR="00D4719C">
              <w:rPr>
                <w:rFonts w:eastAsia="StobiSerif Regular" w:cs="Calibri"/>
                <w:sz w:val="20"/>
                <w:szCs w:val="20"/>
                <w:lang w:val="en-US"/>
              </w:rPr>
              <w:t xml:space="preserve"> </w:t>
            </w:r>
            <w:r w:rsidRPr="008C761D">
              <w:rPr>
                <w:rFonts w:eastAsia="StobiSerif Regular" w:cs="Calibri"/>
                <w:sz w:val="20"/>
                <w:szCs w:val="20"/>
                <w:lang w:val="en-US"/>
              </w:rPr>
              <w:t>Law.</w:t>
            </w:r>
            <w:r w:rsidR="00D4719C">
              <w:rPr>
                <w:rFonts w:eastAsia="StobiSerif Regular" w:cs="Calibri"/>
                <w:sz w:val="20"/>
                <w:szCs w:val="20"/>
                <w:lang w:val="en-US"/>
              </w:rPr>
              <w:t xml:space="preserve"> </w:t>
            </w:r>
            <w:r w:rsidR="00D4719C">
              <w:rPr>
                <w:rFonts w:cs="Calibri"/>
                <w:sz w:val="20"/>
                <w:szCs w:val="20"/>
                <w:lang w:val="en-US"/>
              </w:rPr>
              <w:t>The</w:t>
            </w:r>
            <w:r w:rsidRPr="008C761D">
              <w:rPr>
                <w:rFonts w:cs="Calibri"/>
                <w:sz w:val="20"/>
                <w:szCs w:val="20"/>
                <w:lang w:val="en-US"/>
              </w:rPr>
              <w:t xml:space="preserve"> Organic Budget Law </w:t>
            </w:r>
            <w:r w:rsidRPr="008C761D">
              <w:rPr>
                <w:rFonts w:eastAsia="Times New Roman" w:cs="Calibri"/>
                <w:color w:val="000000"/>
                <w:sz w:val="20"/>
                <w:szCs w:val="20"/>
                <w:lang w:val="en-US" w:eastAsia="en-GB"/>
              </w:rPr>
              <w:t>foresees the establishment of fiscal rules, an independent fiscal oversight body</w:t>
            </w:r>
            <w:r w:rsidR="00D4719C">
              <w:rPr>
                <w:rFonts w:eastAsia="Times New Roman" w:cs="Calibri"/>
                <w:color w:val="000000"/>
                <w:sz w:val="20"/>
                <w:szCs w:val="20"/>
                <w:lang w:val="en-US" w:eastAsia="en-GB"/>
              </w:rPr>
              <w:t xml:space="preserve"> </w:t>
            </w:r>
            <w:r w:rsidRPr="008C761D">
              <w:rPr>
                <w:rFonts w:eastAsia="Times New Roman" w:cs="Calibri"/>
                <w:color w:val="000000"/>
                <w:sz w:val="20"/>
                <w:szCs w:val="20"/>
                <w:lang w:val="en-US" w:eastAsia="en-GB"/>
              </w:rPr>
              <w:t xml:space="preserve">and a medium-term budgetary framework. </w:t>
            </w:r>
            <w:r w:rsidRPr="008C761D">
              <w:rPr>
                <w:rFonts w:cs="Calibri"/>
                <w:sz w:val="20"/>
                <w:szCs w:val="20"/>
                <w:lang w:val="en-US"/>
              </w:rPr>
              <w:t>The i</w:t>
            </w:r>
            <w:r w:rsidRPr="008C761D">
              <w:rPr>
                <w:rFonts w:eastAsia="Times New Roman" w:cs="Calibri"/>
                <w:color w:val="000000"/>
                <w:sz w:val="20"/>
                <w:szCs w:val="20"/>
                <w:lang w:val="en-US" w:eastAsia="en-GB"/>
              </w:rPr>
              <w:t>nitial outcome of the fiscal policy response to mitigate socio-economic consequences of the COVID-19 pandemic is satisfactory.</w:t>
            </w:r>
          </w:p>
        </w:tc>
      </w:tr>
    </w:tbl>
    <w:p w14:paraId="69B4B63B" w14:textId="77777777" w:rsidR="00376718" w:rsidRPr="008C761D" w:rsidRDefault="00376718" w:rsidP="00E84CD0">
      <w:pPr>
        <w:keepNext/>
        <w:keepLines/>
        <w:spacing w:before="24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54BFF57C" w14:textId="4E42C6DC" w:rsidR="00376718" w:rsidRPr="008C761D" w:rsidRDefault="00376718" w:rsidP="00E84CD0">
      <w:pPr>
        <w:suppressAutoHyphens/>
        <w:spacing w:after="0" w:line="240" w:lineRule="auto"/>
        <w:jc w:val="both"/>
        <w:rPr>
          <w:rFonts w:eastAsia="Times New Roman" w:cs="Calibri"/>
          <w:lang w:val="en-US" w:eastAsia="en-GB"/>
        </w:rPr>
      </w:pPr>
      <w:r w:rsidRPr="008C761D">
        <w:rPr>
          <w:rFonts w:eastAsia="Times New Roman" w:cs="Calibri"/>
          <w:lang w:val="en-US" w:eastAsia="en-GB"/>
        </w:rPr>
        <w:t>Fiscal Strategy comprises medium-term guidelines and goals of the fiscal policy, main macroeconomic projections, amounts of the main categories of projected revenues and expenditures, as well as budget deficit and debt projections.</w:t>
      </w:r>
      <w:r w:rsidR="00D4719C">
        <w:rPr>
          <w:rFonts w:eastAsia="Times New Roman" w:cs="Calibri"/>
          <w:lang w:val="en-US" w:eastAsia="en-GB"/>
        </w:rPr>
        <w:t xml:space="preserve"> </w:t>
      </w:r>
      <w:r w:rsidRPr="008C761D">
        <w:rPr>
          <w:rFonts w:eastAsia="Times New Roman" w:cs="Calibri"/>
          <w:lang w:val="en-US" w:eastAsia="en-GB"/>
        </w:rPr>
        <w:t>Fiscal Strategy reflects the medium-term fiscal goals and strategic priorities of the Government of North Macedonia.</w:t>
      </w:r>
    </w:p>
    <w:p w14:paraId="63398025" w14:textId="77777777" w:rsidR="00A13E9D" w:rsidRPr="008C761D" w:rsidRDefault="00A13E9D" w:rsidP="00A13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val="en-US" w:eastAsia="en-GB"/>
        </w:rPr>
      </w:pPr>
      <w:r w:rsidRPr="008C761D">
        <w:rPr>
          <w:rFonts w:eastAsia="Times New Roman" w:cs="Calibri"/>
          <w:lang w:val="en-US" w:eastAsia="en-GB"/>
        </w:rPr>
        <w:t>Improving the management of public finances and strengthening medium-term budgeting for the next 5 years is one of the biggest priorities. The fiscal strategy in accordance with the time frame determined by the provisions of the new Law on Budgets includes more information with qualitative and quantitative data, through sector analysis of expenditures and tax expenditures. In order to make the fiscal policy sustainable in the medium term, the fiscal projections provide a framework for achieving the numerical fiscal rules, which are designed to be harmonized and consistent with the EU fiscal rules.</w:t>
      </w:r>
    </w:p>
    <w:p w14:paraId="2FF5ED13" w14:textId="77777777" w:rsidR="00A13E9D" w:rsidRPr="008C761D" w:rsidRDefault="00A13E9D" w:rsidP="00A13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val="en-US" w:eastAsia="en-GB"/>
        </w:rPr>
      </w:pPr>
      <w:r w:rsidRPr="008C761D">
        <w:rPr>
          <w:rFonts w:eastAsia="Times New Roman" w:cs="Calibri"/>
          <w:lang w:val="en-US" w:eastAsia="en-GB"/>
        </w:rPr>
        <w:t>The fiscal strategy contains the medium-term directions and objectives of the fiscal policy, the basic macroeconomic projections, the amounts for the main categories of estimated revenues and expenditures, the projections for the budget deficit and the debt, the limits of the budget expenditures, the limits by budget users, as well as the projections of the medium deadline for local government and public enterprises and state-owned joint stock companies.</w:t>
      </w:r>
    </w:p>
    <w:p w14:paraId="0894BF62" w14:textId="77777777" w:rsidR="003C3927" w:rsidRPr="008C761D" w:rsidRDefault="003C3927" w:rsidP="003C3927">
      <w:pPr>
        <w:tabs>
          <w:tab w:val="left" w:pos="851"/>
        </w:tabs>
        <w:spacing w:before="120" w:line="240" w:lineRule="auto"/>
        <w:jc w:val="both"/>
        <w:rPr>
          <w:rFonts w:cs="Calibri"/>
          <w:lang w:val="en-US" w:eastAsia="en-GB"/>
        </w:rPr>
      </w:pPr>
      <w:r w:rsidRPr="008C761D">
        <w:rPr>
          <w:rFonts w:cs="Calibri"/>
          <w:lang w:val="en-US" w:eastAsia="en-GB"/>
        </w:rPr>
        <w:t>Key elements of the medium-term fiscal policy 2024-2028 are redesigned and improved public finance structure, through increased share of capital expenditures, as well as the gradual fiscal consolidation, by reducing the budget deficit as percentage share of GDP, as follows:4.8% in 2023, 3.4% in 2024, 3.0% in 2025, 3.0% in 2026, 2.8% in 2027 and 2.5% in 2028.</w:t>
      </w:r>
    </w:p>
    <w:p w14:paraId="12738B19" w14:textId="46AEF6AA" w:rsidR="00376718" w:rsidRDefault="00376718" w:rsidP="00E84CD0">
      <w:pPr>
        <w:tabs>
          <w:tab w:val="left" w:pos="851"/>
        </w:tabs>
        <w:spacing w:before="120" w:line="240" w:lineRule="auto"/>
        <w:jc w:val="both"/>
        <w:rPr>
          <w:rFonts w:cs="Calibri"/>
          <w:lang w:val="en-US"/>
        </w:rPr>
      </w:pPr>
      <w:r w:rsidRPr="008C761D">
        <w:rPr>
          <w:rFonts w:cs="Calibri"/>
          <w:lang w:val="en-US"/>
        </w:rPr>
        <w:t>In the past period, Ministry of Finance was, with respect to its activities, most focused on improving the budget planning process, as contained in the new Organic Budget Law, as an obligation of the previous PFM Program.</w:t>
      </w:r>
    </w:p>
    <w:p w14:paraId="4139AED3" w14:textId="77777777" w:rsidR="00C17F2F" w:rsidRPr="008C761D" w:rsidRDefault="00C17F2F" w:rsidP="00E84CD0">
      <w:pPr>
        <w:tabs>
          <w:tab w:val="left" w:pos="851"/>
        </w:tabs>
        <w:spacing w:before="120" w:line="240" w:lineRule="auto"/>
        <w:jc w:val="both"/>
        <w:rPr>
          <w:rFonts w:cs="Calibri"/>
          <w:lang w:val="en-US"/>
        </w:rPr>
      </w:pPr>
    </w:p>
    <w:p w14:paraId="75ABF4DA" w14:textId="3238A50D" w:rsidR="00376718" w:rsidRPr="003C6564" w:rsidRDefault="00376718" w:rsidP="00E84CD0">
      <w:pPr>
        <w:spacing w:after="0" w:line="240" w:lineRule="auto"/>
        <w:jc w:val="both"/>
        <w:rPr>
          <w:rFonts w:cs="Calibri"/>
          <w:b/>
          <w:color w:val="0070C0"/>
          <w:lang w:val="en-US"/>
        </w:rPr>
      </w:pPr>
      <w:r w:rsidRPr="003C6564">
        <w:rPr>
          <w:rFonts w:cs="Calibri"/>
          <w:b/>
          <w:bCs/>
          <w:iCs/>
          <w:color w:val="0070C0"/>
          <w:lang w:val="en-US"/>
        </w:rPr>
        <w:lastRenderedPageBreak/>
        <w:t>Activity 1:</w:t>
      </w:r>
      <w:r w:rsidR="00C17F2F" w:rsidRPr="003C6564">
        <w:rPr>
          <w:rFonts w:cs="Calibri"/>
          <w:b/>
          <w:bCs/>
          <w:iCs/>
          <w:color w:val="0070C0"/>
          <w:lang w:val="en-US"/>
        </w:rPr>
        <w:t xml:space="preserve"> </w:t>
      </w:r>
      <w:r w:rsidRPr="003C6564">
        <w:rPr>
          <w:rFonts w:cs="Calibri"/>
          <w:b/>
          <w:bCs/>
          <w:iCs/>
          <w:color w:val="0070C0"/>
          <w:lang w:val="en-US"/>
        </w:rPr>
        <w:t>Medium-Term</w:t>
      </w:r>
      <w:r w:rsidR="00D4719C" w:rsidRPr="003C6564">
        <w:rPr>
          <w:rFonts w:cs="Calibri"/>
          <w:b/>
          <w:bCs/>
          <w:iCs/>
          <w:color w:val="0070C0"/>
          <w:lang w:val="en-US"/>
        </w:rPr>
        <w:t xml:space="preserve"> </w:t>
      </w:r>
      <w:r w:rsidRPr="003C6564">
        <w:rPr>
          <w:rFonts w:cs="Calibri"/>
          <w:b/>
          <w:bCs/>
          <w:iCs/>
          <w:color w:val="0070C0"/>
          <w:lang w:val="en-US"/>
        </w:rPr>
        <w:t>Fiscal</w:t>
      </w:r>
      <w:r w:rsidR="00D4719C" w:rsidRPr="003C6564">
        <w:rPr>
          <w:rFonts w:cs="Calibri"/>
          <w:b/>
          <w:bCs/>
          <w:iCs/>
          <w:color w:val="0070C0"/>
          <w:lang w:val="en-US"/>
        </w:rPr>
        <w:t xml:space="preserve"> </w:t>
      </w:r>
      <w:r w:rsidRPr="003C6564">
        <w:rPr>
          <w:rFonts w:cs="Calibri"/>
          <w:b/>
          <w:bCs/>
          <w:iCs/>
          <w:color w:val="0070C0"/>
          <w:lang w:val="en-US"/>
        </w:rPr>
        <w:t>Strategy</w:t>
      </w:r>
      <w:r w:rsidR="00D4719C" w:rsidRPr="003C6564">
        <w:rPr>
          <w:rFonts w:cs="Calibri"/>
          <w:b/>
          <w:bCs/>
          <w:iCs/>
          <w:color w:val="0070C0"/>
          <w:lang w:val="en-US"/>
        </w:rPr>
        <w:t xml:space="preserve"> </w:t>
      </w:r>
      <w:r w:rsidRPr="003C6564">
        <w:rPr>
          <w:rFonts w:cs="Calibri"/>
          <w:b/>
          <w:bCs/>
          <w:iCs/>
          <w:color w:val="0070C0"/>
          <w:lang w:val="en-US"/>
        </w:rPr>
        <w:t>based</w:t>
      </w:r>
      <w:r w:rsidR="00D4719C" w:rsidRPr="003C6564">
        <w:rPr>
          <w:rFonts w:cs="Calibri"/>
          <w:b/>
          <w:bCs/>
          <w:iCs/>
          <w:color w:val="0070C0"/>
          <w:lang w:val="en-US"/>
        </w:rPr>
        <w:t xml:space="preserve"> </w:t>
      </w:r>
      <w:r w:rsidRPr="003C6564">
        <w:rPr>
          <w:rFonts w:cs="Calibri"/>
          <w:b/>
          <w:bCs/>
          <w:iCs/>
          <w:color w:val="0070C0"/>
          <w:lang w:val="en-US"/>
        </w:rPr>
        <w:t>on a sectoral</w:t>
      </w:r>
      <w:r w:rsidR="00D4719C" w:rsidRPr="003C6564">
        <w:rPr>
          <w:rFonts w:cs="Calibri"/>
          <w:b/>
          <w:bCs/>
          <w:iCs/>
          <w:color w:val="0070C0"/>
          <w:lang w:val="en-US"/>
        </w:rPr>
        <w:t xml:space="preserve"> </w:t>
      </w:r>
      <w:r w:rsidRPr="003C6564">
        <w:rPr>
          <w:rFonts w:cs="Calibri"/>
          <w:b/>
          <w:bCs/>
          <w:iCs/>
          <w:color w:val="0070C0"/>
          <w:lang w:val="en-US"/>
        </w:rPr>
        <w:t>approach</w:t>
      </w:r>
    </w:p>
    <w:p w14:paraId="60DD46EE" w14:textId="128E9BFA"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 xml:space="preserve">In the period to come, </w:t>
      </w:r>
      <w:r w:rsidRPr="008C761D">
        <w:rPr>
          <w:rFonts w:eastAsia="Times New Roman" w:cs="Calibri"/>
          <w:color w:val="000000"/>
          <w:lang w:val="en-US" w:eastAsia="en-GB"/>
        </w:rPr>
        <w:t>the Fiscal Strategy should be the basis for pursuing a predictable and sustainable fiscal policy, in order to increase budget discipline and accountability.</w:t>
      </w:r>
      <w:r w:rsidR="00D4719C">
        <w:rPr>
          <w:rFonts w:eastAsia="Times New Roman" w:cs="Calibri"/>
          <w:color w:val="000000"/>
          <w:lang w:val="en-US" w:eastAsia="en-GB"/>
        </w:rPr>
        <w:t xml:space="preserve"> </w:t>
      </w:r>
      <w:r w:rsidRPr="008C761D">
        <w:rPr>
          <w:rFonts w:eastAsia="Times New Roman" w:cs="Calibri"/>
          <w:color w:val="000000"/>
          <w:lang w:val="en-US" w:eastAsia="en-GB"/>
        </w:rPr>
        <w:t>By having pre-defined procedures in place, the medium-term document needs to contain a wide range of data including all levels of government, projections, which will be aligned with the determined strategic priorities and macroeconomic parameters. </w:t>
      </w:r>
    </w:p>
    <w:p w14:paraId="23F6FC7E" w14:textId="77777777" w:rsidR="00376718" w:rsidRPr="008C761D" w:rsidRDefault="00376718" w:rsidP="00E84CD0">
      <w:pPr>
        <w:tabs>
          <w:tab w:val="left" w:pos="851"/>
        </w:tabs>
        <w:spacing w:before="120" w:line="240" w:lineRule="auto"/>
        <w:jc w:val="both"/>
        <w:rPr>
          <w:rFonts w:cs="Calibri"/>
          <w:lang w:val="en-US"/>
        </w:rPr>
      </w:pPr>
      <w:r w:rsidRPr="008C761D">
        <w:rPr>
          <w:rFonts w:eastAsia="Times New Roman" w:cs="Calibri"/>
          <w:color w:val="000000"/>
          <w:lang w:val="en-US" w:eastAsia="en-GB"/>
        </w:rPr>
        <w:t xml:space="preserve">Significant </w:t>
      </w:r>
      <w:r w:rsidR="00A13E9D" w:rsidRPr="008C761D">
        <w:rPr>
          <w:rFonts w:eastAsia="Times New Roman" w:cs="Calibri"/>
          <w:color w:val="000000"/>
          <w:lang w:val="en-US" w:eastAsia="en-GB"/>
        </w:rPr>
        <w:t>elements</w:t>
      </w:r>
      <w:r w:rsidRPr="008C761D">
        <w:rPr>
          <w:rFonts w:eastAsia="Times New Roman" w:cs="Calibri"/>
          <w:color w:val="000000"/>
          <w:lang w:val="en-US" w:eastAsia="en-GB"/>
        </w:rPr>
        <w:t xml:space="preserve"> that contribute to the improving the medium-term planning are:</w:t>
      </w:r>
    </w:p>
    <w:p w14:paraId="5541340E" w14:textId="77777777" w:rsidR="003C3927" w:rsidRPr="008C761D" w:rsidRDefault="003C3927" w:rsidP="003C3927">
      <w:pPr>
        <w:tabs>
          <w:tab w:val="left" w:pos="171"/>
        </w:tabs>
        <w:spacing w:after="240" w:line="240" w:lineRule="auto"/>
        <w:jc w:val="both"/>
        <w:rPr>
          <w:rFonts w:cs="Calibri"/>
          <w:lang w:val="en-US"/>
        </w:rPr>
      </w:pPr>
      <w:r w:rsidRPr="008C761D">
        <w:rPr>
          <w:rFonts w:cs="Calibri"/>
          <w:lang w:val="en-US"/>
        </w:rPr>
        <w:t xml:space="preserve">- </w:t>
      </w:r>
      <w:r w:rsidRPr="008C761D">
        <w:rPr>
          <w:rFonts w:eastAsia="Times New Roman" w:cs="Calibri"/>
          <w:color w:val="000000"/>
          <w:lang w:val="en-US" w:eastAsia="en-GB"/>
        </w:rPr>
        <w:t>sectoral approach of budget planning with additional quality data and analyses in order to achieve improved and more credible planning</w:t>
      </w:r>
      <w:r w:rsidRPr="008C761D">
        <w:rPr>
          <w:rFonts w:cs="Calibri"/>
          <w:lang w:val="en-US"/>
        </w:rPr>
        <w:t>;</w:t>
      </w:r>
    </w:p>
    <w:p w14:paraId="094DBAAF" w14:textId="77777777" w:rsidR="003C3927" w:rsidRPr="008C761D" w:rsidRDefault="003C3927" w:rsidP="003C3927">
      <w:pPr>
        <w:tabs>
          <w:tab w:val="left" w:pos="171"/>
        </w:tabs>
        <w:spacing w:after="240" w:line="240" w:lineRule="auto"/>
        <w:jc w:val="both"/>
        <w:rPr>
          <w:rFonts w:cs="Calibri"/>
          <w:lang w:val="en-US"/>
        </w:rPr>
      </w:pPr>
      <w:r w:rsidRPr="008C761D">
        <w:rPr>
          <w:rFonts w:cs="Calibri"/>
          <w:lang w:val="en-US"/>
        </w:rPr>
        <w:t>-</w:t>
      </w:r>
      <w:r w:rsidRPr="008C761D">
        <w:rPr>
          <w:rFonts w:eastAsia="Times New Roman" w:cs="Calibri"/>
          <w:color w:val="000000"/>
          <w:lang w:val="en-US" w:eastAsia="en-GB"/>
        </w:rPr>
        <w:t>wider range of data in the narrative part, based on sectoral approach planning with new tables and charts for the Central Budget and the local government budget, as well as data for projects financed with IPA funds; </w:t>
      </w:r>
    </w:p>
    <w:p w14:paraId="36945D91" w14:textId="77777777" w:rsidR="00376718" w:rsidRPr="008C761D" w:rsidRDefault="00376718" w:rsidP="00E84CD0">
      <w:pPr>
        <w:spacing w:after="0" w:line="240" w:lineRule="auto"/>
        <w:jc w:val="both"/>
        <w:rPr>
          <w:rFonts w:cs="Calibri"/>
          <w:lang w:val="en-US"/>
        </w:rPr>
      </w:pPr>
      <w:r w:rsidRPr="008C761D">
        <w:rPr>
          <w:rFonts w:cs="Calibri"/>
          <w:lang w:val="en-US"/>
        </w:rPr>
        <w:t>- co</w:t>
      </w:r>
      <w:r w:rsidRPr="008C761D">
        <w:rPr>
          <w:rFonts w:eastAsia="Times New Roman" w:cs="Calibri"/>
          <w:color w:val="000000"/>
          <w:lang w:val="en-US" w:eastAsia="en-GB"/>
        </w:rPr>
        <w:t>mparative analysis of the projections with data from the previous Fiscal Strategy, as well as comparison with the projections of other domestic and international institutions.</w:t>
      </w:r>
    </w:p>
    <w:p w14:paraId="74D656C5" w14:textId="77777777" w:rsidR="00376718" w:rsidRPr="008C761D" w:rsidRDefault="00376718" w:rsidP="00E84CD0">
      <w:pPr>
        <w:spacing w:after="0" w:line="240" w:lineRule="auto"/>
        <w:ind w:left="360"/>
        <w:jc w:val="both"/>
        <w:rPr>
          <w:rFonts w:cs="Calibri"/>
          <w:lang w:val="en-US"/>
        </w:rPr>
      </w:pPr>
    </w:p>
    <w:p w14:paraId="781AD985" w14:textId="4220A416" w:rsidR="000F5BF4" w:rsidRPr="003C6564" w:rsidRDefault="000F5BF4" w:rsidP="000F5BF4">
      <w:pPr>
        <w:spacing w:after="0" w:line="240" w:lineRule="auto"/>
        <w:jc w:val="both"/>
        <w:rPr>
          <w:rFonts w:cs="Calibri"/>
          <w:b/>
          <w:bCs/>
          <w:iCs/>
          <w:color w:val="0070C0"/>
          <w:lang w:val="en-US"/>
        </w:rPr>
      </w:pPr>
      <w:r w:rsidRPr="003C6564">
        <w:rPr>
          <w:rFonts w:cs="Calibri"/>
          <w:b/>
          <w:bCs/>
          <w:iCs/>
          <w:color w:val="0070C0"/>
          <w:lang w:val="en-US"/>
        </w:rPr>
        <w:t xml:space="preserve">Activity 2: Determination of </w:t>
      </w:r>
      <w:proofErr w:type="gramStart"/>
      <w:r w:rsidRPr="003C6564">
        <w:rPr>
          <w:rFonts w:cs="Calibri"/>
          <w:b/>
          <w:bCs/>
          <w:iCs/>
          <w:color w:val="0070C0"/>
          <w:lang w:val="en-US"/>
        </w:rPr>
        <w:t>medium term</w:t>
      </w:r>
      <w:proofErr w:type="gramEnd"/>
      <w:r w:rsidRPr="003C6564">
        <w:rPr>
          <w:rFonts w:cs="Calibri"/>
          <w:b/>
          <w:bCs/>
          <w:iCs/>
          <w:color w:val="0070C0"/>
          <w:lang w:val="en-US"/>
        </w:rPr>
        <w:t xml:space="preserve"> </w:t>
      </w:r>
      <w:r w:rsidR="00D4719C" w:rsidRPr="003C6564">
        <w:rPr>
          <w:rFonts w:cs="Calibri"/>
          <w:b/>
          <w:bCs/>
          <w:iCs/>
          <w:color w:val="0070C0"/>
          <w:lang w:val="en-US"/>
        </w:rPr>
        <w:t>expenditures</w:t>
      </w:r>
      <w:r w:rsidRPr="003C6564">
        <w:rPr>
          <w:rFonts w:cs="Calibri"/>
          <w:b/>
          <w:bCs/>
          <w:iCs/>
          <w:color w:val="0070C0"/>
          <w:lang w:val="en-US"/>
        </w:rPr>
        <w:t xml:space="preserve"> celiings</w:t>
      </w:r>
    </w:p>
    <w:p w14:paraId="3263FCEE" w14:textId="77777777" w:rsidR="003C3927" w:rsidRPr="008C761D" w:rsidRDefault="003C3927" w:rsidP="00DF185F">
      <w:pPr>
        <w:tabs>
          <w:tab w:val="left" w:pos="851"/>
        </w:tabs>
        <w:spacing w:before="120" w:after="0" w:line="240" w:lineRule="auto"/>
        <w:jc w:val="both"/>
        <w:rPr>
          <w:rFonts w:eastAsia="Times New Roman" w:cs="Calibri"/>
          <w:color w:val="000000"/>
          <w:lang w:val="en-US" w:eastAsia="en-GB"/>
        </w:rPr>
      </w:pPr>
      <w:r w:rsidRPr="008C761D">
        <w:rPr>
          <w:rFonts w:eastAsia="Times New Roman" w:cs="Calibri"/>
          <w:color w:val="000000"/>
          <w:lang w:val="en-US" w:eastAsia="en-GB"/>
        </w:rPr>
        <w:t xml:space="preserve">When creating the medium-term fiscal framework, a high-quality medium-term budget planning is of great significance therefor. Thus, one should </w:t>
      </w:r>
      <w:proofErr w:type="gramStart"/>
      <w:r w:rsidRPr="008C761D">
        <w:rPr>
          <w:rFonts w:eastAsia="Times New Roman" w:cs="Calibri"/>
          <w:color w:val="000000"/>
          <w:lang w:val="en-US" w:eastAsia="en-GB"/>
        </w:rPr>
        <w:t>take into account</w:t>
      </w:r>
      <w:proofErr w:type="gramEnd"/>
      <w:r w:rsidRPr="008C761D">
        <w:rPr>
          <w:rFonts w:eastAsia="Times New Roman" w:cs="Calibri"/>
          <w:color w:val="000000"/>
          <w:lang w:val="en-US" w:eastAsia="en-GB"/>
        </w:rPr>
        <w:t xml:space="preserve"> that in the coming period, medium-term fiscal projections are based upon medium-term baseline scenario and new initiatives.</w:t>
      </w:r>
    </w:p>
    <w:p w14:paraId="18DECA28" w14:textId="1747C709" w:rsidR="00A13E9D" w:rsidRPr="008C761D" w:rsidRDefault="003C3927" w:rsidP="00DF1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lang w:val="en-US" w:eastAsia="en-GB"/>
        </w:rPr>
      </w:pPr>
      <w:r w:rsidRPr="008C761D">
        <w:rPr>
          <w:rFonts w:eastAsia="Times New Roman" w:cs="Calibri"/>
          <w:color w:val="000000"/>
          <w:lang w:val="en-US" w:eastAsia="en-GB"/>
        </w:rPr>
        <w:t>The Fiscal Strategy contains the medium-term guidelines and objectives of the fiscal policy, the basic macroeconomic projections, the amounts for the main categories of estimated revenues and expenditures, the projections for the budget deficit and the debt, the limits of the budget expenditures, the limits by budget users, as well as the medium-term projections for the local government and public enterprises and state-owned joint stock companies.</w:t>
      </w:r>
    </w:p>
    <w:p w14:paraId="35FE2AA3" w14:textId="77777777" w:rsidR="00376718" w:rsidRPr="008C761D" w:rsidRDefault="00376718" w:rsidP="00DF185F">
      <w:pPr>
        <w:tabs>
          <w:tab w:val="left" w:pos="851"/>
        </w:tabs>
        <w:spacing w:before="120" w:after="0" w:line="240" w:lineRule="auto"/>
        <w:jc w:val="both"/>
        <w:rPr>
          <w:rFonts w:cs="Calibri"/>
          <w:lang w:val="en-US"/>
        </w:rPr>
      </w:pPr>
      <w:r w:rsidRPr="008C761D">
        <w:rPr>
          <w:rFonts w:eastAsia="Times New Roman" w:cs="Calibri"/>
          <w:color w:val="000000"/>
          <w:lang w:val="en-US" w:eastAsia="en-GB"/>
        </w:rPr>
        <w:t>Baseline scenario implies that the determination of fiscal projections arises from the performance of the "usual competencies" of budget users defined in the existing legislation, existing obligations and tasks, which are the result of the already approved multi-year commitments, contracts and ongoing projects.</w:t>
      </w:r>
    </w:p>
    <w:p w14:paraId="72B67B57" w14:textId="77777777" w:rsidR="003C3927" w:rsidRPr="008C761D" w:rsidRDefault="003C3927" w:rsidP="00DF185F">
      <w:pPr>
        <w:suppressAutoHyphens/>
        <w:spacing w:before="120" w:after="0" w:line="240" w:lineRule="auto"/>
        <w:jc w:val="both"/>
        <w:rPr>
          <w:rFonts w:eastAsia="Times New Roman" w:cs="Calibri"/>
          <w:lang w:val="en-US" w:eastAsia="ar-SA"/>
        </w:rPr>
      </w:pPr>
      <w:r w:rsidRPr="008C761D">
        <w:rPr>
          <w:rFonts w:eastAsia="Times New Roman" w:cs="Calibri"/>
          <w:lang w:val="en-US" w:eastAsia="ar-SA"/>
        </w:rPr>
        <w:t>Baseline scenario does not cover new funding initiatives.</w:t>
      </w:r>
    </w:p>
    <w:p w14:paraId="5DA6A76C" w14:textId="77777777" w:rsidR="003C3927" w:rsidRPr="008C761D" w:rsidRDefault="003C3927" w:rsidP="00DF185F">
      <w:pPr>
        <w:suppressAutoHyphens/>
        <w:spacing w:before="120" w:after="0" w:line="240" w:lineRule="auto"/>
        <w:jc w:val="both"/>
        <w:rPr>
          <w:rFonts w:eastAsia="Times New Roman" w:cs="Calibri"/>
          <w:lang w:val="en-US" w:eastAsia="ar-SA"/>
        </w:rPr>
      </w:pPr>
      <w:r w:rsidRPr="008C761D">
        <w:rPr>
          <w:rFonts w:eastAsia="Times New Roman" w:cs="Calibri"/>
          <w:lang w:val="en-US" w:eastAsia="ar-SA"/>
        </w:rPr>
        <w:t xml:space="preserve">New initiatives generally pertain to new projects and new financial obligations, significant changes in the time and financial framework of the projects, as well as changes in the legislation causing fiscal implications upon the budget. </w:t>
      </w:r>
    </w:p>
    <w:p w14:paraId="5D71CCF3" w14:textId="77777777" w:rsidR="003C3927" w:rsidRPr="008C761D" w:rsidRDefault="003C3927" w:rsidP="00DF185F">
      <w:pPr>
        <w:tabs>
          <w:tab w:val="left" w:pos="851"/>
        </w:tabs>
        <w:spacing w:before="120" w:after="0" w:line="240" w:lineRule="auto"/>
        <w:jc w:val="both"/>
        <w:rPr>
          <w:rFonts w:cs="Calibri"/>
          <w:lang w:val="en-US"/>
        </w:rPr>
      </w:pPr>
      <w:r w:rsidRPr="008C761D">
        <w:rPr>
          <w:rFonts w:cs="Calibri"/>
          <w:lang w:val="en-US"/>
        </w:rPr>
        <w:t>This provides for greater credibility of the projections, reflecting the government priorities through the proposals of budget users, thus providing information and analyses about the new measures.</w:t>
      </w:r>
    </w:p>
    <w:p w14:paraId="71D063A3" w14:textId="77777777" w:rsidR="003C3927" w:rsidRPr="008C761D" w:rsidRDefault="003C3927" w:rsidP="00DF185F">
      <w:pPr>
        <w:tabs>
          <w:tab w:val="left" w:pos="851"/>
        </w:tabs>
        <w:spacing w:before="120" w:line="240" w:lineRule="auto"/>
        <w:jc w:val="both"/>
        <w:rPr>
          <w:rFonts w:cs="Calibri"/>
          <w:lang w:val="en-US" w:eastAsia="en-GB"/>
        </w:rPr>
      </w:pPr>
      <w:r w:rsidRPr="008C761D">
        <w:rPr>
          <w:rFonts w:cs="Calibri"/>
          <w:lang w:val="en-US" w:eastAsia="en-GB"/>
        </w:rPr>
        <w:t>In line with the latest revised Fiscal Strategy 2024-2028, key elements of the medium-term fiscal policy are redesigned and improved public finance structure, through increased share of capital expenditures, as well as the gradual fiscal consolidation, by reducing the budget deficit as percentage share of GDP, as follows:4.8% in 2023, 3.4% in 2024, 3.0% in 2025, 3.0% in 2026, 2.8% in 2027 and 2.5% in 2028.</w:t>
      </w:r>
    </w:p>
    <w:p w14:paraId="5F361CC0" w14:textId="7943BAF4" w:rsidR="000F5BF4" w:rsidRPr="003C6564" w:rsidRDefault="000F5BF4" w:rsidP="000F5BF4">
      <w:pPr>
        <w:spacing w:after="0" w:line="240" w:lineRule="auto"/>
        <w:jc w:val="both"/>
        <w:rPr>
          <w:rFonts w:cs="Calibri"/>
          <w:b/>
          <w:color w:val="0070C0"/>
          <w:lang w:val="en-US"/>
        </w:rPr>
      </w:pPr>
      <w:r w:rsidRPr="003C6564">
        <w:rPr>
          <w:rFonts w:cs="Calibri"/>
          <w:b/>
          <w:bCs/>
          <w:iCs/>
          <w:color w:val="0070C0"/>
          <w:lang w:val="en-US"/>
        </w:rPr>
        <w:t>Activity 3: Strengthening medium-term planning at public enterprises and companies at central level</w:t>
      </w:r>
    </w:p>
    <w:p w14:paraId="0E4AE9CF" w14:textId="7D00353A" w:rsidR="003C3927" w:rsidRPr="008C761D" w:rsidRDefault="003C3927" w:rsidP="00DF185F">
      <w:pPr>
        <w:suppressAutoHyphens/>
        <w:spacing w:before="120" w:after="0" w:line="240" w:lineRule="auto"/>
        <w:jc w:val="both"/>
        <w:rPr>
          <w:rFonts w:eastAsia="Times New Roman" w:cs="Calibri"/>
          <w:lang w:val="en-US" w:eastAsia="ar-SA"/>
        </w:rPr>
      </w:pPr>
      <w:r w:rsidRPr="008C761D">
        <w:rPr>
          <w:rFonts w:eastAsia="Times New Roman" w:cs="Calibri"/>
          <w:lang w:val="en-US" w:eastAsia="ar-SA"/>
        </w:rPr>
        <w:t xml:space="preserve">Continuous monitoring of the operations of public enterprises and companies at central level </w:t>
      </w:r>
      <w:proofErr w:type="gramStart"/>
      <w:r w:rsidRPr="008C761D">
        <w:rPr>
          <w:rFonts w:eastAsia="Times New Roman" w:cs="Calibri"/>
          <w:lang w:val="en-US" w:eastAsia="ar-SA"/>
        </w:rPr>
        <w:t>provides  Ministry</w:t>
      </w:r>
      <w:proofErr w:type="gramEnd"/>
      <w:r w:rsidRPr="008C761D">
        <w:rPr>
          <w:rFonts w:eastAsia="Times New Roman" w:cs="Calibri"/>
          <w:lang w:val="en-US" w:eastAsia="ar-SA"/>
        </w:rPr>
        <w:t xml:space="preserve"> of Finance to generate and publish data on revenues and expenditures, on a regular basis.</w:t>
      </w:r>
      <w:r w:rsidR="00D4719C">
        <w:rPr>
          <w:rFonts w:eastAsia="Times New Roman" w:cs="Calibri"/>
          <w:lang w:val="en-US" w:eastAsia="ar-SA"/>
        </w:rPr>
        <w:t xml:space="preserve"> </w:t>
      </w:r>
      <w:r w:rsidRPr="008C761D">
        <w:rPr>
          <w:rFonts w:eastAsia="Times New Roman" w:cs="Calibri"/>
          <w:lang w:val="en-US" w:eastAsia="ar-SA"/>
        </w:rPr>
        <w:t>Consolidated approach when presenting data on state-owned companies is a solid basis for improving the medium-term planning of these entities.</w:t>
      </w:r>
    </w:p>
    <w:p w14:paraId="6AF85429" w14:textId="77777777" w:rsidR="003C3927" w:rsidRPr="008C761D" w:rsidRDefault="003C3927" w:rsidP="00DF185F">
      <w:pPr>
        <w:suppressAutoHyphens/>
        <w:spacing w:before="120" w:after="0" w:line="240" w:lineRule="auto"/>
        <w:jc w:val="both"/>
        <w:rPr>
          <w:rFonts w:eastAsia="Times New Roman" w:cs="Calibri"/>
          <w:lang w:val="en-US" w:eastAsia="ar-SA"/>
        </w:rPr>
      </w:pPr>
      <w:r w:rsidRPr="008C761D">
        <w:rPr>
          <w:rFonts w:eastAsia="Times New Roman" w:cs="Calibri"/>
          <w:lang w:val="en-US" w:eastAsia="ar-SA"/>
        </w:rPr>
        <w:lastRenderedPageBreak/>
        <w:t xml:space="preserve">For the </w:t>
      </w:r>
      <w:bookmarkStart w:id="38" w:name="_Hlk156307987"/>
      <w:r w:rsidRPr="008C761D">
        <w:rPr>
          <w:rFonts w:eastAsia="Times New Roman" w:cs="Calibri"/>
          <w:lang w:val="en-US" w:eastAsia="ar-SA"/>
        </w:rPr>
        <w:t>purpose of their long-term sustainability, it is necessary to improve medium-term planning in the next period, which should include activities to improve the current liquidity of state-owned public enterprises and companies, reduce the liabilities, as well as collect the revenues, all to the end of providing better-quality services.</w:t>
      </w:r>
      <w:bookmarkEnd w:id="38"/>
    </w:p>
    <w:p w14:paraId="442B962B" w14:textId="77777777" w:rsidR="000F5BF4" w:rsidRPr="008C761D" w:rsidRDefault="000F5BF4" w:rsidP="00DF185F">
      <w:pPr>
        <w:spacing w:line="240" w:lineRule="auto"/>
        <w:jc w:val="both"/>
        <w:rPr>
          <w:rFonts w:eastAsia="Times New Roman" w:cs="Calibri"/>
          <w:lang w:val="en-US" w:eastAsia="ar-SA"/>
        </w:rPr>
      </w:pPr>
      <w:r w:rsidRPr="008C761D">
        <w:rPr>
          <w:rFonts w:eastAsia="Times New Roman" w:cs="Calibri"/>
          <w:lang w:val="en-US" w:eastAsia="ar-SA"/>
        </w:rPr>
        <w:t xml:space="preserve">The modern concept of public finance management designed in the new Budget Law is aimed at improving public finance management and strengthening medium-term budgeting, as one of the biggest priorities of the Government of the Republic of North Macedonia in the process of joining the European Union. That concept includes public enterprises and state-owned trading companies as a significant segment in the public sector, so activities are planned in the coming period to introduce medium-term planning for these entities as well. </w:t>
      </w:r>
    </w:p>
    <w:p w14:paraId="6A64FA9E" w14:textId="77777777" w:rsidR="000F5BF4" w:rsidRPr="008C761D" w:rsidRDefault="000F5BF4" w:rsidP="00DF185F">
      <w:pPr>
        <w:spacing w:line="240" w:lineRule="auto"/>
        <w:jc w:val="both"/>
        <w:rPr>
          <w:rFonts w:eastAsia="Times New Roman" w:cs="Calibri"/>
          <w:lang w:val="en-US" w:eastAsia="ar-SA"/>
        </w:rPr>
      </w:pPr>
      <w:r w:rsidRPr="008C761D">
        <w:rPr>
          <w:rFonts w:eastAsia="Times New Roman" w:cs="Calibri"/>
          <w:lang w:val="en-US" w:eastAsia="ar-SA"/>
        </w:rPr>
        <w:t>The strengthening of medium-term planning among these institutions is imposed by the need to reduce the negative results in operations caused by the world economy and the energy crisis, which caused the impossibility of settling current obligations. In the direction of ensuring financial stabilization, the Government of the Republic of North Macedonia through budget support (subsidizing the electricity system to preserve the standard of living of citizens and the liquidity of companies), in the period 2021 - 2023, subsidized on average about 1.1% of GDP.</w:t>
      </w:r>
    </w:p>
    <w:p w14:paraId="716B6FBB" w14:textId="77777777" w:rsidR="00376718" w:rsidRPr="008C761D" w:rsidRDefault="00376718" w:rsidP="00E84CD0">
      <w:pPr>
        <w:keepNext/>
        <w:keepLines/>
        <w:spacing w:before="24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376718" w:rsidRPr="008C761D" w14:paraId="2B4F657A" w14:textId="77777777" w:rsidTr="00BA5E44">
        <w:tc>
          <w:tcPr>
            <w:tcW w:w="2518" w:type="dxa"/>
            <w:tcBorders>
              <w:top w:val="nil"/>
              <w:bottom w:val="single" w:sz="4" w:space="0" w:color="FFFFFF"/>
            </w:tcBorders>
            <w:shd w:val="clear" w:color="auto" w:fill="2F5496"/>
          </w:tcPr>
          <w:p w14:paraId="41AA558A" w14:textId="77777777" w:rsidR="00376718" w:rsidRPr="008C761D" w:rsidRDefault="00376718" w:rsidP="00E84CD0">
            <w:pPr>
              <w:tabs>
                <w:tab w:val="left" w:pos="1526"/>
              </w:tabs>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3EA06BAB" w14:textId="0D99C81A" w:rsidR="00376718" w:rsidRPr="008C761D" w:rsidRDefault="004D2A56" w:rsidP="00E84CD0">
            <w:pPr>
              <w:tabs>
                <w:tab w:val="left" w:pos="1526"/>
              </w:tabs>
              <w:spacing w:after="120" w:line="240" w:lineRule="auto"/>
              <w:jc w:val="both"/>
              <w:rPr>
                <w:rFonts w:cs="Calibri"/>
                <w:sz w:val="20"/>
                <w:szCs w:val="20"/>
                <w:lang w:val="en-US"/>
              </w:rPr>
            </w:pPr>
            <w:r w:rsidRPr="008C761D">
              <w:rPr>
                <w:rFonts w:cs="Calibri"/>
                <w:sz w:val="20"/>
                <w:szCs w:val="20"/>
                <w:lang w:val="en-US"/>
              </w:rPr>
              <w:t>202</w:t>
            </w:r>
            <w:r w:rsidR="003C3927" w:rsidRPr="008C761D">
              <w:rPr>
                <w:rFonts w:cs="Calibri"/>
                <w:sz w:val="20"/>
                <w:szCs w:val="20"/>
                <w:lang w:val="en-US"/>
              </w:rPr>
              <w:t>7</w:t>
            </w:r>
          </w:p>
        </w:tc>
      </w:tr>
      <w:tr w:rsidR="00376718" w:rsidRPr="008C761D" w14:paraId="2DC47A45" w14:textId="77777777" w:rsidTr="00BA5E44">
        <w:tc>
          <w:tcPr>
            <w:tcW w:w="2518" w:type="dxa"/>
            <w:tcBorders>
              <w:top w:val="single" w:sz="4" w:space="0" w:color="FFFFFF"/>
              <w:bottom w:val="single" w:sz="4" w:space="0" w:color="FFFFFF"/>
            </w:tcBorders>
            <w:shd w:val="clear" w:color="auto" w:fill="2F5496"/>
          </w:tcPr>
          <w:p w14:paraId="1FF4B172" w14:textId="77777777" w:rsidR="00376718" w:rsidRPr="008C761D" w:rsidRDefault="00376718" w:rsidP="00E84CD0">
            <w:pPr>
              <w:tabs>
                <w:tab w:val="left" w:pos="4219"/>
              </w:tabs>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094817C4" w14:textId="346DFD31" w:rsidR="00376718" w:rsidRPr="008C761D" w:rsidRDefault="00376718" w:rsidP="003C6564">
            <w:pPr>
              <w:numPr>
                <w:ilvl w:val="0"/>
                <w:numId w:val="64"/>
              </w:numPr>
              <w:spacing w:line="240" w:lineRule="auto"/>
              <w:ind w:left="183" w:hanging="180"/>
              <w:jc w:val="both"/>
              <w:rPr>
                <w:rFonts w:cs="Calibri"/>
                <w:sz w:val="20"/>
                <w:szCs w:val="20"/>
                <w:lang w:val="en-US"/>
              </w:rPr>
            </w:pPr>
            <w:r w:rsidRPr="008C761D">
              <w:rPr>
                <w:rFonts w:cs="Calibri"/>
                <w:sz w:val="20"/>
                <w:szCs w:val="20"/>
                <w:lang w:val="en-US"/>
              </w:rPr>
              <w:t>Improved</w:t>
            </w:r>
            <w:r w:rsidR="00D4719C">
              <w:rPr>
                <w:rFonts w:cs="Calibri"/>
                <w:sz w:val="20"/>
                <w:szCs w:val="20"/>
                <w:lang w:val="en-US"/>
              </w:rPr>
              <w:t xml:space="preserve"> </w:t>
            </w:r>
            <w:r w:rsidRPr="008C761D">
              <w:rPr>
                <w:rFonts w:cs="Calibri"/>
                <w:sz w:val="20"/>
                <w:szCs w:val="20"/>
                <w:lang w:val="en-US"/>
              </w:rPr>
              <w:t>Fiscal</w:t>
            </w:r>
            <w:r w:rsidR="00D4719C">
              <w:rPr>
                <w:rFonts w:cs="Calibri"/>
                <w:sz w:val="20"/>
                <w:szCs w:val="20"/>
                <w:lang w:val="en-US"/>
              </w:rPr>
              <w:t xml:space="preserve"> </w:t>
            </w:r>
            <w:r w:rsidRPr="008C761D">
              <w:rPr>
                <w:rFonts w:cs="Calibri"/>
                <w:sz w:val="20"/>
                <w:szCs w:val="20"/>
                <w:lang w:val="en-US"/>
              </w:rPr>
              <w:t>Strategy.</w:t>
            </w:r>
          </w:p>
        </w:tc>
      </w:tr>
      <w:tr w:rsidR="00376718" w:rsidRPr="008C761D" w14:paraId="6931F210" w14:textId="77777777" w:rsidTr="00BA5E44">
        <w:tc>
          <w:tcPr>
            <w:tcW w:w="2518" w:type="dxa"/>
            <w:tcBorders>
              <w:top w:val="single" w:sz="4" w:space="0" w:color="FFFFFF"/>
              <w:bottom w:val="single" w:sz="4" w:space="0" w:color="FFFFFF"/>
            </w:tcBorders>
            <w:shd w:val="clear" w:color="auto" w:fill="2F5496"/>
          </w:tcPr>
          <w:p w14:paraId="65936827" w14:textId="77777777" w:rsidR="00376718" w:rsidRPr="008C761D" w:rsidRDefault="00376718" w:rsidP="00E84CD0">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630F9E1F" w14:textId="5AA04896" w:rsidR="00376718" w:rsidRPr="008C761D" w:rsidRDefault="00EB301D" w:rsidP="00E84CD0">
            <w:pPr>
              <w:tabs>
                <w:tab w:val="left" w:pos="1526"/>
              </w:tabs>
              <w:spacing w:after="120" w:line="240" w:lineRule="auto"/>
              <w:jc w:val="both"/>
              <w:rPr>
                <w:rFonts w:cs="Calibri"/>
                <w:sz w:val="20"/>
                <w:szCs w:val="20"/>
                <w:lang w:val="en-US"/>
              </w:rPr>
            </w:pPr>
            <w:r w:rsidRPr="008C761D">
              <w:rPr>
                <w:rFonts w:cs="Calibri"/>
                <w:sz w:val="20"/>
                <w:szCs w:val="20"/>
                <w:lang w:val="en-US"/>
              </w:rPr>
              <w:t>/</w:t>
            </w:r>
          </w:p>
        </w:tc>
      </w:tr>
      <w:tr w:rsidR="00376718" w:rsidRPr="008C761D" w14:paraId="26233830" w14:textId="77777777" w:rsidTr="00BA5E44">
        <w:tc>
          <w:tcPr>
            <w:tcW w:w="2518" w:type="dxa"/>
            <w:tcBorders>
              <w:top w:val="single" w:sz="4" w:space="0" w:color="FFFFFF"/>
              <w:bottom w:val="single" w:sz="4" w:space="0" w:color="FFFFFF"/>
            </w:tcBorders>
            <w:shd w:val="clear" w:color="auto" w:fill="2F5496"/>
          </w:tcPr>
          <w:p w14:paraId="3C2031BF" w14:textId="77777777" w:rsidR="00376718" w:rsidRPr="008C761D" w:rsidRDefault="00376718" w:rsidP="00E84CD0">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3A212F60" w14:textId="77777777" w:rsidR="00376718" w:rsidRPr="008C761D" w:rsidRDefault="00376718" w:rsidP="00E84CD0">
            <w:pPr>
              <w:tabs>
                <w:tab w:val="left" w:pos="4219"/>
              </w:tabs>
              <w:spacing w:after="120" w:line="240" w:lineRule="auto"/>
              <w:jc w:val="both"/>
              <w:rPr>
                <w:rFonts w:cs="Calibri"/>
                <w:sz w:val="20"/>
                <w:szCs w:val="20"/>
                <w:lang w:val="en-US"/>
              </w:rPr>
            </w:pPr>
            <w:r w:rsidRPr="008C761D">
              <w:rPr>
                <w:rFonts w:cs="Calibri"/>
                <w:sz w:val="20"/>
                <w:szCs w:val="20"/>
                <w:lang w:val="en-US"/>
              </w:rPr>
              <w:t>Ministry of Finance, Budget and Funds Department</w:t>
            </w:r>
          </w:p>
        </w:tc>
      </w:tr>
      <w:tr w:rsidR="00376718" w:rsidRPr="008C761D" w14:paraId="675F6281" w14:textId="77777777" w:rsidTr="00BA5E44">
        <w:trPr>
          <w:trHeight w:val="70"/>
        </w:trPr>
        <w:tc>
          <w:tcPr>
            <w:tcW w:w="2518" w:type="dxa"/>
            <w:tcBorders>
              <w:top w:val="single" w:sz="4" w:space="0" w:color="FFFFFF"/>
              <w:bottom w:val="nil"/>
            </w:tcBorders>
            <w:shd w:val="clear" w:color="auto" w:fill="2F5496"/>
          </w:tcPr>
          <w:p w14:paraId="302F59C3" w14:textId="77777777" w:rsidR="00376718" w:rsidRPr="008C761D" w:rsidRDefault="00376718" w:rsidP="00E84CD0">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23935CE4" w14:textId="124A20E4" w:rsidR="00376718" w:rsidRPr="008C761D" w:rsidRDefault="000F5BF4" w:rsidP="003C6564">
            <w:pPr>
              <w:numPr>
                <w:ilvl w:val="0"/>
                <w:numId w:val="64"/>
              </w:numPr>
              <w:spacing w:line="240" w:lineRule="auto"/>
              <w:ind w:left="183" w:hanging="180"/>
              <w:jc w:val="both"/>
              <w:rPr>
                <w:rFonts w:cs="Calibri"/>
                <w:sz w:val="20"/>
                <w:szCs w:val="20"/>
                <w:lang w:val="en-US"/>
              </w:rPr>
            </w:pPr>
            <w:r w:rsidRPr="008C761D">
              <w:rPr>
                <w:rFonts w:cs="Calibri"/>
                <w:sz w:val="20"/>
                <w:szCs w:val="20"/>
                <w:lang w:val="en-US"/>
              </w:rPr>
              <w:t>Human potential for implementation.</w:t>
            </w:r>
          </w:p>
        </w:tc>
      </w:tr>
    </w:tbl>
    <w:p w14:paraId="5152DA3C" w14:textId="77777777" w:rsidR="00376718" w:rsidRPr="008C761D" w:rsidRDefault="00376718" w:rsidP="00E84CD0">
      <w:pPr>
        <w:tabs>
          <w:tab w:val="left" w:pos="1250"/>
        </w:tabs>
        <w:spacing w:before="120" w:after="0" w:line="240" w:lineRule="auto"/>
        <w:ind w:left="324"/>
        <w:jc w:val="both"/>
        <w:rPr>
          <w:rFonts w:cs="Calibri"/>
          <w:color w:val="002060"/>
          <w:lang w:val="en-US"/>
        </w:rPr>
      </w:pPr>
    </w:p>
    <w:p w14:paraId="79B516A3" w14:textId="576057C5" w:rsidR="00376718" w:rsidRPr="008C761D" w:rsidRDefault="003C3927" w:rsidP="00DF185F">
      <w:pPr>
        <w:spacing w:after="0" w:line="240" w:lineRule="auto"/>
        <w:jc w:val="both"/>
        <w:rPr>
          <w:b/>
          <w:color w:val="0070C0"/>
          <w:sz w:val="24"/>
          <w:szCs w:val="24"/>
          <w:lang w:val="en-US"/>
        </w:rPr>
      </w:pPr>
      <w:r w:rsidRPr="008C761D">
        <w:rPr>
          <w:b/>
          <w:color w:val="0070C0"/>
          <w:sz w:val="24"/>
          <w:szCs w:val="24"/>
          <w:lang w:val="en-US"/>
        </w:rPr>
        <w:t>Measure 2: Improving sectoral approach of budget planning and development by implementation of bylaws</w:t>
      </w:r>
    </w:p>
    <w:p w14:paraId="333251DE"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2C7B85CB"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New trends, recommendations and directives call for new solutions as regards public financial management, in line with the good practices of the international financial institutions and the EU Directives.</w:t>
      </w:r>
    </w:p>
    <w:p w14:paraId="19C895EA"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 xml:space="preserve">Due to the mentioned reasons, Ministry of Finance realized that it was necessary to prepare completely new law and by-laws, in order for the budget planning and the performance indicators to provide a framework for pursuing predictable and sustainable budget policy, as well as increasing the budget discipline and accountability. </w:t>
      </w:r>
    </w:p>
    <w:p w14:paraId="3F2BEB54"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w:t>
      </w:r>
    </w:p>
    <w:tbl>
      <w:tblPr>
        <w:tblW w:w="86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1E0" w:firstRow="1" w:lastRow="1" w:firstColumn="1" w:lastColumn="1" w:noHBand="0" w:noVBand="0"/>
      </w:tblPr>
      <w:tblGrid>
        <w:gridCol w:w="1933"/>
        <w:gridCol w:w="6737"/>
      </w:tblGrid>
      <w:tr w:rsidR="00376718" w:rsidRPr="008C761D" w14:paraId="0D21F495" w14:textId="77777777" w:rsidTr="00C17F2F">
        <w:tc>
          <w:tcPr>
            <w:tcW w:w="1933" w:type="dxa"/>
            <w:shd w:val="clear" w:color="auto" w:fill="DDDDDD"/>
          </w:tcPr>
          <w:p w14:paraId="12EFCDA2" w14:textId="77777777" w:rsidR="00376718" w:rsidRPr="0044402B" w:rsidRDefault="00376718" w:rsidP="00E84CD0">
            <w:pPr>
              <w:spacing w:before="80" w:after="0" w:line="240" w:lineRule="auto"/>
              <w:jc w:val="both"/>
              <w:rPr>
                <w:rFonts w:cs="Calibri"/>
                <w:b/>
                <w:sz w:val="20"/>
                <w:szCs w:val="20"/>
                <w:lang w:val="en-US"/>
              </w:rPr>
            </w:pPr>
            <w:r w:rsidRPr="0044402B">
              <w:rPr>
                <w:rFonts w:cs="Calibri"/>
                <w:b/>
                <w:sz w:val="20"/>
                <w:szCs w:val="20"/>
                <w:lang w:val="en-US"/>
              </w:rPr>
              <w:t>PEFA 2021:</w:t>
            </w:r>
          </w:p>
        </w:tc>
        <w:tc>
          <w:tcPr>
            <w:tcW w:w="6737" w:type="dxa"/>
            <w:shd w:val="clear" w:color="auto" w:fill="DDDDDD"/>
          </w:tcPr>
          <w:p w14:paraId="14B08AB5" w14:textId="77777777" w:rsidR="003C3927" w:rsidRPr="008C761D" w:rsidRDefault="003C3927" w:rsidP="003A338C">
            <w:pPr>
              <w:numPr>
                <w:ilvl w:val="0"/>
                <w:numId w:val="17"/>
              </w:numPr>
              <w:tabs>
                <w:tab w:val="left" w:pos="180"/>
              </w:tabs>
              <w:spacing w:after="0" w:line="240" w:lineRule="auto"/>
              <w:ind w:left="180" w:hanging="142"/>
              <w:contextualSpacing/>
              <w:jc w:val="both"/>
              <w:rPr>
                <w:rFonts w:eastAsia="MS PGothic" w:cs="Calibri"/>
                <w:sz w:val="20"/>
                <w:szCs w:val="20"/>
                <w:lang w:val="en-US" w:eastAsia="zh-CN"/>
              </w:rPr>
            </w:pPr>
            <w:r w:rsidRPr="008C761D">
              <w:rPr>
                <w:rFonts w:eastAsia="MS PGothic" w:cs="Calibri"/>
                <w:sz w:val="20"/>
                <w:szCs w:val="20"/>
                <w:lang w:val="en-US" w:eastAsia="zh-CN"/>
              </w:rPr>
              <w:t xml:space="preserve">Budget preparation process, as well as </w:t>
            </w:r>
            <w:r w:rsidRPr="008C761D">
              <w:rPr>
                <w:rFonts w:eastAsia="Times New Roman" w:cs="Calibri"/>
                <w:sz w:val="20"/>
                <w:szCs w:val="20"/>
                <w:lang w:val="en-US" w:eastAsia="en-GB"/>
              </w:rPr>
              <w:t xml:space="preserve">its structure to reflect the reforms envisaged in the Organic Budget Law, </w:t>
            </w:r>
          </w:p>
          <w:p w14:paraId="53C606D6" w14:textId="77777777" w:rsidR="003C3927" w:rsidRPr="008C761D" w:rsidRDefault="003C3927" w:rsidP="003A338C">
            <w:pPr>
              <w:numPr>
                <w:ilvl w:val="0"/>
                <w:numId w:val="17"/>
              </w:numPr>
              <w:tabs>
                <w:tab w:val="left" w:pos="180"/>
              </w:tabs>
              <w:spacing w:after="0" w:line="240" w:lineRule="auto"/>
              <w:ind w:left="180" w:hanging="142"/>
              <w:contextualSpacing/>
              <w:jc w:val="both"/>
              <w:rPr>
                <w:rFonts w:eastAsia="MS PGothic" w:cs="Calibri"/>
                <w:sz w:val="20"/>
                <w:szCs w:val="20"/>
                <w:lang w:val="en-US" w:eastAsia="zh-CN"/>
              </w:rPr>
            </w:pPr>
            <w:r w:rsidRPr="008C761D">
              <w:rPr>
                <w:rFonts w:eastAsia="Times New Roman" w:cs="Calibri"/>
                <w:sz w:val="20"/>
                <w:szCs w:val="20"/>
                <w:lang w:val="en-US" w:eastAsia="en-GB"/>
              </w:rPr>
              <w:t>Establishing and prescribing the classifications necessary for the Budget preparation (Organizational, Functional, Program classifications, as well as classification of sources of financing) and other bylaws for implementation of the planned reforms in the field of public finance, </w:t>
            </w:r>
          </w:p>
          <w:p w14:paraId="0B4FBD68" w14:textId="30F6C5DF" w:rsidR="00376718" w:rsidRPr="008C761D" w:rsidRDefault="003C3927" w:rsidP="003A338C">
            <w:pPr>
              <w:numPr>
                <w:ilvl w:val="0"/>
                <w:numId w:val="17"/>
              </w:numPr>
              <w:tabs>
                <w:tab w:val="left" w:pos="180"/>
              </w:tabs>
              <w:spacing w:after="0" w:line="240" w:lineRule="auto"/>
              <w:ind w:left="180" w:hanging="142"/>
              <w:contextualSpacing/>
              <w:jc w:val="both"/>
              <w:rPr>
                <w:rFonts w:eastAsia="MS PGothic" w:cs="Calibri"/>
                <w:sz w:val="20"/>
                <w:szCs w:val="20"/>
                <w:lang w:val="en-US" w:eastAsia="zh-CN"/>
              </w:rPr>
            </w:pPr>
            <w:r w:rsidRPr="008C761D">
              <w:rPr>
                <w:rFonts w:eastAsia="MS PGothic" w:cs="Calibri"/>
                <w:sz w:val="20"/>
                <w:szCs w:val="20"/>
                <w:lang w:val="en-US" w:eastAsia="zh-CN"/>
              </w:rPr>
              <w:t>Developing and monitoring program goals and indicators.</w:t>
            </w:r>
          </w:p>
        </w:tc>
      </w:tr>
      <w:tr w:rsidR="00376718" w:rsidRPr="008C761D" w14:paraId="683DB904" w14:textId="77777777" w:rsidTr="00C17F2F">
        <w:tc>
          <w:tcPr>
            <w:tcW w:w="1933" w:type="dxa"/>
            <w:shd w:val="clear" w:color="auto" w:fill="DDDDDD"/>
          </w:tcPr>
          <w:p w14:paraId="6AB0BBA3" w14:textId="77777777" w:rsidR="00376718" w:rsidRPr="0044402B" w:rsidRDefault="00376718" w:rsidP="00E84CD0">
            <w:pPr>
              <w:spacing w:before="80" w:after="0" w:line="240" w:lineRule="auto"/>
              <w:jc w:val="both"/>
              <w:rPr>
                <w:rFonts w:cs="Calibri"/>
                <w:b/>
                <w:sz w:val="20"/>
                <w:szCs w:val="20"/>
                <w:lang w:val="en-US"/>
              </w:rPr>
            </w:pPr>
            <w:r w:rsidRPr="0044402B">
              <w:rPr>
                <w:rFonts w:cs="Calibri"/>
                <w:b/>
                <w:sz w:val="20"/>
                <w:szCs w:val="20"/>
                <w:lang w:val="en-US"/>
              </w:rPr>
              <w:t>SIGMA 2021:</w:t>
            </w:r>
          </w:p>
        </w:tc>
        <w:tc>
          <w:tcPr>
            <w:tcW w:w="6737" w:type="dxa"/>
            <w:shd w:val="clear" w:color="auto" w:fill="DDDDDD"/>
          </w:tcPr>
          <w:p w14:paraId="191B4F4F" w14:textId="77777777" w:rsidR="00376718" w:rsidRPr="008C761D" w:rsidRDefault="00376718" w:rsidP="003A338C">
            <w:pPr>
              <w:numPr>
                <w:ilvl w:val="0"/>
                <w:numId w:val="17"/>
              </w:numPr>
              <w:tabs>
                <w:tab w:val="left" w:pos="180"/>
              </w:tabs>
              <w:spacing w:after="0" w:line="240" w:lineRule="auto"/>
              <w:ind w:left="180" w:hanging="142"/>
              <w:contextualSpacing/>
              <w:jc w:val="both"/>
              <w:rPr>
                <w:rFonts w:eastAsia="MS PGothic" w:cs="Calibri"/>
                <w:sz w:val="20"/>
                <w:szCs w:val="20"/>
                <w:lang w:val="en-US" w:eastAsia="zh-CN"/>
              </w:rPr>
            </w:pPr>
            <w:r w:rsidRPr="008C761D">
              <w:rPr>
                <w:rFonts w:eastAsia="MS PGothic" w:cs="Calibri"/>
                <w:sz w:val="20"/>
                <w:szCs w:val="20"/>
                <w:lang w:val="en-US" w:eastAsia="zh-CN"/>
              </w:rPr>
              <w:t>Improving the credibility of projections (1-year and multi-year),</w:t>
            </w:r>
          </w:p>
          <w:p w14:paraId="47BE3D2D" w14:textId="77777777" w:rsidR="00376718" w:rsidRPr="008C761D" w:rsidRDefault="00376718" w:rsidP="003A338C">
            <w:pPr>
              <w:numPr>
                <w:ilvl w:val="0"/>
                <w:numId w:val="17"/>
              </w:numPr>
              <w:tabs>
                <w:tab w:val="left" w:pos="180"/>
              </w:tabs>
              <w:spacing w:after="0" w:line="240" w:lineRule="auto"/>
              <w:ind w:left="180" w:hanging="142"/>
              <w:contextualSpacing/>
              <w:jc w:val="both"/>
              <w:rPr>
                <w:rFonts w:eastAsia="MS PGothic" w:cs="Calibri"/>
                <w:sz w:val="20"/>
                <w:szCs w:val="20"/>
                <w:lang w:val="en-US" w:eastAsia="zh-CN"/>
              </w:rPr>
            </w:pPr>
            <w:r w:rsidRPr="008C761D">
              <w:rPr>
                <w:rFonts w:eastAsia="MS PGothic" w:cs="Calibri"/>
                <w:sz w:val="20"/>
                <w:szCs w:val="20"/>
                <w:lang w:val="en-US" w:eastAsia="zh-CN"/>
              </w:rPr>
              <w:t xml:space="preserve">Creating conditions for having a functional role of the budget user (sectoral) in place and its competence as per the new legal framework. </w:t>
            </w:r>
          </w:p>
        </w:tc>
      </w:tr>
    </w:tbl>
    <w:p w14:paraId="22EFCE35"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Context/Background</w:t>
      </w:r>
    </w:p>
    <w:p w14:paraId="64C6957A" w14:textId="0D102A10"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The Budget is one of the most important instruments of economic policy.</w:t>
      </w:r>
      <w:r w:rsidR="00D4719C">
        <w:rPr>
          <w:rFonts w:cs="Calibri"/>
          <w:lang w:val="en-US"/>
        </w:rPr>
        <w:t xml:space="preserve"> </w:t>
      </w:r>
      <w:r w:rsidRPr="008C761D">
        <w:rPr>
          <w:rFonts w:cs="Calibri"/>
          <w:lang w:val="en-US"/>
        </w:rPr>
        <w:t>Hence, the Organic Budget Law, which defines the procedures for preparation and adoption of this document, is equally significant.</w:t>
      </w:r>
      <w:r w:rsidR="00D4719C">
        <w:rPr>
          <w:rFonts w:cs="Calibri"/>
          <w:lang w:val="en-US"/>
        </w:rPr>
        <w:t xml:space="preserve"> </w:t>
      </w:r>
      <w:r w:rsidRPr="008C761D">
        <w:rPr>
          <w:rFonts w:cs="Calibri"/>
          <w:lang w:val="en-US"/>
        </w:rPr>
        <w:t>Existing Organic Budget Law dates from 2005, with several additional amendments and clarifications, it regulates the procedures for preparation, adoption and execution of the Budget of the Republic of North Macedonia, and the budgets of the local government units and the City of Skopje, as well as the reporting on the budget execution.</w:t>
      </w:r>
    </w:p>
    <w:p w14:paraId="31615B70"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However, the new trends, recommendations and directives call for new solutions as regards public financial management, in line with the good practices of the international financial institutions and the EU Directives.</w:t>
      </w:r>
    </w:p>
    <w:p w14:paraId="7EFDA3A9"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Due to the mentioned reasons, Ministry of Finance realized that it was necessary to prepare completely new law and by-laws, in order for the budget planning and the performance indicators to provide a framework for pursuing predictable and sustainable budget policy, as well as increasing the budget discipline and accountability.</w:t>
      </w:r>
    </w:p>
    <w:p w14:paraId="5D9D01F7" w14:textId="77777777" w:rsidR="00DF185F" w:rsidRPr="008C761D" w:rsidRDefault="00A13E9D" w:rsidP="00E84CD0">
      <w:pPr>
        <w:tabs>
          <w:tab w:val="left" w:pos="851"/>
        </w:tabs>
        <w:spacing w:before="120" w:line="240" w:lineRule="auto"/>
        <w:jc w:val="both"/>
        <w:rPr>
          <w:rFonts w:cs="Calibri"/>
          <w:lang w:val="en-US"/>
        </w:rPr>
      </w:pPr>
      <w:r w:rsidRPr="008C761D">
        <w:rPr>
          <w:rFonts w:cs="Calibri"/>
          <w:lang w:val="en-US"/>
        </w:rPr>
        <w:t>Development of multi-year indicators for measuring performance in the implementation of policies in the budget - in order to measure the effects of budget expenditures in relation to the results in the provision of public goods and services by budget users, which are part of the Fiscal Strategy, the Budget of the Republic of North Macedonia and the Final Account of the Budget of t</w:t>
      </w:r>
      <w:r w:rsidR="00DF185F" w:rsidRPr="008C761D">
        <w:rPr>
          <w:rFonts w:cs="Calibri"/>
          <w:lang w:val="en-US"/>
        </w:rPr>
        <w:t>he Republic of North Macedonia.</w:t>
      </w:r>
    </w:p>
    <w:p w14:paraId="7B1AB29C" w14:textId="36906C71" w:rsidR="00376718" w:rsidRPr="008C761D" w:rsidRDefault="003C3927" w:rsidP="00E84CD0">
      <w:pPr>
        <w:tabs>
          <w:tab w:val="left" w:pos="851"/>
        </w:tabs>
        <w:spacing w:before="120" w:line="240" w:lineRule="auto"/>
        <w:jc w:val="both"/>
        <w:rPr>
          <w:rFonts w:cs="Calibri"/>
          <w:lang w:val="en-US"/>
        </w:rPr>
      </w:pPr>
      <w:r w:rsidRPr="008C761D">
        <w:rPr>
          <w:rFonts w:cs="Calibri"/>
          <w:lang w:val="en-US"/>
        </w:rPr>
        <w:t>Given the new legal solution, it is expected for the fiscal policy to be focused on consolidation of public expenditures by gradually reducing the deficit level, as well as redesigning public expenditures through scaled up investments in the field of infrastructure.</w:t>
      </w:r>
    </w:p>
    <w:p w14:paraId="4A4301E2" w14:textId="0EF1379B" w:rsidR="00376718" w:rsidRPr="0044402B" w:rsidRDefault="00376718" w:rsidP="00E84CD0">
      <w:pPr>
        <w:spacing w:after="0" w:line="240" w:lineRule="auto"/>
        <w:jc w:val="both"/>
        <w:rPr>
          <w:rFonts w:cs="Calibri"/>
          <w:b/>
          <w:bCs/>
          <w:iCs/>
          <w:color w:val="0070C0"/>
          <w:lang w:val="en-US"/>
        </w:rPr>
      </w:pPr>
      <w:r w:rsidRPr="0044402B">
        <w:rPr>
          <w:rFonts w:cs="Calibri"/>
          <w:b/>
          <w:bCs/>
          <w:iCs/>
          <w:color w:val="0070C0"/>
          <w:lang w:val="en-US"/>
        </w:rPr>
        <w:t>Activity 1:</w:t>
      </w:r>
      <w:r w:rsidR="00C17F2F" w:rsidRPr="0044402B">
        <w:rPr>
          <w:rFonts w:cs="Calibri"/>
          <w:b/>
          <w:bCs/>
          <w:iCs/>
          <w:color w:val="0070C0"/>
          <w:lang w:val="en-US"/>
        </w:rPr>
        <w:t xml:space="preserve"> </w:t>
      </w:r>
      <w:r w:rsidR="003C3927" w:rsidRPr="0044402B">
        <w:rPr>
          <w:rFonts w:cs="Calibri"/>
          <w:b/>
          <w:bCs/>
          <w:iCs/>
          <w:color w:val="0070C0"/>
          <w:lang w:val="en-US"/>
        </w:rPr>
        <w:t>Preparing</w:t>
      </w:r>
      <w:r w:rsidR="006F5904" w:rsidRPr="0044402B">
        <w:rPr>
          <w:rFonts w:cs="Calibri"/>
          <w:b/>
          <w:bCs/>
          <w:iCs/>
          <w:color w:val="0070C0"/>
          <w:lang w:val="en-US"/>
        </w:rPr>
        <w:t xml:space="preserve"> </w:t>
      </w:r>
      <w:r w:rsidR="003C3927" w:rsidRPr="0044402B">
        <w:rPr>
          <w:rFonts w:cs="Calibri"/>
          <w:b/>
          <w:bCs/>
          <w:iCs/>
          <w:color w:val="0070C0"/>
          <w:lang w:val="en-US"/>
        </w:rPr>
        <w:t>and</w:t>
      </w:r>
      <w:r w:rsidR="006F5904" w:rsidRPr="0044402B">
        <w:rPr>
          <w:rFonts w:cs="Calibri"/>
          <w:b/>
          <w:bCs/>
          <w:iCs/>
          <w:color w:val="0070C0"/>
          <w:lang w:val="en-US"/>
        </w:rPr>
        <w:t xml:space="preserve"> </w:t>
      </w:r>
      <w:r w:rsidR="003C3927" w:rsidRPr="0044402B">
        <w:rPr>
          <w:rFonts w:cs="Calibri"/>
          <w:b/>
          <w:bCs/>
          <w:iCs/>
          <w:color w:val="0070C0"/>
          <w:lang w:val="en-US"/>
        </w:rPr>
        <w:t>implementing</w:t>
      </w:r>
      <w:r w:rsidR="006F5904" w:rsidRPr="0044402B">
        <w:rPr>
          <w:rFonts w:cs="Calibri"/>
          <w:b/>
          <w:bCs/>
          <w:iCs/>
          <w:color w:val="0070C0"/>
          <w:lang w:val="en-US"/>
        </w:rPr>
        <w:t xml:space="preserve"> </w:t>
      </w:r>
      <w:r w:rsidR="003C3927" w:rsidRPr="0044402B">
        <w:rPr>
          <w:rFonts w:cs="Calibri"/>
          <w:b/>
          <w:bCs/>
          <w:iCs/>
          <w:color w:val="0070C0"/>
          <w:lang w:val="en-US"/>
        </w:rPr>
        <w:t>OBL bylaws</w:t>
      </w:r>
    </w:p>
    <w:p w14:paraId="07AC14A5"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Application of the new Organic Budget Law is related to the preparation of bylaws, which are envisaged to be adopted within 24 months from the entry into force of the Law (Article 119).</w:t>
      </w:r>
    </w:p>
    <w:p w14:paraId="6FA0B3BD"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 xml:space="preserve">Ministry of Finance, in cooperation with the World Bank, as well as through the EU IPA Twinning Project “Strengthening Budget Planning, Execution </w:t>
      </w:r>
      <w:proofErr w:type="gramStart"/>
      <w:r w:rsidRPr="008C761D">
        <w:rPr>
          <w:rFonts w:cs="Calibri"/>
          <w:lang w:val="en-US"/>
        </w:rPr>
        <w:t>And</w:t>
      </w:r>
      <w:proofErr w:type="gramEnd"/>
      <w:r w:rsidRPr="008C761D">
        <w:rPr>
          <w:rFonts w:cs="Calibri"/>
          <w:lang w:val="en-US"/>
        </w:rPr>
        <w:t xml:space="preserve"> Internal Control Functions”, works on preparing by-laws, guidelines, manuals, etc., aimed at enforcing the new Organic Budget Law, further improvements of the public financial management system, as well as developing a detailed plan for all working process.</w:t>
      </w:r>
    </w:p>
    <w:p w14:paraId="031C438A" w14:textId="77777777" w:rsidR="00376718" w:rsidRPr="008C761D" w:rsidRDefault="00376718" w:rsidP="00E84CD0">
      <w:pPr>
        <w:tabs>
          <w:tab w:val="left" w:pos="851"/>
        </w:tabs>
        <w:spacing w:before="120" w:line="240" w:lineRule="auto"/>
        <w:jc w:val="both"/>
        <w:rPr>
          <w:rFonts w:cs="Calibri"/>
          <w:lang w:val="en-US"/>
        </w:rPr>
      </w:pPr>
      <w:r w:rsidRPr="008C761D">
        <w:rPr>
          <w:rFonts w:eastAsia="Times New Roman" w:cs="Calibri"/>
          <w:color w:val="000000"/>
          <w:lang w:val="en-US" w:eastAsia="en-GB"/>
        </w:rPr>
        <w:t>Application of the New Organic Budget Law has been postponed, which is to start as of 1</w:t>
      </w:r>
      <w:r w:rsidRPr="008C761D">
        <w:rPr>
          <w:rFonts w:eastAsia="Times New Roman" w:cs="Calibri"/>
          <w:color w:val="000000"/>
          <w:vertAlign w:val="superscript"/>
          <w:lang w:val="en-US" w:eastAsia="en-GB"/>
        </w:rPr>
        <w:t>st</w:t>
      </w:r>
      <w:r w:rsidRPr="008C761D">
        <w:rPr>
          <w:rFonts w:eastAsia="Times New Roman" w:cs="Calibri"/>
          <w:color w:val="000000"/>
          <w:lang w:val="en-US" w:eastAsia="en-GB"/>
        </w:rPr>
        <w:t xml:space="preserve"> January 2023, with the exception of certain provisions pertaining to the Fiscal Council (Article 11), strategic planning (Article 13), macroeconomic projections (Article 14), Fiscal Strategy (Articles 16, 17, 18 and 19), internal financial control (Article 104) and </w:t>
      </w:r>
      <w:r w:rsidR="008508D9" w:rsidRPr="008C761D">
        <w:rPr>
          <w:rFonts w:eastAsia="Times New Roman" w:cs="Calibri"/>
          <w:color w:val="000000"/>
          <w:lang w:val="en-US" w:eastAsia="en-GB"/>
        </w:rPr>
        <w:t>OBL Reform Working Group</w:t>
      </w:r>
      <w:r w:rsidRPr="008C761D">
        <w:rPr>
          <w:rFonts w:eastAsia="Times New Roman" w:cs="Calibri"/>
          <w:color w:val="000000"/>
          <w:lang w:val="en-US" w:eastAsia="en-GB"/>
        </w:rPr>
        <w:t>(Article 107), which will be applied with the entry into force of the Organic Budget Law.</w:t>
      </w:r>
    </w:p>
    <w:p w14:paraId="6E57AB92" w14:textId="77777777" w:rsidR="00376718" w:rsidRPr="008C761D" w:rsidRDefault="00376718" w:rsidP="00E84CD0">
      <w:pPr>
        <w:tabs>
          <w:tab w:val="left" w:pos="851"/>
        </w:tabs>
        <w:spacing w:before="120" w:line="240" w:lineRule="auto"/>
        <w:jc w:val="both"/>
        <w:rPr>
          <w:rFonts w:cs="Calibri"/>
          <w:lang w:val="en-US"/>
        </w:rPr>
      </w:pPr>
      <w:r w:rsidRPr="008C761D">
        <w:rPr>
          <w:rFonts w:cs="Calibri"/>
          <w:lang w:val="en-US"/>
        </w:rPr>
        <w:t xml:space="preserve">New Organic Budget Law covers all reform activities and processes, </w:t>
      </w:r>
      <w:r w:rsidRPr="008C761D">
        <w:rPr>
          <w:rFonts w:eastAsia="Times New Roman" w:cs="Calibri"/>
          <w:color w:val="000000"/>
          <w:lang w:val="en-US" w:eastAsia="en-GB"/>
        </w:rPr>
        <w:t>which would significantly improve the budget planning and the Fiscal Strategy through comprehensive data and programmatic approach, increased quality in scope and contents, harmonization of definitions with international methodologies and new classifications, in order to develop and monitor the measurable indicators.</w:t>
      </w:r>
    </w:p>
    <w:p w14:paraId="345DE0DA" w14:textId="77777777" w:rsidR="00376718" w:rsidRPr="008C761D" w:rsidRDefault="00376718" w:rsidP="00E84CD0">
      <w:pPr>
        <w:tabs>
          <w:tab w:val="left" w:pos="851"/>
        </w:tabs>
        <w:spacing w:before="120" w:line="240" w:lineRule="auto"/>
        <w:jc w:val="both"/>
        <w:rPr>
          <w:rFonts w:cs="Calibri"/>
          <w:lang w:val="en-US"/>
        </w:rPr>
      </w:pPr>
      <w:r w:rsidRPr="008C761D">
        <w:rPr>
          <w:rFonts w:eastAsia="Times New Roman" w:cs="Calibri"/>
          <w:color w:val="000000"/>
          <w:lang w:val="en-US" w:eastAsia="en-GB"/>
        </w:rPr>
        <w:t>This legal solution extends the commitment to strategic planning and medium-term public finance framework, through:</w:t>
      </w:r>
    </w:p>
    <w:p w14:paraId="1087C977" w14:textId="77777777" w:rsidR="00376718" w:rsidRPr="008C761D" w:rsidRDefault="00376718" w:rsidP="00E84CD0">
      <w:pPr>
        <w:tabs>
          <w:tab w:val="left" w:pos="851"/>
        </w:tabs>
        <w:spacing w:before="120" w:after="120" w:line="240" w:lineRule="auto"/>
        <w:jc w:val="both"/>
        <w:rPr>
          <w:rFonts w:cs="Calibri"/>
          <w:lang w:val="en-US"/>
        </w:rPr>
      </w:pPr>
      <w:r w:rsidRPr="008C761D">
        <w:rPr>
          <w:rFonts w:cs="Calibri"/>
          <w:lang w:val="en-US"/>
        </w:rPr>
        <w:t>-introducing fiscal policy statement, covering the Government’s terms of office and including the fiscal strategy guidelines, which should be submitted to the Parliament;</w:t>
      </w:r>
    </w:p>
    <w:p w14:paraId="2E1DCE2D" w14:textId="2512BBEF" w:rsidR="003C3927" w:rsidRPr="008C761D" w:rsidRDefault="00376718" w:rsidP="00E84CD0">
      <w:pPr>
        <w:tabs>
          <w:tab w:val="left" w:pos="851"/>
        </w:tabs>
        <w:spacing w:before="120" w:after="120" w:line="240" w:lineRule="auto"/>
        <w:jc w:val="both"/>
        <w:rPr>
          <w:rFonts w:cs="Calibri"/>
          <w:lang w:val="en-US"/>
        </w:rPr>
      </w:pPr>
      <w:r w:rsidRPr="008C761D">
        <w:rPr>
          <w:rFonts w:cs="Calibri"/>
          <w:lang w:val="en-US"/>
        </w:rPr>
        <w:lastRenderedPageBreak/>
        <w:t>- Fiscal Strategy with a wide range of data including all levels of government, projections, which will be aligned with the determined strategic priorities and macroeconomic parameters;</w:t>
      </w:r>
    </w:p>
    <w:p w14:paraId="231A5112" w14:textId="3D2A913E" w:rsidR="006F5904" w:rsidRPr="0044402B" w:rsidRDefault="006F5904" w:rsidP="006F5904">
      <w:pPr>
        <w:spacing w:after="0" w:line="240" w:lineRule="auto"/>
        <w:jc w:val="both"/>
        <w:rPr>
          <w:rFonts w:cs="Calibri"/>
          <w:b/>
          <w:bCs/>
          <w:iCs/>
          <w:color w:val="0070C0"/>
          <w:lang w:val="en-US"/>
        </w:rPr>
      </w:pPr>
      <w:r w:rsidRPr="0044402B">
        <w:rPr>
          <w:rFonts w:cs="Calibri"/>
          <w:b/>
          <w:bCs/>
          <w:iCs/>
          <w:color w:val="0070C0"/>
          <w:lang w:val="en-US"/>
        </w:rPr>
        <w:t>Activity</w:t>
      </w:r>
      <w:r w:rsidR="00C17F2F" w:rsidRPr="0044402B">
        <w:rPr>
          <w:rFonts w:cs="Calibri"/>
          <w:b/>
          <w:bCs/>
          <w:iCs/>
          <w:color w:val="0070C0"/>
          <w:lang w:val="en-US"/>
        </w:rPr>
        <w:t xml:space="preserve"> </w:t>
      </w:r>
      <w:r w:rsidRPr="0044402B">
        <w:rPr>
          <w:rFonts w:cs="Calibri"/>
          <w:b/>
          <w:bCs/>
          <w:iCs/>
          <w:color w:val="0070C0"/>
          <w:lang w:val="en-US"/>
        </w:rPr>
        <w:t>2:</w:t>
      </w:r>
      <w:r w:rsidR="00824E44" w:rsidRPr="0044402B">
        <w:rPr>
          <w:rFonts w:cs="Calibri"/>
          <w:b/>
          <w:bCs/>
          <w:iCs/>
          <w:color w:val="0070C0"/>
          <w:lang w:val="en-US"/>
        </w:rPr>
        <w:t xml:space="preserve"> </w:t>
      </w:r>
      <w:r w:rsidRPr="0044402B">
        <w:rPr>
          <w:rFonts w:cs="Calibri"/>
          <w:b/>
          <w:bCs/>
          <w:iCs/>
          <w:color w:val="0070C0"/>
          <w:lang w:val="en-US"/>
        </w:rPr>
        <w:t xml:space="preserve">Preparing and implementing several types of classifications </w:t>
      </w:r>
      <w:r w:rsidR="00C17F2F" w:rsidRPr="0044402B">
        <w:rPr>
          <w:rFonts w:cs="Calibri"/>
          <w:b/>
          <w:bCs/>
          <w:iCs/>
          <w:color w:val="0070C0"/>
          <w:lang w:val="en-US"/>
        </w:rPr>
        <w:t>–</w:t>
      </w:r>
      <w:r w:rsidRPr="0044402B">
        <w:rPr>
          <w:rFonts w:cs="Calibri"/>
          <w:b/>
          <w:bCs/>
          <w:iCs/>
          <w:color w:val="0070C0"/>
          <w:lang w:val="en-US"/>
        </w:rPr>
        <w:t xml:space="preserve"> administrative</w:t>
      </w:r>
      <w:r w:rsidR="00C17F2F" w:rsidRPr="0044402B">
        <w:rPr>
          <w:rFonts w:cs="Calibri"/>
          <w:b/>
          <w:bCs/>
          <w:iCs/>
          <w:color w:val="0070C0"/>
          <w:lang w:val="en-US"/>
        </w:rPr>
        <w:t xml:space="preserve"> </w:t>
      </w:r>
      <w:r w:rsidRPr="0044402B">
        <w:rPr>
          <w:rFonts w:cs="Calibri"/>
          <w:b/>
          <w:bCs/>
          <w:iCs/>
          <w:color w:val="0070C0"/>
          <w:lang w:val="en-US"/>
        </w:rPr>
        <w:t>/</w:t>
      </w:r>
      <w:r w:rsidR="00C17F2F" w:rsidRPr="0044402B">
        <w:rPr>
          <w:rFonts w:cs="Calibri"/>
          <w:b/>
          <w:bCs/>
          <w:iCs/>
          <w:color w:val="0070C0"/>
          <w:lang w:val="en-US"/>
        </w:rPr>
        <w:t xml:space="preserve"> </w:t>
      </w:r>
      <w:r w:rsidRPr="0044402B">
        <w:rPr>
          <w:rFonts w:cs="Calibri"/>
          <w:b/>
          <w:bCs/>
          <w:iCs/>
          <w:color w:val="0070C0"/>
          <w:lang w:val="en-US"/>
        </w:rPr>
        <w:t>organizational, economic, program, functional classifications, as well as classif</w:t>
      </w:r>
      <w:r w:rsidR="00DF185F" w:rsidRPr="0044402B">
        <w:rPr>
          <w:rFonts w:cs="Calibri"/>
          <w:b/>
          <w:bCs/>
          <w:iCs/>
          <w:color w:val="0070C0"/>
          <w:lang w:val="en-US"/>
        </w:rPr>
        <w:t>ication of sources of financing</w:t>
      </w:r>
    </w:p>
    <w:p w14:paraId="2C1E633D" w14:textId="77777777" w:rsidR="00DF185F" w:rsidRPr="008C761D" w:rsidRDefault="00DF185F" w:rsidP="006F5904">
      <w:pPr>
        <w:spacing w:after="0" w:line="240" w:lineRule="auto"/>
        <w:jc w:val="both"/>
        <w:rPr>
          <w:rFonts w:cs="Calibri"/>
          <w:b/>
          <w:bCs/>
          <w:iCs/>
          <w:color w:val="4F81BD"/>
          <w:lang w:val="en-US"/>
        </w:rPr>
      </w:pPr>
    </w:p>
    <w:p w14:paraId="597B6CC4" w14:textId="27A896E6" w:rsidR="003C3927" w:rsidRPr="008C761D" w:rsidRDefault="00465A9A" w:rsidP="00C17F2F">
      <w:pPr>
        <w:spacing w:line="240" w:lineRule="auto"/>
        <w:jc w:val="both"/>
        <w:rPr>
          <w:rFonts w:eastAsia="Times New Roman" w:cs="Calibri"/>
          <w:lang w:val="en-US" w:eastAsia="ar-SA"/>
        </w:rPr>
      </w:pPr>
      <w:r>
        <w:rPr>
          <w:rFonts w:eastAsia="Times New Roman" w:cs="Calibri"/>
          <w:lang w:val="en-US" w:eastAsia="ar-SA"/>
        </w:rPr>
        <w:t>In the coming period a</w:t>
      </w:r>
      <w:r w:rsidR="006F5904" w:rsidRPr="008C761D">
        <w:rPr>
          <w:rFonts w:eastAsia="Times New Roman" w:cs="Calibri"/>
          <w:lang w:val="en-US" w:eastAsia="ar-SA"/>
        </w:rPr>
        <w:t>s a major reform that will be implemented by the Ministry of Finance in cooperation with the U.S. Department of the Treasury, is prepar</w:t>
      </w:r>
      <w:r>
        <w:rPr>
          <w:rFonts w:eastAsia="Times New Roman" w:cs="Calibri"/>
          <w:lang w:val="en-US" w:eastAsia="ar-SA"/>
        </w:rPr>
        <w:t>ation of a new budget</w:t>
      </w:r>
      <w:r w:rsidR="006F5904" w:rsidRPr="008C761D">
        <w:rPr>
          <w:rFonts w:eastAsia="Times New Roman" w:cs="Calibri"/>
          <w:lang w:val="en-US" w:eastAsia="ar-SA"/>
        </w:rPr>
        <w:t xml:space="preserve"> classifications (administrative/organizational, economic, program, functional classifications, as well as classification of sources of financing), of which the administrative classification is particularly significant, which is planned to be prepared by June 2024 at the latest. At the same time, training courses are planned for employees and budget users </w:t>
      </w:r>
      <w:r w:rsidR="00DF185F" w:rsidRPr="008C761D">
        <w:rPr>
          <w:rFonts w:eastAsia="Times New Roman" w:cs="Calibri"/>
          <w:lang w:val="en-US" w:eastAsia="ar-SA"/>
        </w:rPr>
        <w:t>as well as capacity building.</w:t>
      </w:r>
    </w:p>
    <w:p w14:paraId="6F087D48" w14:textId="77777777" w:rsidR="003C3927" w:rsidRPr="008C761D" w:rsidRDefault="003C3927" w:rsidP="00C17F2F">
      <w:pPr>
        <w:tabs>
          <w:tab w:val="left" w:pos="851"/>
        </w:tabs>
        <w:spacing w:before="120" w:after="120" w:line="240" w:lineRule="auto"/>
        <w:jc w:val="both"/>
        <w:rPr>
          <w:rFonts w:cs="Calibri"/>
          <w:lang w:val="en-US"/>
        </w:rPr>
      </w:pPr>
      <w:r w:rsidRPr="008C761D">
        <w:rPr>
          <w:rFonts w:cs="Calibri"/>
          <w:lang w:val="en-US"/>
        </w:rPr>
        <w:t>Budget will be presented more clearly through plenty of well-structured information, and it will be divided into general, special and development parts;</w:t>
      </w:r>
    </w:p>
    <w:p w14:paraId="33BB2A71" w14:textId="77777777" w:rsidR="003C3927" w:rsidRPr="008C761D" w:rsidRDefault="003C3927" w:rsidP="00C17F2F">
      <w:pPr>
        <w:spacing w:before="120" w:after="120" w:line="240" w:lineRule="auto"/>
        <w:jc w:val="both"/>
        <w:rPr>
          <w:rFonts w:cs="Calibri"/>
          <w:lang w:val="en-US"/>
        </w:rPr>
      </w:pPr>
      <w:r w:rsidRPr="008C761D">
        <w:rPr>
          <w:rFonts w:cs="Calibri"/>
          <w:lang w:val="en-US"/>
        </w:rPr>
        <w:t xml:space="preserve">Such designed Budget implies application of several bylaws, which are used to identify specific purposes, as well as for systematic monitoring. </w:t>
      </w:r>
    </w:p>
    <w:p w14:paraId="2E58117C" w14:textId="77777777" w:rsidR="003C3927" w:rsidRPr="008C761D" w:rsidRDefault="003C3927" w:rsidP="00C17F2F">
      <w:pPr>
        <w:spacing w:before="120" w:after="120" w:line="240" w:lineRule="auto"/>
        <w:jc w:val="both"/>
        <w:rPr>
          <w:rFonts w:cs="Calibri"/>
          <w:lang w:val="en-US"/>
        </w:rPr>
      </w:pPr>
      <w:r w:rsidRPr="008C761D">
        <w:rPr>
          <w:rFonts w:cs="Calibri"/>
          <w:lang w:val="en-US"/>
        </w:rPr>
        <w:t>Budget is based on the application of the following classifications, as follows:</w:t>
      </w:r>
    </w:p>
    <w:p w14:paraId="03A39320" w14:textId="77777777" w:rsidR="003C3927" w:rsidRPr="008C761D" w:rsidRDefault="003C3927" w:rsidP="00C17F2F">
      <w:pPr>
        <w:spacing w:before="120" w:after="120" w:line="240" w:lineRule="auto"/>
        <w:jc w:val="both"/>
        <w:rPr>
          <w:rFonts w:cs="Calibri"/>
          <w:lang w:val="en-US"/>
        </w:rPr>
      </w:pPr>
      <w:r w:rsidRPr="008C761D">
        <w:rPr>
          <w:rFonts w:cs="Calibri"/>
          <w:lang w:val="en-US"/>
        </w:rPr>
        <w:t>-</w:t>
      </w:r>
      <w:r w:rsidRPr="008C761D">
        <w:rPr>
          <w:rFonts w:eastAsia="Times New Roman" w:cs="Calibri"/>
          <w:color w:val="000000"/>
          <w:lang w:val="en-US" w:eastAsia="en-GB"/>
        </w:rPr>
        <w:t>organizational (administrative) classification-structure of codes for classification of budget users, primarily defining the role of the parent budget users;</w:t>
      </w:r>
    </w:p>
    <w:p w14:paraId="354FD445" w14:textId="77777777" w:rsidR="003C3927" w:rsidRPr="008C761D" w:rsidRDefault="003C3927" w:rsidP="00C17F2F">
      <w:pPr>
        <w:spacing w:before="120" w:after="120" w:line="240" w:lineRule="auto"/>
        <w:jc w:val="both"/>
        <w:rPr>
          <w:rFonts w:cs="Calibri"/>
          <w:lang w:val="en-US"/>
        </w:rPr>
      </w:pPr>
      <w:r w:rsidRPr="008C761D">
        <w:rPr>
          <w:rFonts w:cs="Calibri"/>
          <w:lang w:val="en-US"/>
        </w:rPr>
        <w:t>-</w:t>
      </w:r>
      <w:r w:rsidRPr="008C761D">
        <w:rPr>
          <w:rFonts w:eastAsia="Times New Roman" w:cs="Calibri"/>
          <w:color w:val="000000"/>
          <w:lang w:val="en-US" w:eastAsia="en-GB"/>
        </w:rPr>
        <w:t>economic classification-structure of codes for classification of revenues and inflows, expenditures and outflows;</w:t>
      </w:r>
    </w:p>
    <w:p w14:paraId="528F23E5" w14:textId="77777777" w:rsidR="003C3927" w:rsidRPr="008C761D" w:rsidRDefault="003C3927" w:rsidP="00C17F2F">
      <w:pPr>
        <w:spacing w:before="120" w:after="120" w:line="240" w:lineRule="auto"/>
        <w:jc w:val="both"/>
        <w:rPr>
          <w:rFonts w:cs="Calibri"/>
          <w:lang w:val="en-US"/>
        </w:rPr>
      </w:pPr>
      <w:r w:rsidRPr="008C761D">
        <w:rPr>
          <w:rFonts w:cs="Calibri"/>
          <w:lang w:val="en-US"/>
        </w:rPr>
        <w:t>-</w:t>
      </w:r>
      <w:r w:rsidRPr="008C761D">
        <w:rPr>
          <w:rFonts w:eastAsia="Times New Roman" w:cs="Calibri"/>
          <w:color w:val="000000"/>
          <w:lang w:val="en-US" w:eastAsia="en-GB"/>
        </w:rPr>
        <w:t>functional classification-structure of codes for classification of the functions of the central government according to the International Classification of the United Nations;</w:t>
      </w:r>
    </w:p>
    <w:p w14:paraId="5860F74F" w14:textId="77777777" w:rsidR="003C3927" w:rsidRPr="008C761D" w:rsidRDefault="003C3927" w:rsidP="00C17F2F">
      <w:pPr>
        <w:spacing w:before="120" w:after="120" w:line="240" w:lineRule="auto"/>
        <w:jc w:val="both"/>
        <w:rPr>
          <w:rFonts w:cs="Calibri"/>
          <w:lang w:val="en-US"/>
        </w:rPr>
      </w:pPr>
      <w:r w:rsidRPr="008C761D">
        <w:rPr>
          <w:rFonts w:cs="Calibri"/>
          <w:lang w:val="en-US"/>
        </w:rPr>
        <w:t>-</w:t>
      </w:r>
      <w:r w:rsidRPr="008C761D">
        <w:rPr>
          <w:rFonts w:eastAsia="Times New Roman" w:cs="Calibri"/>
          <w:color w:val="000000"/>
          <w:lang w:val="en-US" w:eastAsia="en-GB"/>
        </w:rPr>
        <w:t>program classification-structure of codes for classification of Programs and sub-Programs, and</w:t>
      </w:r>
    </w:p>
    <w:p w14:paraId="03ECF8B2" w14:textId="70089E2D" w:rsidR="00465A9A" w:rsidRPr="008C761D" w:rsidRDefault="003C3927" w:rsidP="00DF185F">
      <w:pPr>
        <w:spacing w:before="120" w:after="120" w:line="240" w:lineRule="auto"/>
        <w:jc w:val="both"/>
        <w:rPr>
          <w:rFonts w:cs="Calibri"/>
          <w:lang w:val="en-US"/>
        </w:rPr>
      </w:pPr>
      <w:r w:rsidRPr="008C761D">
        <w:rPr>
          <w:rFonts w:cs="Calibri"/>
          <w:lang w:val="en-US"/>
        </w:rPr>
        <w:t xml:space="preserve">-classification of sources of financing. </w:t>
      </w:r>
    </w:p>
    <w:p w14:paraId="185D6855" w14:textId="2CC6C51C" w:rsidR="006F5904" w:rsidRPr="0044402B" w:rsidRDefault="006F5904" w:rsidP="00DF185F">
      <w:pPr>
        <w:spacing w:after="0" w:line="240" w:lineRule="auto"/>
        <w:jc w:val="both"/>
        <w:rPr>
          <w:rFonts w:cs="Calibri"/>
          <w:b/>
          <w:bCs/>
          <w:iCs/>
          <w:color w:val="0070C0"/>
          <w:lang w:val="en-US"/>
        </w:rPr>
      </w:pPr>
      <w:r w:rsidRPr="0044402B">
        <w:rPr>
          <w:rFonts w:cs="Calibri"/>
          <w:b/>
          <w:bCs/>
          <w:iCs/>
          <w:color w:val="0070C0"/>
          <w:lang w:val="en-US"/>
        </w:rPr>
        <w:t>Activity 3: Strengthening of capacities, training of employees and budget beneficiaries</w:t>
      </w:r>
    </w:p>
    <w:p w14:paraId="3722A699" w14:textId="3F0D46C6" w:rsidR="00DF185F" w:rsidRPr="008C761D" w:rsidRDefault="00465A9A" w:rsidP="00DF185F">
      <w:pPr>
        <w:spacing w:before="120" w:after="120" w:line="240" w:lineRule="auto"/>
        <w:jc w:val="both"/>
        <w:rPr>
          <w:rFonts w:cs="Calibri"/>
          <w:lang w:val="en-US"/>
        </w:rPr>
      </w:pPr>
      <w:r>
        <w:rPr>
          <w:rFonts w:cs="Calibri"/>
          <w:lang w:val="en-US"/>
        </w:rPr>
        <w:t xml:space="preserve">In the direction of strengthening the budget process, </w:t>
      </w:r>
      <w:r w:rsidR="006F5904" w:rsidRPr="008C761D">
        <w:rPr>
          <w:rFonts w:cs="Calibri"/>
          <w:lang w:val="en-US"/>
        </w:rPr>
        <w:t xml:space="preserve">Ministry of </w:t>
      </w:r>
      <w:r>
        <w:rPr>
          <w:rFonts w:cs="Calibri"/>
          <w:lang w:val="en-US"/>
        </w:rPr>
        <w:t>F</w:t>
      </w:r>
      <w:r w:rsidR="006F5904" w:rsidRPr="008C761D">
        <w:rPr>
          <w:rFonts w:cs="Calibri"/>
          <w:lang w:val="en-US"/>
        </w:rPr>
        <w:t>inance through the IPA project "Strengthening of budget planning, execution and internal financial control" and with the U.S. Department of the Treasury, organised trainings on program budgeting and preparation of the by-laws of the new Law on Budgets.</w:t>
      </w:r>
    </w:p>
    <w:p w14:paraId="4DAA9342" w14:textId="485EE7B5" w:rsidR="00790347" w:rsidRPr="008C761D" w:rsidRDefault="00D83DFC" w:rsidP="00DF185F">
      <w:pPr>
        <w:spacing w:before="120" w:after="120" w:line="240" w:lineRule="auto"/>
        <w:jc w:val="both"/>
        <w:rPr>
          <w:rFonts w:cs="Calibri"/>
          <w:b/>
          <w:bCs/>
          <w:iCs/>
          <w:color w:val="4F81BD"/>
          <w:lang w:val="en-US"/>
        </w:rPr>
      </w:pPr>
      <w:r w:rsidRPr="008C761D">
        <w:rPr>
          <w:rFonts w:cs="Calibri"/>
          <w:b/>
          <w:bCs/>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D83DFC" w:rsidRPr="008C761D" w14:paraId="647873A8" w14:textId="77777777" w:rsidTr="00DE7154">
        <w:tc>
          <w:tcPr>
            <w:tcW w:w="2518" w:type="dxa"/>
            <w:tcBorders>
              <w:top w:val="nil"/>
              <w:bottom w:val="single" w:sz="4" w:space="0" w:color="FFFFFF"/>
            </w:tcBorders>
            <w:shd w:val="clear" w:color="auto" w:fill="2F5496"/>
          </w:tcPr>
          <w:p w14:paraId="32CE5B82" w14:textId="77777777" w:rsidR="00D83DFC" w:rsidRPr="008C761D" w:rsidRDefault="00D83DFC" w:rsidP="00DE7154">
            <w:pPr>
              <w:tabs>
                <w:tab w:val="left" w:pos="1526"/>
              </w:tabs>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31996305" w14:textId="77777777" w:rsidR="00D83DFC" w:rsidRPr="008C761D" w:rsidRDefault="00D83DFC" w:rsidP="00DE7154">
            <w:pPr>
              <w:tabs>
                <w:tab w:val="left" w:pos="1526"/>
              </w:tabs>
              <w:spacing w:after="120" w:line="240" w:lineRule="auto"/>
              <w:jc w:val="both"/>
              <w:rPr>
                <w:rFonts w:cs="Calibri"/>
                <w:sz w:val="20"/>
                <w:szCs w:val="20"/>
                <w:lang w:val="en-US"/>
              </w:rPr>
            </w:pPr>
            <w:r w:rsidRPr="008C761D">
              <w:rPr>
                <w:rFonts w:cs="Calibri"/>
                <w:sz w:val="20"/>
                <w:szCs w:val="20"/>
                <w:lang w:val="en-US"/>
              </w:rPr>
              <w:t>2027</w:t>
            </w:r>
          </w:p>
        </w:tc>
      </w:tr>
      <w:tr w:rsidR="00D83DFC" w:rsidRPr="008C761D" w14:paraId="4CD62BCB" w14:textId="77777777" w:rsidTr="00DE7154">
        <w:tc>
          <w:tcPr>
            <w:tcW w:w="2518" w:type="dxa"/>
            <w:tcBorders>
              <w:top w:val="single" w:sz="4" w:space="0" w:color="FFFFFF"/>
              <w:bottom w:val="single" w:sz="4" w:space="0" w:color="FFFFFF"/>
            </w:tcBorders>
            <w:shd w:val="clear" w:color="auto" w:fill="2F5496"/>
          </w:tcPr>
          <w:p w14:paraId="7BF9E0C0" w14:textId="77777777" w:rsidR="00D83DFC" w:rsidRPr="008C761D" w:rsidRDefault="00D83DFC" w:rsidP="00DE7154">
            <w:pPr>
              <w:tabs>
                <w:tab w:val="left" w:pos="4219"/>
              </w:tabs>
              <w:spacing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1BA61090" w14:textId="4DBC3119" w:rsidR="00D83DFC" w:rsidRPr="008C761D" w:rsidRDefault="00D83DFC" w:rsidP="0044402B">
            <w:pPr>
              <w:numPr>
                <w:ilvl w:val="0"/>
                <w:numId w:val="64"/>
              </w:numPr>
              <w:spacing w:line="240" w:lineRule="auto"/>
              <w:ind w:left="183" w:hanging="180"/>
              <w:jc w:val="both"/>
              <w:rPr>
                <w:rFonts w:cs="Calibri"/>
                <w:sz w:val="20"/>
                <w:szCs w:val="20"/>
                <w:lang w:val="en-US"/>
              </w:rPr>
            </w:pPr>
            <w:r w:rsidRPr="008C761D">
              <w:rPr>
                <w:rFonts w:cs="Calibri"/>
                <w:sz w:val="20"/>
                <w:szCs w:val="20"/>
                <w:lang w:val="en-US"/>
              </w:rPr>
              <w:t xml:space="preserve">By-laws and types of classifications </w:t>
            </w:r>
          </w:p>
        </w:tc>
      </w:tr>
      <w:tr w:rsidR="00D83DFC" w:rsidRPr="008C761D" w14:paraId="1D0728B0" w14:textId="77777777" w:rsidTr="00DE7154">
        <w:tc>
          <w:tcPr>
            <w:tcW w:w="2518" w:type="dxa"/>
            <w:tcBorders>
              <w:top w:val="single" w:sz="4" w:space="0" w:color="FFFFFF"/>
              <w:bottom w:val="single" w:sz="4" w:space="0" w:color="FFFFFF"/>
            </w:tcBorders>
            <w:shd w:val="clear" w:color="auto" w:fill="2F5496"/>
          </w:tcPr>
          <w:p w14:paraId="4F5AEF86" w14:textId="77777777" w:rsidR="00D83DFC" w:rsidRPr="008C761D" w:rsidRDefault="00D83DFC" w:rsidP="00DE7154">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6EA3CD48" w14:textId="1A624B20" w:rsidR="00D83DFC" w:rsidRPr="008C761D" w:rsidRDefault="00D83DFC" w:rsidP="00DE7154">
            <w:pPr>
              <w:tabs>
                <w:tab w:val="left" w:pos="1526"/>
              </w:tabs>
              <w:spacing w:after="120" w:line="240" w:lineRule="auto"/>
              <w:jc w:val="both"/>
              <w:rPr>
                <w:rFonts w:cs="Calibri"/>
                <w:sz w:val="20"/>
                <w:szCs w:val="20"/>
                <w:lang w:val="en-US"/>
              </w:rPr>
            </w:pPr>
            <w:r w:rsidRPr="008C761D">
              <w:rPr>
                <w:rFonts w:cs="Calibri"/>
                <w:sz w:val="20"/>
                <w:szCs w:val="20"/>
                <w:lang w:val="en-US"/>
              </w:rPr>
              <w:t>EUR 1,826,000</w:t>
            </w:r>
          </w:p>
        </w:tc>
      </w:tr>
      <w:tr w:rsidR="00D83DFC" w:rsidRPr="008C761D" w14:paraId="40EC4E1A" w14:textId="77777777" w:rsidTr="00DE7154">
        <w:tc>
          <w:tcPr>
            <w:tcW w:w="2518" w:type="dxa"/>
            <w:tcBorders>
              <w:top w:val="single" w:sz="4" w:space="0" w:color="FFFFFF"/>
              <w:bottom w:val="single" w:sz="4" w:space="0" w:color="FFFFFF"/>
            </w:tcBorders>
            <w:shd w:val="clear" w:color="auto" w:fill="2F5496"/>
          </w:tcPr>
          <w:p w14:paraId="36B0A036" w14:textId="77777777" w:rsidR="00D83DFC" w:rsidRPr="008C761D" w:rsidRDefault="00D83DFC" w:rsidP="00DE7154">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30FEFAE7" w14:textId="77777777" w:rsidR="00D83DFC" w:rsidRPr="008C761D" w:rsidRDefault="00D83DFC" w:rsidP="00DE7154">
            <w:pPr>
              <w:tabs>
                <w:tab w:val="left" w:pos="4219"/>
              </w:tabs>
              <w:spacing w:after="120" w:line="240" w:lineRule="auto"/>
              <w:jc w:val="both"/>
              <w:rPr>
                <w:rFonts w:cs="Calibri"/>
                <w:sz w:val="20"/>
                <w:szCs w:val="20"/>
                <w:lang w:val="en-US"/>
              </w:rPr>
            </w:pPr>
            <w:r w:rsidRPr="008C761D">
              <w:rPr>
                <w:rFonts w:cs="Calibri"/>
                <w:sz w:val="20"/>
                <w:szCs w:val="20"/>
                <w:lang w:val="en-US"/>
              </w:rPr>
              <w:t>Ministry of Finance, Budget and Funds Department</w:t>
            </w:r>
          </w:p>
        </w:tc>
      </w:tr>
      <w:tr w:rsidR="00D83DFC" w:rsidRPr="008C761D" w14:paraId="569A6826" w14:textId="77777777" w:rsidTr="00DE7154">
        <w:trPr>
          <w:trHeight w:val="70"/>
        </w:trPr>
        <w:tc>
          <w:tcPr>
            <w:tcW w:w="2518" w:type="dxa"/>
            <w:tcBorders>
              <w:top w:val="single" w:sz="4" w:space="0" w:color="FFFFFF"/>
              <w:bottom w:val="nil"/>
            </w:tcBorders>
            <w:shd w:val="clear" w:color="auto" w:fill="2F5496"/>
          </w:tcPr>
          <w:p w14:paraId="447D21A6" w14:textId="77777777" w:rsidR="00D83DFC" w:rsidRPr="008C761D" w:rsidRDefault="00D83DFC" w:rsidP="00DE7154">
            <w:pPr>
              <w:tabs>
                <w:tab w:val="left" w:pos="4219"/>
              </w:tabs>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0F80ADDB" w14:textId="77777777" w:rsidR="00D83DFC" w:rsidRPr="008C761D" w:rsidRDefault="00D83DFC" w:rsidP="0044402B">
            <w:pPr>
              <w:numPr>
                <w:ilvl w:val="0"/>
                <w:numId w:val="64"/>
              </w:numPr>
              <w:spacing w:line="240" w:lineRule="auto"/>
              <w:ind w:left="183" w:hanging="183"/>
              <w:jc w:val="both"/>
              <w:rPr>
                <w:rFonts w:cs="Calibri"/>
                <w:sz w:val="20"/>
                <w:szCs w:val="20"/>
                <w:lang w:val="en-US"/>
              </w:rPr>
            </w:pPr>
            <w:r w:rsidRPr="008C761D">
              <w:rPr>
                <w:rFonts w:cs="Calibri"/>
                <w:sz w:val="20"/>
                <w:szCs w:val="20"/>
                <w:lang w:val="en-US"/>
              </w:rPr>
              <w:t>Human potential for implementation.</w:t>
            </w:r>
          </w:p>
        </w:tc>
      </w:tr>
    </w:tbl>
    <w:p w14:paraId="407C9A35" w14:textId="77777777" w:rsidR="0037730E" w:rsidRDefault="0037730E" w:rsidP="00E84CD0">
      <w:pPr>
        <w:spacing w:before="240" w:after="0" w:line="240" w:lineRule="auto"/>
        <w:jc w:val="both"/>
        <w:rPr>
          <w:rFonts w:cs="Calibri"/>
          <w:b/>
          <w:bCs/>
          <w:iCs/>
          <w:color w:val="0070C0"/>
          <w:sz w:val="24"/>
          <w:szCs w:val="24"/>
          <w:lang w:val="en-US"/>
        </w:rPr>
      </w:pPr>
    </w:p>
    <w:p w14:paraId="0E7AA58E" w14:textId="2F7B700E" w:rsidR="0037730E" w:rsidRDefault="0037730E" w:rsidP="00E84CD0">
      <w:pPr>
        <w:spacing w:before="240" w:after="0" w:line="240" w:lineRule="auto"/>
        <w:jc w:val="both"/>
        <w:rPr>
          <w:rFonts w:cs="Calibri"/>
          <w:b/>
          <w:bCs/>
          <w:iCs/>
          <w:color w:val="0070C0"/>
          <w:sz w:val="24"/>
          <w:szCs w:val="24"/>
          <w:lang w:val="en-US"/>
        </w:rPr>
      </w:pPr>
    </w:p>
    <w:p w14:paraId="28A070C9" w14:textId="77777777" w:rsidR="008B148A" w:rsidRDefault="008B148A" w:rsidP="00E84CD0">
      <w:pPr>
        <w:spacing w:before="240" w:after="0" w:line="240" w:lineRule="auto"/>
        <w:jc w:val="both"/>
        <w:rPr>
          <w:rFonts w:cs="Calibri"/>
          <w:b/>
          <w:bCs/>
          <w:iCs/>
          <w:color w:val="0070C0"/>
          <w:sz w:val="24"/>
          <w:szCs w:val="24"/>
          <w:lang w:val="en-US"/>
        </w:rPr>
      </w:pPr>
    </w:p>
    <w:p w14:paraId="6952F333" w14:textId="5619501D" w:rsidR="00790347" w:rsidRPr="0044402B" w:rsidRDefault="008A5C87" w:rsidP="00E84CD0">
      <w:pPr>
        <w:spacing w:before="240" w:after="0" w:line="240" w:lineRule="auto"/>
        <w:jc w:val="both"/>
        <w:rPr>
          <w:rFonts w:cs="Calibri"/>
          <w:b/>
          <w:bCs/>
          <w:iCs/>
          <w:color w:val="0070C0"/>
          <w:sz w:val="24"/>
          <w:szCs w:val="24"/>
          <w:lang w:val="en-US"/>
        </w:rPr>
      </w:pPr>
      <w:r w:rsidRPr="0044402B">
        <w:rPr>
          <w:rFonts w:cs="Calibri"/>
          <w:b/>
          <w:bCs/>
          <w:iCs/>
          <w:color w:val="0070C0"/>
          <w:sz w:val="24"/>
          <w:szCs w:val="24"/>
          <w:lang w:val="en-US"/>
        </w:rPr>
        <w:lastRenderedPageBreak/>
        <w:t>Measure 3</w:t>
      </w:r>
      <w:r w:rsidR="00790347" w:rsidRPr="0044402B">
        <w:rPr>
          <w:rFonts w:cs="Calibri"/>
          <w:b/>
          <w:bCs/>
          <w:iCs/>
          <w:color w:val="0070C0"/>
          <w:sz w:val="24"/>
          <w:szCs w:val="24"/>
          <w:lang w:val="en-US"/>
        </w:rPr>
        <w:t xml:space="preserve">: </w:t>
      </w:r>
      <w:r w:rsidR="006A55CA" w:rsidRPr="0044402B">
        <w:rPr>
          <w:rFonts w:cs="Calibri"/>
          <w:b/>
          <w:bCs/>
          <w:iCs/>
          <w:color w:val="0070C0"/>
          <w:sz w:val="24"/>
          <w:szCs w:val="24"/>
          <w:lang w:val="en-US"/>
        </w:rPr>
        <w:t xml:space="preserve">Introducing </w:t>
      </w:r>
      <w:proofErr w:type="gramStart"/>
      <w:r w:rsidR="006A55CA" w:rsidRPr="0044402B">
        <w:rPr>
          <w:rFonts w:cs="Calibri"/>
          <w:b/>
          <w:bCs/>
          <w:iCs/>
          <w:color w:val="0070C0"/>
          <w:sz w:val="24"/>
          <w:szCs w:val="24"/>
          <w:lang w:val="en-US"/>
        </w:rPr>
        <w:t>performance based</w:t>
      </w:r>
      <w:proofErr w:type="gramEnd"/>
      <w:r w:rsidR="006A55CA" w:rsidRPr="0044402B">
        <w:rPr>
          <w:rFonts w:cs="Calibri"/>
          <w:b/>
          <w:bCs/>
          <w:iCs/>
          <w:color w:val="0070C0"/>
          <w:sz w:val="24"/>
          <w:szCs w:val="24"/>
          <w:lang w:val="en-US"/>
        </w:rPr>
        <w:t xml:space="preserve"> budget</w:t>
      </w:r>
      <w:r w:rsidR="00C71286">
        <w:rPr>
          <w:rFonts w:cs="Calibri"/>
          <w:b/>
          <w:bCs/>
          <w:iCs/>
          <w:color w:val="0070C0"/>
          <w:sz w:val="24"/>
          <w:szCs w:val="24"/>
          <w:lang w:val="en-US"/>
        </w:rPr>
        <w:t xml:space="preserve"> </w:t>
      </w:r>
      <w:r w:rsidR="00C71286" w:rsidRPr="00C71286">
        <w:rPr>
          <w:rFonts w:cs="Calibri"/>
          <w:b/>
          <w:bCs/>
          <w:iCs/>
          <w:color w:val="0070C0"/>
          <w:sz w:val="24"/>
          <w:szCs w:val="24"/>
          <w:lang w:val="en-US"/>
        </w:rPr>
        <w:t>(value for money)</w:t>
      </w:r>
    </w:p>
    <w:p w14:paraId="2E48D241" w14:textId="2CCA1EAC" w:rsidR="00376718" w:rsidRPr="008C761D" w:rsidRDefault="00376718" w:rsidP="00E84CD0">
      <w:pPr>
        <w:spacing w:before="240" w:after="0" w:line="240" w:lineRule="auto"/>
        <w:jc w:val="both"/>
        <w:rPr>
          <w:rFonts w:cs="Calibri"/>
          <w:lang w:val="en-US"/>
        </w:rPr>
      </w:pPr>
      <w:r w:rsidRPr="008C761D">
        <w:rPr>
          <w:rFonts w:cs="Calibri"/>
          <w:lang w:val="en-US"/>
        </w:rPr>
        <w:t>Results-based budgeting, i.e. performance - based budgeting, aimes to improve the efficiency and effectiveness of public expenditures by linking public sector expenditures to the results achieved.</w:t>
      </w:r>
      <w:r w:rsidR="008A5C87">
        <w:rPr>
          <w:rFonts w:cs="Calibri"/>
          <w:lang w:val="en-US"/>
        </w:rPr>
        <w:t xml:space="preserve"> </w:t>
      </w:r>
      <w:r w:rsidRPr="008C761D">
        <w:rPr>
          <w:rFonts w:cs="Calibri"/>
          <w:lang w:val="en-US"/>
        </w:rPr>
        <w:t>Budgeting should not be viewed as an isolated initiative, but rather as part of a set of broader reforms aimed at achieving the results.</w:t>
      </w:r>
    </w:p>
    <w:p w14:paraId="3AB6E294" w14:textId="77777777" w:rsidR="00376718" w:rsidRPr="008C761D" w:rsidRDefault="00376718" w:rsidP="00E84CD0">
      <w:pPr>
        <w:spacing w:before="120" w:after="120" w:line="240" w:lineRule="auto"/>
        <w:jc w:val="both"/>
        <w:rPr>
          <w:rFonts w:eastAsia="MS PGothic" w:cs="Calibri"/>
          <w:lang w:val="en-US" w:eastAsia="zh-CN"/>
        </w:rPr>
      </w:pPr>
      <w:r w:rsidRPr="008C761D">
        <w:rPr>
          <w:rFonts w:eastAsia="MS PGothic" w:cs="Calibri"/>
          <w:lang w:val="en-US" w:eastAsia="zh-CN"/>
        </w:rPr>
        <w:t xml:space="preserve">In its most basic form, results-based budgeting aims to ensure that the key decision and policy makers systematically </w:t>
      </w:r>
      <w:proofErr w:type="gramStart"/>
      <w:r w:rsidRPr="008C761D">
        <w:rPr>
          <w:rFonts w:eastAsia="MS PGothic" w:cs="Calibri"/>
          <w:lang w:val="en-US" w:eastAsia="zh-CN"/>
        </w:rPr>
        <w:t>take into account</w:t>
      </w:r>
      <w:proofErr w:type="gramEnd"/>
      <w:r w:rsidRPr="008C761D">
        <w:rPr>
          <w:rFonts w:eastAsia="MS PGothic" w:cs="Calibri"/>
          <w:lang w:val="en-US" w:eastAsia="zh-CN"/>
        </w:rPr>
        <w:t xml:space="preserve"> the results to be achieved by spending.</w:t>
      </w:r>
    </w:p>
    <w:p w14:paraId="0DB55D29" w14:textId="77777777" w:rsidR="006F5904" w:rsidRPr="0044402B" w:rsidRDefault="006F5904" w:rsidP="006F5904">
      <w:pPr>
        <w:spacing w:after="0" w:line="240" w:lineRule="auto"/>
        <w:jc w:val="both"/>
        <w:rPr>
          <w:rFonts w:cs="Calibri"/>
          <w:color w:val="0070C0"/>
          <w:lang w:val="en-US"/>
        </w:rPr>
      </w:pPr>
      <w:r w:rsidRPr="0044402B">
        <w:rPr>
          <w:rFonts w:cs="Calibri"/>
          <w:b/>
          <w:bCs/>
          <w:iCs/>
          <w:color w:val="0070C0"/>
          <w:lang w:val="en-US"/>
        </w:rPr>
        <w:t>Activity 1: Developing of multi-year indicators for measuring the success in the implementation of budget policies</w:t>
      </w:r>
    </w:p>
    <w:p w14:paraId="638A694F" w14:textId="19C06F46" w:rsidR="00376718" w:rsidRPr="008C761D" w:rsidRDefault="00376718" w:rsidP="00E84CD0">
      <w:pPr>
        <w:spacing w:before="120" w:after="120" w:line="240" w:lineRule="auto"/>
        <w:jc w:val="both"/>
        <w:rPr>
          <w:rFonts w:eastAsia="MS PGothic" w:cs="Calibri"/>
          <w:lang w:val="en-US" w:eastAsia="zh-CN"/>
        </w:rPr>
      </w:pPr>
      <w:r w:rsidRPr="008C761D">
        <w:rPr>
          <w:rFonts w:eastAsia="MS PGothic" w:cs="Calibri"/>
          <w:lang w:val="en-US" w:eastAsia="zh-CN"/>
        </w:rPr>
        <w:t>Results-based budgeting fits within the medium-term budget framework.</w:t>
      </w:r>
      <w:r w:rsidR="008A5C87">
        <w:rPr>
          <w:rFonts w:eastAsia="MS PGothic" w:cs="Calibri"/>
          <w:lang w:val="en-US" w:eastAsia="zh-CN"/>
        </w:rPr>
        <w:t xml:space="preserve"> </w:t>
      </w:r>
      <w:r w:rsidRPr="008C761D">
        <w:rPr>
          <w:rFonts w:eastAsia="MS PGothic" w:cs="Calibri"/>
          <w:lang w:val="en-US" w:eastAsia="zh-CN"/>
        </w:rPr>
        <w:t>The best way to improve the spending policy is to make use of the performance information. To achieve this, a concept should be applied, including clearly defined:</w:t>
      </w:r>
    </w:p>
    <w:p w14:paraId="4FF6F5E8" w14:textId="77777777" w:rsidR="00376718" w:rsidRPr="008C761D" w:rsidRDefault="00376718" w:rsidP="003A338C">
      <w:pPr>
        <w:numPr>
          <w:ilvl w:val="0"/>
          <w:numId w:val="65"/>
        </w:numPr>
        <w:spacing w:before="120" w:after="0" w:line="240" w:lineRule="auto"/>
        <w:jc w:val="both"/>
        <w:rPr>
          <w:rFonts w:eastAsia="MS PGothic" w:cs="Calibri"/>
          <w:lang w:val="en-US" w:eastAsia="zh-CN"/>
        </w:rPr>
      </w:pPr>
      <w:r w:rsidRPr="008C761D">
        <w:rPr>
          <w:rFonts w:eastAsia="MS PGothic" w:cs="Calibri"/>
          <w:lang w:val="en-US" w:eastAsia="zh-CN"/>
        </w:rPr>
        <w:t>General objectives (linked with the policies);</w:t>
      </w:r>
    </w:p>
    <w:p w14:paraId="5044A8EF" w14:textId="77777777" w:rsidR="00376718" w:rsidRPr="008C761D" w:rsidRDefault="00376718" w:rsidP="003A338C">
      <w:pPr>
        <w:numPr>
          <w:ilvl w:val="0"/>
          <w:numId w:val="65"/>
        </w:numPr>
        <w:spacing w:before="120" w:after="0" w:line="240" w:lineRule="auto"/>
        <w:jc w:val="both"/>
        <w:rPr>
          <w:rFonts w:eastAsia="MS PGothic" w:cs="Calibri"/>
          <w:lang w:val="en-US" w:eastAsia="zh-CN"/>
        </w:rPr>
      </w:pPr>
      <w:r w:rsidRPr="008C761D">
        <w:rPr>
          <w:rFonts w:eastAsia="MS PGothic" w:cs="Calibri"/>
          <w:lang w:val="en-US" w:eastAsia="zh-CN"/>
        </w:rPr>
        <w:t>Specific objectives (linked with programmes);</w:t>
      </w:r>
    </w:p>
    <w:p w14:paraId="7511C8FD" w14:textId="77777777" w:rsidR="00376718" w:rsidRPr="008C761D" w:rsidRDefault="00376718" w:rsidP="003A338C">
      <w:pPr>
        <w:numPr>
          <w:ilvl w:val="0"/>
          <w:numId w:val="65"/>
        </w:numPr>
        <w:spacing w:before="120" w:after="0" w:line="240" w:lineRule="auto"/>
        <w:jc w:val="both"/>
        <w:rPr>
          <w:rFonts w:eastAsia="MS PGothic" w:cs="Calibri"/>
          <w:lang w:val="en-US" w:eastAsia="zh-CN"/>
        </w:rPr>
      </w:pPr>
      <w:r w:rsidRPr="008C761D">
        <w:rPr>
          <w:rFonts w:eastAsia="MS PGothic" w:cs="Calibri"/>
          <w:lang w:val="en-US" w:eastAsia="zh-CN"/>
        </w:rPr>
        <w:t>Оutput, i.e. indicators (linked with sub-programmes).</w:t>
      </w:r>
    </w:p>
    <w:p w14:paraId="46588EE4" w14:textId="77777777" w:rsidR="00376718" w:rsidRPr="008C761D" w:rsidRDefault="00376718" w:rsidP="00E84CD0">
      <w:pPr>
        <w:spacing w:before="120" w:after="0" w:line="240" w:lineRule="auto"/>
        <w:jc w:val="both"/>
        <w:rPr>
          <w:rFonts w:cs="Calibri"/>
          <w:lang w:val="en-US"/>
        </w:rPr>
      </w:pPr>
      <w:r w:rsidRPr="008C761D">
        <w:rPr>
          <w:rFonts w:eastAsia="Times New Roman" w:cs="Calibri"/>
          <w:color w:val="000000"/>
          <w:lang w:val="en-US" w:eastAsia="en-GB"/>
        </w:rPr>
        <w:t>The general objective defines the final state to be achieved.</w:t>
      </w:r>
    </w:p>
    <w:p w14:paraId="4E6E99C4" w14:textId="172A2218" w:rsidR="00376718" w:rsidRPr="008C761D" w:rsidRDefault="00376718" w:rsidP="00E84CD0">
      <w:pPr>
        <w:spacing w:before="120" w:after="0" w:line="240" w:lineRule="auto"/>
        <w:jc w:val="both"/>
        <w:rPr>
          <w:rFonts w:cs="Calibri"/>
          <w:lang w:val="en-US"/>
        </w:rPr>
      </w:pPr>
      <w:r w:rsidRPr="008C761D">
        <w:rPr>
          <w:rFonts w:cs="Calibri"/>
          <w:lang w:val="en-US"/>
        </w:rPr>
        <w:t xml:space="preserve">The general objective is measured through </w:t>
      </w:r>
      <w:r w:rsidRPr="008C761D">
        <w:rPr>
          <w:rFonts w:cs="Calibri"/>
          <w:b/>
          <w:lang w:val="en-US"/>
        </w:rPr>
        <w:t>impact indicators</w:t>
      </w:r>
      <w:r w:rsidR="00DF185F" w:rsidRPr="008C761D">
        <w:rPr>
          <w:rFonts w:cs="Calibri"/>
          <w:b/>
          <w:lang w:val="en-US"/>
        </w:rPr>
        <w:t xml:space="preserve"> </w:t>
      </w:r>
      <w:r w:rsidRPr="008C761D">
        <w:rPr>
          <w:rFonts w:cs="Calibri"/>
          <w:b/>
          <w:lang w:val="en-US"/>
        </w:rPr>
        <w:t>(policy level)</w:t>
      </w:r>
      <w:r w:rsidRPr="008C761D">
        <w:rPr>
          <w:rFonts w:cs="Calibri"/>
          <w:lang w:val="en-US"/>
        </w:rPr>
        <w:t xml:space="preserve"> – </w:t>
      </w:r>
      <w:r w:rsidR="008A5C87" w:rsidRPr="008C761D">
        <w:rPr>
          <w:rFonts w:cs="Calibri"/>
          <w:lang w:val="en-US"/>
        </w:rPr>
        <w:t>indicators</w:t>
      </w:r>
      <w:r w:rsidRPr="008C761D">
        <w:rPr>
          <w:rFonts w:cs="Calibri"/>
          <w:lang w:val="en-US"/>
        </w:rPr>
        <w:t xml:space="preserve"> for measuring long-term effects, and they generally measure the impact of a set of measures.</w:t>
      </w:r>
      <w:r w:rsidR="008A5C87">
        <w:rPr>
          <w:rFonts w:cs="Calibri"/>
          <w:lang w:val="en-US"/>
        </w:rPr>
        <w:t xml:space="preserve"> </w:t>
      </w:r>
      <w:r w:rsidRPr="008C761D">
        <w:rPr>
          <w:rFonts w:cs="Calibri"/>
          <w:lang w:val="en-US"/>
        </w:rPr>
        <w:t>Target value of these indicators are determined yearly or for the period covered by the medium-term strategies.</w:t>
      </w:r>
    </w:p>
    <w:p w14:paraId="040DE559" w14:textId="388350A8" w:rsidR="00376718" w:rsidRPr="008C761D" w:rsidRDefault="00376718" w:rsidP="00E84CD0">
      <w:pPr>
        <w:spacing w:before="120" w:after="0" w:line="240" w:lineRule="auto"/>
        <w:jc w:val="both"/>
        <w:rPr>
          <w:rFonts w:cs="Calibri"/>
          <w:lang w:val="en-US"/>
        </w:rPr>
      </w:pPr>
      <w:r w:rsidRPr="008C761D">
        <w:rPr>
          <w:rFonts w:cs="Calibri"/>
          <w:lang w:val="en-US"/>
        </w:rPr>
        <w:t xml:space="preserve">Specific </w:t>
      </w:r>
      <w:r w:rsidR="008A5C87" w:rsidRPr="008C761D">
        <w:rPr>
          <w:rFonts w:cs="Calibri"/>
          <w:lang w:val="en-US"/>
        </w:rPr>
        <w:t>objectives</w:t>
      </w:r>
      <w:r w:rsidRPr="008C761D">
        <w:rPr>
          <w:rFonts w:cs="Calibri"/>
          <w:lang w:val="en-US"/>
        </w:rPr>
        <w:t xml:space="preserve"> of the programmes support the general objectives of the respective policy.</w:t>
      </w:r>
      <w:r w:rsidR="008A5C87">
        <w:rPr>
          <w:rFonts w:cs="Calibri"/>
          <w:lang w:val="en-US"/>
        </w:rPr>
        <w:t xml:space="preserve"> </w:t>
      </w:r>
      <w:r w:rsidRPr="008C761D">
        <w:rPr>
          <w:rFonts w:cs="Calibri"/>
          <w:lang w:val="en-US"/>
        </w:rPr>
        <w:t>With respect to each programme, it is necessary to define 1-3 specific objectives.</w:t>
      </w:r>
      <w:r w:rsidR="008A5C87">
        <w:rPr>
          <w:rFonts w:cs="Calibri"/>
          <w:lang w:val="en-US"/>
        </w:rPr>
        <w:t xml:space="preserve"> </w:t>
      </w:r>
      <w:r w:rsidRPr="008C761D">
        <w:rPr>
          <w:rFonts w:cs="Calibri"/>
          <w:b/>
          <w:lang w:val="en-US"/>
        </w:rPr>
        <w:t xml:space="preserve">Outcome indicators (program level) </w:t>
      </w:r>
      <w:r w:rsidRPr="008C761D">
        <w:rPr>
          <w:rFonts w:cs="Calibri"/>
          <w:lang w:val="en-US"/>
        </w:rPr>
        <w:t xml:space="preserve">– indicators for measuring medium-term or long-term effects of specific government measures and projects, which are presented as broader socio-economic consequences at programme </w:t>
      </w:r>
      <w:r w:rsidR="008A5C87" w:rsidRPr="008C761D">
        <w:rPr>
          <w:rFonts w:cs="Calibri"/>
          <w:lang w:val="en-US"/>
        </w:rPr>
        <w:t>level. Target</w:t>
      </w:r>
      <w:r w:rsidRPr="008C761D">
        <w:rPr>
          <w:rFonts w:cs="Calibri"/>
          <w:lang w:val="en-US"/>
        </w:rPr>
        <w:t xml:space="preserve"> value of these indicators are determined yearly or for the period covered by the medium-term strategies.</w:t>
      </w:r>
    </w:p>
    <w:p w14:paraId="24244573" w14:textId="324DA644" w:rsidR="00376718" w:rsidRPr="008C761D" w:rsidRDefault="00376718" w:rsidP="00E84CD0">
      <w:pPr>
        <w:spacing w:before="120" w:after="120" w:line="240" w:lineRule="auto"/>
        <w:jc w:val="both"/>
        <w:rPr>
          <w:rFonts w:eastAsia="MS PGothic" w:cs="Calibri"/>
          <w:lang w:val="en-US" w:eastAsia="zh-CN"/>
        </w:rPr>
      </w:pPr>
      <w:r w:rsidRPr="008C761D">
        <w:rPr>
          <w:rFonts w:eastAsia="MS PGothic" w:cs="Calibri"/>
          <w:lang w:val="en-US" w:eastAsia="zh-CN"/>
        </w:rPr>
        <w:t xml:space="preserve">There should be 1-3 objectives as expected results (indicators) under each sub-programme. The indicator gives thorough description of what we want to achieve over a certain time period, displaying the expected results as values. They are the basis for measuring and monitoring the SMART objectives. While setting them, </w:t>
      </w:r>
      <w:r w:rsidR="008A5C87" w:rsidRPr="008C761D">
        <w:rPr>
          <w:rFonts w:eastAsia="MS PGothic" w:cs="Calibri"/>
          <w:lang w:val="en-US" w:eastAsia="zh-CN"/>
        </w:rPr>
        <w:t>different</w:t>
      </w:r>
      <w:r w:rsidRPr="008C761D">
        <w:rPr>
          <w:rFonts w:eastAsia="MS PGothic" w:cs="Calibri"/>
          <w:lang w:val="en-US" w:eastAsia="zh-CN"/>
        </w:rPr>
        <w:t xml:space="preserve"> types of indicators may be used, depending on the level of detail of the objective. Objectives should have at least one </w:t>
      </w:r>
      <w:proofErr w:type="gramStart"/>
      <w:r w:rsidRPr="008C761D">
        <w:rPr>
          <w:rFonts w:eastAsia="MS PGothic" w:cs="Calibri"/>
          <w:lang w:val="en-US" w:eastAsia="zh-CN"/>
        </w:rPr>
        <w:t>indicators</w:t>
      </w:r>
      <w:proofErr w:type="gramEnd"/>
      <w:r w:rsidRPr="008C761D">
        <w:rPr>
          <w:rFonts w:eastAsia="MS PGothic" w:cs="Calibri"/>
          <w:lang w:val="en-US" w:eastAsia="zh-CN"/>
        </w:rPr>
        <w:t xml:space="preserve"> so as to be measured and monitored by:</w:t>
      </w:r>
    </w:p>
    <w:p w14:paraId="1E891682" w14:textId="48D8C2B3" w:rsidR="00376718" w:rsidRPr="0044402B" w:rsidRDefault="00376718" w:rsidP="00E84CD0">
      <w:pPr>
        <w:spacing w:after="0" w:line="240" w:lineRule="auto"/>
        <w:jc w:val="both"/>
        <w:rPr>
          <w:rFonts w:cs="Calibri"/>
          <w:lang w:val="en-US"/>
        </w:rPr>
      </w:pPr>
      <w:r w:rsidRPr="0044402B">
        <w:rPr>
          <w:rFonts w:cs="Calibri"/>
          <w:lang w:val="en-US"/>
        </w:rPr>
        <w:t xml:space="preserve">Input indicator is the total sum of budget spent for a </w:t>
      </w:r>
      <w:r w:rsidR="008A5C87" w:rsidRPr="0044402B">
        <w:rPr>
          <w:rFonts w:cs="Calibri"/>
          <w:lang w:val="en-US"/>
        </w:rPr>
        <w:t>specific</w:t>
      </w:r>
      <w:r w:rsidR="00C640AE" w:rsidRPr="0044402B">
        <w:rPr>
          <w:rFonts w:cs="Calibri"/>
          <w:lang w:val="en-US"/>
        </w:rPr>
        <w:t xml:space="preserve"> </w:t>
      </w:r>
      <w:r w:rsidRPr="0044402B">
        <w:rPr>
          <w:rFonts w:cs="Calibri"/>
          <w:lang w:val="en-US"/>
        </w:rPr>
        <w:t>objective;</w:t>
      </w:r>
    </w:p>
    <w:p w14:paraId="0C3148E1" w14:textId="19D18529" w:rsidR="00376718" w:rsidRPr="0044402B" w:rsidRDefault="008A5C87" w:rsidP="00E84CD0">
      <w:pPr>
        <w:spacing w:after="0" w:line="240" w:lineRule="auto"/>
        <w:jc w:val="both"/>
        <w:rPr>
          <w:rFonts w:cs="Calibri"/>
          <w:lang w:val="en-US"/>
        </w:rPr>
      </w:pPr>
      <w:r w:rsidRPr="0044402B">
        <w:rPr>
          <w:rFonts w:cs="Calibri"/>
          <w:lang w:val="en-US"/>
        </w:rPr>
        <w:t>Output indicator</w:t>
      </w:r>
      <w:r w:rsidR="00376718" w:rsidRPr="0044402B">
        <w:rPr>
          <w:rFonts w:cs="Calibri"/>
          <w:lang w:val="en-US"/>
        </w:rPr>
        <w:t xml:space="preserve"> (sub-programme level) - indicator that measures specific results - outputs (direct effects of measures or projects), supporting the realisation of the specific </w:t>
      </w:r>
      <w:r w:rsidRPr="0044402B">
        <w:rPr>
          <w:rFonts w:cs="Calibri"/>
          <w:lang w:val="en-US"/>
        </w:rPr>
        <w:t>objectives. Target</w:t>
      </w:r>
      <w:r w:rsidR="00376718" w:rsidRPr="0044402B">
        <w:rPr>
          <w:rFonts w:cs="Calibri"/>
          <w:lang w:val="en-US"/>
        </w:rPr>
        <w:t xml:space="preserve"> value of these indicators are determined yearly or for the period covered by the medium-term strategies.</w:t>
      </w:r>
    </w:p>
    <w:p w14:paraId="59C5966F" w14:textId="77777777" w:rsidR="00376718" w:rsidRPr="008C761D" w:rsidRDefault="00376718" w:rsidP="00E84CD0">
      <w:pPr>
        <w:spacing w:after="0" w:line="240" w:lineRule="auto"/>
        <w:ind w:left="360"/>
        <w:jc w:val="both"/>
        <w:rPr>
          <w:rFonts w:cs="Calibri"/>
          <w:sz w:val="20"/>
          <w:szCs w:val="20"/>
          <w:lang w:val="en-US"/>
        </w:rPr>
      </w:pPr>
    </w:p>
    <w:p w14:paraId="48F00CBC" w14:textId="77777777" w:rsidR="006F5904" w:rsidRPr="0044402B" w:rsidRDefault="006F5904" w:rsidP="006F5904">
      <w:pPr>
        <w:spacing w:after="0" w:line="240" w:lineRule="auto"/>
        <w:jc w:val="both"/>
        <w:rPr>
          <w:rFonts w:cs="Calibri"/>
          <w:b/>
          <w:bCs/>
          <w:iCs/>
          <w:color w:val="0070C0"/>
          <w:lang w:val="en-US"/>
        </w:rPr>
      </w:pPr>
      <w:r w:rsidRPr="0044402B">
        <w:rPr>
          <w:rFonts w:cs="Calibri"/>
          <w:b/>
          <w:bCs/>
          <w:iCs/>
          <w:color w:val="0070C0"/>
          <w:lang w:val="en-US"/>
        </w:rPr>
        <w:t>Activity 2: Preparing procedures for monitoring the impact of sectoral policies on performance indicators</w:t>
      </w:r>
    </w:p>
    <w:p w14:paraId="6A328C64" w14:textId="77777777" w:rsidR="00376718" w:rsidRPr="008C761D" w:rsidRDefault="00376718" w:rsidP="00E84CD0">
      <w:pPr>
        <w:spacing w:before="20" w:after="20" w:line="240" w:lineRule="auto"/>
        <w:jc w:val="both"/>
        <w:rPr>
          <w:rFonts w:eastAsia="Times New Roman" w:cs="Calibri"/>
          <w:color w:val="000000"/>
          <w:sz w:val="20"/>
          <w:szCs w:val="20"/>
          <w:lang w:val="en-US" w:eastAsia="en-GB"/>
        </w:rPr>
      </w:pPr>
      <w:r w:rsidRPr="008C761D">
        <w:rPr>
          <w:rFonts w:eastAsia="Times New Roman" w:cs="Calibri"/>
          <w:color w:val="000000"/>
          <w:sz w:val="20"/>
          <w:szCs w:val="20"/>
          <w:lang w:val="en-US" w:eastAsia="en-GB"/>
        </w:rPr>
        <w:t> </w:t>
      </w:r>
    </w:p>
    <w:p w14:paraId="40F0DFE6" w14:textId="28E54B2A" w:rsidR="00790347" w:rsidRPr="008C761D" w:rsidRDefault="00790347" w:rsidP="00790347">
      <w:pPr>
        <w:spacing w:before="20" w:after="20" w:line="240" w:lineRule="auto"/>
        <w:jc w:val="both"/>
        <w:rPr>
          <w:rFonts w:eastAsia="Times New Roman" w:cs="Calibri"/>
          <w:color w:val="000000"/>
          <w:lang w:val="en-US" w:eastAsia="en-GB"/>
        </w:rPr>
      </w:pPr>
      <w:r w:rsidRPr="008C761D">
        <w:rPr>
          <w:rFonts w:eastAsia="Times New Roman" w:cs="Calibri"/>
          <w:color w:val="000000"/>
          <w:lang w:val="en-US" w:eastAsia="en-GB"/>
        </w:rPr>
        <w:t xml:space="preserve">Through performance-based budgeting, key decision-makers and policy-makers are expected to systematically </w:t>
      </w:r>
      <w:proofErr w:type="gramStart"/>
      <w:r w:rsidRPr="008C761D">
        <w:rPr>
          <w:rFonts w:eastAsia="Times New Roman" w:cs="Calibri"/>
          <w:color w:val="000000"/>
          <w:lang w:val="en-US" w:eastAsia="en-GB"/>
        </w:rPr>
        <w:t>take into account</w:t>
      </w:r>
      <w:proofErr w:type="gramEnd"/>
      <w:r w:rsidRPr="008C761D">
        <w:rPr>
          <w:rFonts w:eastAsia="Times New Roman" w:cs="Calibri"/>
          <w:color w:val="000000"/>
          <w:lang w:val="en-US" w:eastAsia="en-GB"/>
        </w:rPr>
        <w:t xml:space="preserve"> the results to be achieved when making expenditures. The best way to improve expenditure policy making is by using sustainability data.</w:t>
      </w:r>
    </w:p>
    <w:p w14:paraId="35B5459D" w14:textId="32212D6B" w:rsidR="00790347" w:rsidRPr="008C761D" w:rsidRDefault="00790347" w:rsidP="00790347">
      <w:pPr>
        <w:suppressAutoHyphens/>
        <w:spacing w:after="0" w:line="240" w:lineRule="auto"/>
        <w:jc w:val="both"/>
        <w:rPr>
          <w:rFonts w:eastAsia="Times New Roman" w:cs="Calibri"/>
          <w:lang w:val="en-US" w:eastAsia="ar-SA"/>
        </w:rPr>
      </w:pPr>
      <w:r w:rsidRPr="008C761D">
        <w:rPr>
          <w:rFonts w:eastAsia="Times New Roman" w:cs="Calibri"/>
          <w:color w:val="000000"/>
          <w:lang w:val="en-US" w:eastAsia="en-GB"/>
        </w:rPr>
        <w:t xml:space="preserve">The development of procedures in the direction of monitoring multi-year indicators for measuring the success in the implementation of policies in the budget is aimed at measuring the effects of budget expenditures in relation to the results of the provision of public goods and services by budget </w:t>
      </w:r>
      <w:r w:rsidRPr="008C761D">
        <w:rPr>
          <w:rFonts w:eastAsia="Times New Roman" w:cs="Calibri"/>
          <w:color w:val="000000"/>
          <w:lang w:val="en-US" w:eastAsia="en-GB"/>
        </w:rPr>
        <w:lastRenderedPageBreak/>
        <w:t>users. In this direction, a predictable and sustainable fiscal policy is expected, as well as increased budget discipline and responsibility. Fiscal policy focused on the consolidation of public expenditures through a gradual reduction of the deficit level, as well as the redesign of public expenditures through extensive investments in the area of infrastructure, is the ultimate goal of the entire process.</w:t>
      </w:r>
    </w:p>
    <w:p w14:paraId="063C5B66" w14:textId="77777777" w:rsidR="00376718" w:rsidRPr="008C761D" w:rsidRDefault="00376718" w:rsidP="00E84CD0">
      <w:pPr>
        <w:spacing w:before="160" w:after="60" w:line="240" w:lineRule="auto"/>
        <w:jc w:val="both"/>
        <w:outlineLvl w:val="3"/>
        <w:rPr>
          <w:rFonts w:eastAsia="Times New Roman" w:cs="Calibri"/>
          <w:b/>
          <w:bCs/>
          <w:color w:val="000000"/>
          <w:sz w:val="20"/>
          <w:szCs w:val="20"/>
          <w:lang w:val="en-US" w:eastAsia="en-GB"/>
        </w:rPr>
      </w:pPr>
      <w:r w:rsidRPr="008C761D">
        <w:rPr>
          <w:rFonts w:eastAsia="Times New Roman" w:cs="Calibri"/>
          <w:b/>
          <w:bCs/>
          <w:i/>
          <w:iCs/>
          <w:color w:val="4F81BD"/>
          <w:sz w:val="20"/>
          <w:szCs w:val="20"/>
          <w:lang w:val="en-US" w:eastAsia="en-GB"/>
        </w:rPr>
        <w:t>Implementation</w:t>
      </w:r>
    </w:p>
    <w:tbl>
      <w:tblPr>
        <w:tblW w:w="0" w:type="auto"/>
        <w:tblCellMar>
          <w:left w:w="0" w:type="dxa"/>
          <w:right w:w="0" w:type="dxa"/>
        </w:tblCellMar>
        <w:tblLook w:val="04A0" w:firstRow="1" w:lastRow="0" w:firstColumn="1" w:lastColumn="0" w:noHBand="0" w:noVBand="1"/>
      </w:tblPr>
      <w:tblGrid>
        <w:gridCol w:w="2302"/>
        <w:gridCol w:w="6030"/>
      </w:tblGrid>
      <w:tr w:rsidR="00376718" w:rsidRPr="008C761D" w14:paraId="2C847826" w14:textId="77777777" w:rsidTr="0044402B">
        <w:tc>
          <w:tcPr>
            <w:tcW w:w="2302" w:type="dxa"/>
            <w:tcBorders>
              <w:bottom w:val="single" w:sz="6" w:space="0" w:color="FFFFFF"/>
            </w:tcBorders>
            <w:shd w:val="clear" w:color="auto" w:fill="2F5496"/>
            <w:tcMar>
              <w:top w:w="0" w:type="dxa"/>
              <w:left w:w="108" w:type="dxa"/>
              <w:bottom w:w="0" w:type="dxa"/>
              <w:right w:w="108" w:type="dxa"/>
            </w:tcMar>
            <w:hideMark/>
          </w:tcPr>
          <w:p w14:paraId="548B16D8" w14:textId="4FEC9B83"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Completed</w:t>
            </w:r>
            <w:r w:rsidR="008A5C87">
              <w:rPr>
                <w:b/>
                <w:color w:val="FFFFFF"/>
                <w:sz w:val="20"/>
                <w:szCs w:val="20"/>
                <w:lang w:val="en-US"/>
              </w:rPr>
              <w:t xml:space="preserve"> </w:t>
            </w:r>
            <w:r w:rsidRPr="008C761D">
              <w:rPr>
                <w:b/>
                <w:color w:val="FFFFFF"/>
                <w:sz w:val="20"/>
                <w:szCs w:val="20"/>
                <w:lang w:val="en-US"/>
              </w:rPr>
              <w:t>in</w:t>
            </w:r>
            <w:r w:rsidR="008A5C87">
              <w:rPr>
                <w:b/>
                <w:color w:val="FFFFFF"/>
                <w:sz w:val="20"/>
                <w:szCs w:val="20"/>
                <w:lang w:val="en-US"/>
              </w:rPr>
              <w:t xml:space="preserve"> </w:t>
            </w:r>
            <w:r w:rsidRPr="008C761D">
              <w:rPr>
                <w:b/>
                <w:color w:val="FFFFFF"/>
                <w:sz w:val="20"/>
                <w:szCs w:val="20"/>
                <w:lang w:val="en-US"/>
              </w:rPr>
              <w:t>year:</w:t>
            </w:r>
          </w:p>
        </w:tc>
        <w:tc>
          <w:tcPr>
            <w:tcW w:w="6030" w:type="dxa"/>
            <w:tcBorders>
              <w:bottom w:val="single" w:sz="6" w:space="0" w:color="FFFFFF"/>
            </w:tcBorders>
            <w:shd w:val="clear" w:color="auto" w:fill="D9E2F3"/>
            <w:tcMar>
              <w:top w:w="0" w:type="dxa"/>
              <w:left w:w="108" w:type="dxa"/>
              <w:bottom w:w="0" w:type="dxa"/>
              <w:right w:w="108" w:type="dxa"/>
            </w:tcMar>
            <w:hideMark/>
          </w:tcPr>
          <w:p w14:paraId="76F83E8C" w14:textId="77777777" w:rsidR="00376718" w:rsidRPr="008C761D" w:rsidRDefault="00936202"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202</w:t>
            </w:r>
            <w:r w:rsidR="00A13E9D" w:rsidRPr="008C761D">
              <w:rPr>
                <w:rFonts w:eastAsia="Times New Roman" w:cs="Calibri"/>
                <w:sz w:val="20"/>
                <w:szCs w:val="20"/>
                <w:lang w:val="en-US" w:eastAsia="en-GB"/>
              </w:rPr>
              <w:t>7</w:t>
            </w:r>
          </w:p>
        </w:tc>
      </w:tr>
      <w:tr w:rsidR="00376718" w:rsidRPr="008C761D" w14:paraId="514EF8EF" w14:textId="77777777" w:rsidTr="0044402B">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710203DF" w14:textId="77777777"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Deliverables: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755B7972" w14:textId="40B2A2B8" w:rsidR="00376718" w:rsidRPr="0044402B" w:rsidRDefault="006F5904" w:rsidP="0044402B">
            <w:pPr>
              <w:pStyle w:val="ListParagraph"/>
              <w:numPr>
                <w:ilvl w:val="0"/>
                <w:numId w:val="65"/>
              </w:numPr>
              <w:tabs>
                <w:tab w:val="left" w:pos="5796"/>
              </w:tabs>
              <w:spacing w:after="0" w:line="240" w:lineRule="auto"/>
              <w:ind w:left="126" w:hanging="157"/>
              <w:rPr>
                <w:rFonts w:eastAsia="Times New Roman" w:cs="Calibri"/>
                <w:sz w:val="20"/>
                <w:szCs w:val="20"/>
                <w:lang w:val="en-US" w:eastAsia="en-GB"/>
              </w:rPr>
            </w:pPr>
            <w:r w:rsidRPr="0044402B">
              <w:rPr>
                <w:rFonts w:eastAsia="Times New Roman" w:cs="Calibri"/>
                <w:sz w:val="20"/>
                <w:szCs w:val="20"/>
                <w:lang w:val="en-US" w:eastAsia="en-GB"/>
              </w:rPr>
              <w:t>Budget in accordance with the provisions of the new OBL.</w:t>
            </w:r>
          </w:p>
        </w:tc>
      </w:tr>
      <w:tr w:rsidR="00376718" w:rsidRPr="008C761D" w14:paraId="392A5AB9" w14:textId="77777777" w:rsidTr="0044402B">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5DB0BFAA" w14:textId="298DEB93"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Costs</w:t>
            </w:r>
            <w:r w:rsidR="008A5C87">
              <w:rPr>
                <w:b/>
                <w:color w:val="FFFFFF"/>
                <w:sz w:val="20"/>
                <w:szCs w:val="20"/>
                <w:lang w:val="en-US"/>
              </w:rPr>
              <w:t xml:space="preserve"> </w:t>
            </w:r>
            <w:r w:rsidRPr="008C761D">
              <w:rPr>
                <w:b/>
                <w:color w:val="FFFFFF"/>
                <w:sz w:val="20"/>
                <w:szCs w:val="20"/>
                <w:lang w:val="en-US"/>
              </w:rPr>
              <w:t>implications: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60B5CA9A" w14:textId="57077FAB" w:rsidR="00376718" w:rsidRPr="008C761D" w:rsidRDefault="00376718"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EUR 16</w:t>
            </w:r>
            <w:r w:rsidR="00E4444B" w:rsidRPr="008C761D">
              <w:rPr>
                <w:rFonts w:eastAsia="Times New Roman" w:cs="Calibri"/>
                <w:sz w:val="20"/>
                <w:szCs w:val="20"/>
                <w:lang w:val="en-US" w:eastAsia="en-GB"/>
              </w:rPr>
              <w:t>6</w:t>
            </w:r>
            <w:r w:rsidRPr="008C761D">
              <w:rPr>
                <w:rFonts w:eastAsia="Times New Roman" w:cs="Calibri"/>
                <w:sz w:val="20"/>
                <w:szCs w:val="20"/>
                <w:lang w:val="en-US" w:eastAsia="en-GB"/>
              </w:rPr>
              <w:t xml:space="preserve">,000 </w:t>
            </w:r>
          </w:p>
        </w:tc>
      </w:tr>
      <w:tr w:rsidR="00376718" w:rsidRPr="008C761D" w14:paraId="12869022" w14:textId="77777777" w:rsidTr="0044402B">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28E750D0" w14:textId="05E51423"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Responsible</w:t>
            </w:r>
            <w:r w:rsidR="008A5C87">
              <w:rPr>
                <w:b/>
                <w:color w:val="FFFFFF"/>
                <w:sz w:val="20"/>
                <w:szCs w:val="20"/>
                <w:lang w:val="en-US"/>
              </w:rPr>
              <w:t xml:space="preserve"> </w:t>
            </w:r>
            <w:r w:rsidRPr="008C761D">
              <w:rPr>
                <w:b/>
                <w:color w:val="FFFFFF"/>
                <w:sz w:val="20"/>
                <w:szCs w:val="20"/>
                <w:lang w:val="en-US"/>
              </w:rPr>
              <w:t xml:space="preserve">entity: </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4D13FABA" w14:textId="49D70D7C" w:rsidR="00376718" w:rsidRPr="008C761D" w:rsidRDefault="00376718"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Ministry</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of</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Finance-Budgets</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and</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Funds Department</w:t>
            </w:r>
          </w:p>
        </w:tc>
      </w:tr>
      <w:tr w:rsidR="00376718" w:rsidRPr="008C761D" w14:paraId="730AB96C" w14:textId="77777777" w:rsidTr="0044402B">
        <w:trPr>
          <w:trHeight w:val="70"/>
        </w:trPr>
        <w:tc>
          <w:tcPr>
            <w:tcW w:w="2302" w:type="dxa"/>
            <w:tcBorders>
              <w:top w:val="single" w:sz="6" w:space="0" w:color="FFFFFF"/>
            </w:tcBorders>
            <w:shd w:val="clear" w:color="auto" w:fill="2F5496"/>
            <w:tcMar>
              <w:top w:w="0" w:type="dxa"/>
              <w:left w:w="108" w:type="dxa"/>
              <w:bottom w:w="0" w:type="dxa"/>
              <w:right w:w="108" w:type="dxa"/>
            </w:tcMar>
            <w:hideMark/>
          </w:tcPr>
          <w:p w14:paraId="4F5424AB" w14:textId="77777777"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Risk:</w:t>
            </w:r>
          </w:p>
        </w:tc>
        <w:tc>
          <w:tcPr>
            <w:tcW w:w="6030" w:type="dxa"/>
            <w:tcBorders>
              <w:top w:val="single" w:sz="6" w:space="0" w:color="FFFFFF"/>
            </w:tcBorders>
            <w:shd w:val="clear" w:color="auto" w:fill="D9E2F3"/>
            <w:tcMar>
              <w:top w:w="0" w:type="dxa"/>
              <w:left w:w="108" w:type="dxa"/>
              <w:bottom w:w="0" w:type="dxa"/>
              <w:right w:w="108" w:type="dxa"/>
            </w:tcMar>
            <w:hideMark/>
          </w:tcPr>
          <w:p w14:paraId="6A0F966D" w14:textId="05322159" w:rsidR="00376718" w:rsidRPr="008C761D" w:rsidRDefault="006F5904" w:rsidP="0044402B">
            <w:pPr>
              <w:numPr>
                <w:ilvl w:val="0"/>
                <w:numId w:val="65"/>
              </w:numPr>
              <w:spacing w:after="0" w:line="240" w:lineRule="auto"/>
              <w:ind w:left="126" w:hanging="180"/>
              <w:jc w:val="both"/>
              <w:rPr>
                <w:rFonts w:eastAsia="Times New Roman" w:cs="Calibri"/>
                <w:sz w:val="20"/>
                <w:szCs w:val="20"/>
                <w:lang w:val="en-US" w:eastAsia="en-GB"/>
              </w:rPr>
            </w:pPr>
            <w:r w:rsidRPr="008C761D">
              <w:rPr>
                <w:rFonts w:eastAsia="Times New Roman" w:cs="Calibri"/>
                <w:sz w:val="20"/>
                <w:szCs w:val="20"/>
                <w:lang w:val="en-US" w:eastAsia="en-GB"/>
              </w:rPr>
              <w:t>Human potential for implementation.</w:t>
            </w:r>
          </w:p>
        </w:tc>
      </w:tr>
    </w:tbl>
    <w:p w14:paraId="2FE9FF0C" w14:textId="06A96B2D" w:rsidR="00376718" w:rsidRPr="008C761D" w:rsidRDefault="00376718" w:rsidP="00C640AE">
      <w:pPr>
        <w:spacing w:after="0" w:line="240" w:lineRule="auto"/>
        <w:ind w:left="360"/>
        <w:jc w:val="both"/>
        <w:rPr>
          <w:rFonts w:eastAsia="Times New Roman" w:cs="Calibri"/>
          <w:color w:val="000000"/>
          <w:sz w:val="20"/>
          <w:szCs w:val="20"/>
          <w:lang w:val="en-US" w:eastAsia="en-GB"/>
        </w:rPr>
      </w:pPr>
      <w:r w:rsidRPr="008C761D">
        <w:rPr>
          <w:rFonts w:eastAsia="Times New Roman" w:cs="Calibri"/>
          <w:color w:val="002060"/>
          <w:sz w:val="20"/>
          <w:szCs w:val="20"/>
          <w:lang w:val="en-US" w:eastAsia="en-GB"/>
        </w:rPr>
        <w:t>  </w:t>
      </w:r>
    </w:p>
    <w:p w14:paraId="3EEA45D4" w14:textId="77777777" w:rsidR="00790347" w:rsidRPr="008C761D" w:rsidRDefault="00790347" w:rsidP="00790347">
      <w:pPr>
        <w:spacing w:after="0" w:line="240" w:lineRule="auto"/>
        <w:jc w:val="both"/>
        <w:rPr>
          <w:b/>
          <w:color w:val="0070C0"/>
          <w:sz w:val="24"/>
          <w:szCs w:val="24"/>
          <w:lang w:val="en-US"/>
        </w:rPr>
      </w:pPr>
      <w:r w:rsidRPr="008C761D">
        <w:rPr>
          <w:b/>
          <w:color w:val="0070C0"/>
          <w:sz w:val="24"/>
          <w:szCs w:val="24"/>
          <w:lang w:val="en-US"/>
        </w:rPr>
        <w:t>Measure 4: Spending review</w:t>
      </w:r>
    </w:p>
    <w:p w14:paraId="6D7F0FD6" w14:textId="77777777" w:rsidR="00376718" w:rsidRPr="008C761D" w:rsidRDefault="00376718" w:rsidP="00E84CD0">
      <w:pPr>
        <w:spacing w:after="0" w:line="240" w:lineRule="auto"/>
        <w:ind w:left="360"/>
        <w:jc w:val="both"/>
        <w:rPr>
          <w:rFonts w:eastAsia="Times New Roman" w:cs="Calibri"/>
          <w:color w:val="000000"/>
          <w:sz w:val="20"/>
          <w:szCs w:val="20"/>
          <w:lang w:val="en-US" w:eastAsia="en-GB"/>
        </w:rPr>
      </w:pPr>
      <w:r w:rsidRPr="008C761D">
        <w:rPr>
          <w:rFonts w:eastAsia="Times New Roman" w:cs="Calibri"/>
          <w:color w:val="FF0000"/>
          <w:sz w:val="20"/>
          <w:szCs w:val="20"/>
          <w:lang w:val="en-US" w:eastAsia="en-GB"/>
        </w:rPr>
        <w:t> </w:t>
      </w:r>
    </w:p>
    <w:p w14:paraId="1EA7BACF" w14:textId="14CFB5DF" w:rsidR="00A13E9D" w:rsidRPr="008C761D" w:rsidRDefault="00376718" w:rsidP="00C640AE">
      <w:pPr>
        <w:spacing w:after="0" w:line="240" w:lineRule="auto"/>
        <w:jc w:val="both"/>
        <w:rPr>
          <w:rFonts w:eastAsia="Times New Roman" w:cs="Calibri"/>
          <w:color w:val="000000"/>
          <w:lang w:val="en-US" w:eastAsia="en-GB"/>
        </w:rPr>
      </w:pPr>
      <w:r w:rsidRPr="008C761D">
        <w:rPr>
          <w:rFonts w:eastAsia="Times New Roman" w:cs="Calibri"/>
          <w:b/>
          <w:bCs/>
          <w:i/>
          <w:iCs/>
          <w:color w:val="4F81BD"/>
          <w:lang w:val="en-US" w:eastAsia="en-GB"/>
        </w:rPr>
        <w:t>Measure objective</w:t>
      </w:r>
    </w:p>
    <w:p w14:paraId="4C1A7141" w14:textId="77777777" w:rsidR="006F5904" w:rsidRPr="008C761D" w:rsidRDefault="006F5904" w:rsidP="006F5904">
      <w:pPr>
        <w:tabs>
          <w:tab w:val="left" w:pos="851"/>
        </w:tabs>
        <w:spacing w:before="120" w:line="240" w:lineRule="auto"/>
        <w:jc w:val="both"/>
        <w:rPr>
          <w:rFonts w:eastAsia="Times New Roman" w:cs="Calibri"/>
          <w:color w:val="000000"/>
          <w:lang w:val="en-US" w:eastAsia="en-GB"/>
        </w:rPr>
      </w:pPr>
      <w:r w:rsidRPr="008C761D">
        <w:rPr>
          <w:rFonts w:eastAsia="Times New Roman" w:cs="Calibri"/>
          <w:color w:val="000000"/>
          <w:lang w:val="en-US" w:eastAsia="en-GB"/>
        </w:rPr>
        <w:t>Expenditure reviews are an institutionalized process for analyzing existing expenditure in order to identify options for reducing or redirecting expenditure and/or increasing value for money. Expenditure reviews include helping to design and implement fiscal consolidation, creating fiscal space to fund new priorities (either for the entire budget or for a specific line ministry or program).</w:t>
      </w:r>
    </w:p>
    <w:p w14:paraId="28E063EF" w14:textId="436680C5" w:rsidR="006F5904" w:rsidRPr="008C761D" w:rsidRDefault="006F5904" w:rsidP="006F5904">
      <w:pPr>
        <w:tabs>
          <w:tab w:val="left" w:pos="851"/>
        </w:tabs>
        <w:spacing w:before="120" w:line="240" w:lineRule="auto"/>
        <w:jc w:val="both"/>
        <w:rPr>
          <w:rFonts w:eastAsia="Times New Roman" w:cs="Calibri"/>
          <w:color w:val="000000"/>
          <w:lang w:val="en-US" w:eastAsia="en-GB"/>
        </w:rPr>
      </w:pPr>
      <w:r w:rsidRPr="008C761D">
        <w:rPr>
          <w:rFonts w:eastAsia="Times New Roman" w:cs="Calibri"/>
          <w:color w:val="000000"/>
          <w:lang w:val="en-US" w:eastAsia="en-GB"/>
        </w:rPr>
        <w:t>These include an in-depth analysis of existing public expenditures to identify options for reducing or redirecting expenditures that are of low priority, and represent inefficient spending.</w:t>
      </w:r>
    </w:p>
    <w:p w14:paraId="65C9D640" w14:textId="2CB14CE9" w:rsidR="00376718" w:rsidRPr="008C761D" w:rsidRDefault="00376718" w:rsidP="006F5904">
      <w:pPr>
        <w:tabs>
          <w:tab w:val="left" w:pos="851"/>
        </w:tabs>
        <w:spacing w:before="120" w:line="240" w:lineRule="auto"/>
        <w:jc w:val="both"/>
        <w:rPr>
          <w:rFonts w:cs="Calibri"/>
          <w:lang w:val="en-US"/>
        </w:rPr>
      </w:pPr>
      <w:r w:rsidRPr="008C761D">
        <w:rPr>
          <w:rFonts w:cs="Calibri"/>
          <w:lang w:val="en-US"/>
        </w:rPr>
        <w:t>Fiscal consolidation is a process of aligning the public revenues and expenditures by reducing the expenditures and/or increasing the revenues, for the purpose of reducing the budget deficit and the public debt.</w:t>
      </w:r>
    </w:p>
    <w:p w14:paraId="0B2D47F8" w14:textId="77777777" w:rsidR="00376718" w:rsidRPr="008C761D" w:rsidRDefault="00376718" w:rsidP="00E84CD0">
      <w:pPr>
        <w:spacing w:before="160" w:after="60" w:line="240" w:lineRule="auto"/>
        <w:jc w:val="both"/>
        <w:outlineLvl w:val="3"/>
        <w:rPr>
          <w:rFonts w:eastAsia="Times New Roman" w:cs="Calibri"/>
          <w:b/>
          <w:bCs/>
          <w:i/>
          <w:iCs/>
          <w:color w:val="4F81BD"/>
          <w:lang w:val="en-US" w:eastAsia="en-GB"/>
        </w:rPr>
      </w:pPr>
      <w:r w:rsidRPr="008C761D">
        <w:rPr>
          <w:rFonts w:eastAsia="Times New Roman" w:cs="Calibri"/>
          <w:b/>
          <w:bCs/>
          <w:i/>
          <w:iCs/>
          <w:color w:val="4F81BD"/>
          <w:lang w:val="en-US" w:eastAsia="en-GB"/>
        </w:rPr>
        <w:t>Reference to findings from external assessments:</w:t>
      </w:r>
    </w:p>
    <w:tbl>
      <w:tblPr>
        <w:tblW w:w="9000" w:type="dxa"/>
        <w:tblInd w:w="1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1"/>
        <w:gridCol w:w="7299"/>
      </w:tblGrid>
      <w:tr w:rsidR="00376718" w:rsidRPr="008C761D" w14:paraId="05C6225F" w14:textId="77777777" w:rsidTr="00C17F2F">
        <w:tc>
          <w:tcPr>
            <w:tcW w:w="1701" w:type="dxa"/>
            <w:tcBorders>
              <w:bottom w:val="single" w:sz="6" w:space="0" w:color="auto"/>
              <w:right w:val="single" w:sz="6" w:space="0" w:color="auto"/>
            </w:tcBorders>
            <w:shd w:val="clear" w:color="auto" w:fill="DDDDDD"/>
            <w:tcMar>
              <w:top w:w="0" w:type="dxa"/>
              <w:left w:w="101" w:type="dxa"/>
              <w:bottom w:w="0" w:type="dxa"/>
              <w:right w:w="101" w:type="dxa"/>
            </w:tcMar>
            <w:hideMark/>
          </w:tcPr>
          <w:p w14:paraId="632EAC17" w14:textId="77777777" w:rsidR="00376718" w:rsidRPr="0044402B" w:rsidRDefault="00A13E9D" w:rsidP="00E84CD0">
            <w:pPr>
              <w:spacing w:before="80" w:after="0" w:line="240" w:lineRule="auto"/>
              <w:jc w:val="both"/>
              <w:rPr>
                <w:rFonts w:eastAsia="Times New Roman" w:cs="Calibri"/>
                <w:b/>
                <w:sz w:val="20"/>
                <w:szCs w:val="20"/>
                <w:lang w:val="en-US" w:eastAsia="en-GB"/>
              </w:rPr>
            </w:pPr>
            <w:r w:rsidRPr="0044402B">
              <w:rPr>
                <w:rFonts w:eastAsia="Times New Roman" w:cs="Calibri"/>
                <w:b/>
                <w:sz w:val="20"/>
                <w:szCs w:val="20"/>
                <w:lang w:val="en-US" w:eastAsia="en-GB"/>
              </w:rPr>
              <w:t>IMF 2023:</w:t>
            </w:r>
          </w:p>
        </w:tc>
        <w:tc>
          <w:tcPr>
            <w:tcW w:w="7299" w:type="dxa"/>
            <w:tcBorders>
              <w:left w:val="single" w:sz="6" w:space="0" w:color="auto"/>
              <w:bottom w:val="single" w:sz="6" w:space="0" w:color="auto"/>
            </w:tcBorders>
            <w:shd w:val="clear" w:color="auto" w:fill="DDDDDD"/>
            <w:tcMar>
              <w:top w:w="0" w:type="dxa"/>
              <w:left w:w="101" w:type="dxa"/>
              <w:bottom w:w="0" w:type="dxa"/>
              <w:right w:w="101" w:type="dxa"/>
            </w:tcMar>
            <w:hideMark/>
          </w:tcPr>
          <w:p w14:paraId="108CD4A3" w14:textId="77777777" w:rsidR="00376718" w:rsidRPr="008C761D" w:rsidRDefault="00A13E9D" w:rsidP="00A13E9D">
            <w:pPr>
              <w:tabs>
                <w:tab w:val="left" w:pos="164"/>
              </w:tabs>
              <w:spacing w:before="120" w:after="120" w:line="240" w:lineRule="auto"/>
              <w:contextualSpacing/>
              <w:jc w:val="both"/>
              <w:rPr>
                <w:rFonts w:eastAsia="Times New Roman" w:cs="Calibri"/>
                <w:sz w:val="20"/>
                <w:szCs w:val="20"/>
                <w:lang w:val="en-US" w:eastAsia="en-GB"/>
              </w:rPr>
            </w:pPr>
            <w:r w:rsidRPr="008C761D">
              <w:rPr>
                <w:rFonts w:eastAsia="Times New Roman" w:cs="Calibri"/>
                <w:sz w:val="20"/>
                <w:szCs w:val="20"/>
                <w:lang w:val="en-US" w:eastAsia="en-GB"/>
              </w:rPr>
              <w:tab/>
              <w:t>Mission report on the introduction of spending reviews</w:t>
            </w:r>
          </w:p>
        </w:tc>
      </w:tr>
    </w:tbl>
    <w:p w14:paraId="1D214FFC" w14:textId="77777777" w:rsidR="00376718" w:rsidRPr="008C761D" w:rsidRDefault="00376718" w:rsidP="00E84CD0">
      <w:pPr>
        <w:spacing w:before="240" w:after="60" w:line="240" w:lineRule="auto"/>
        <w:jc w:val="both"/>
        <w:outlineLvl w:val="3"/>
        <w:rPr>
          <w:rFonts w:eastAsia="Times New Roman" w:cs="Calibri"/>
          <w:b/>
          <w:bCs/>
          <w:i/>
          <w:iCs/>
          <w:color w:val="4F81BD"/>
          <w:lang w:val="en-US" w:eastAsia="en-GB"/>
        </w:rPr>
      </w:pPr>
      <w:r w:rsidRPr="008C761D">
        <w:rPr>
          <w:rFonts w:eastAsia="Times New Roman" w:cs="Calibri"/>
          <w:b/>
          <w:bCs/>
          <w:i/>
          <w:iCs/>
          <w:color w:val="4F81BD"/>
          <w:lang w:val="en-US" w:eastAsia="en-GB"/>
        </w:rPr>
        <w:t>Context / Background</w:t>
      </w:r>
    </w:p>
    <w:p w14:paraId="2206363D" w14:textId="77777777" w:rsidR="00790347" w:rsidRPr="008C761D" w:rsidRDefault="00790347" w:rsidP="00790347">
      <w:pPr>
        <w:spacing w:before="240" w:after="60" w:line="240" w:lineRule="auto"/>
        <w:jc w:val="both"/>
        <w:outlineLvl w:val="3"/>
        <w:rPr>
          <w:rFonts w:eastAsia="Times New Roman" w:cs="Calibri"/>
          <w:color w:val="000000"/>
          <w:lang w:val="en-US" w:eastAsia="en-GB"/>
        </w:rPr>
      </w:pPr>
      <w:r w:rsidRPr="008C761D">
        <w:rPr>
          <w:rFonts w:eastAsia="Times New Roman" w:cs="Calibri"/>
          <w:color w:val="000000"/>
          <w:lang w:val="en-US" w:eastAsia="en-GB"/>
        </w:rPr>
        <w:t>The current budget preparation process is not well suited to develop targeted optimization and saving proposals. It is a complex process integrating multiple inputs within a constrained timeline. Frequent budget supplements contribute to limiting budget analysts in the MoF and line ministries capacity to thoroughly analyze budget proposals. As a result, consolidation measures are often developed and integrated in the budget process without sufficient analysis of their implications on financial and non-fina</w:t>
      </w:r>
      <w:r w:rsidRPr="008C761D">
        <w:rPr>
          <w:lang w:val="en-US"/>
        </w:rPr>
        <w:t>n</w:t>
      </w:r>
      <w:r w:rsidRPr="008C761D">
        <w:rPr>
          <w:rFonts w:eastAsia="Times New Roman" w:cs="Calibri"/>
          <w:color w:val="000000"/>
          <w:lang w:val="en-US" w:eastAsia="en-GB"/>
        </w:rPr>
        <w:t>cial performance.</w:t>
      </w:r>
    </w:p>
    <w:p w14:paraId="635B84C5" w14:textId="77777777" w:rsidR="00790347" w:rsidRPr="008C761D" w:rsidRDefault="00790347" w:rsidP="00790347">
      <w:pPr>
        <w:spacing w:before="240" w:after="60" w:line="240" w:lineRule="auto"/>
        <w:jc w:val="both"/>
        <w:outlineLvl w:val="3"/>
        <w:rPr>
          <w:rFonts w:eastAsia="Times New Roman" w:cs="Calibri"/>
          <w:color w:val="000000"/>
          <w:lang w:val="en-US" w:eastAsia="en-GB"/>
        </w:rPr>
      </w:pPr>
      <w:r w:rsidRPr="008C761D">
        <w:rPr>
          <w:rFonts w:eastAsia="Times New Roman" w:cs="Calibri"/>
          <w:color w:val="000000"/>
          <w:lang w:val="en-US" w:eastAsia="en-GB"/>
        </w:rPr>
        <w:t xml:space="preserve">Spending review can support the budget process by systematically examining expenditures and operationalizing high-level savings options spell out in the Plan for Fiscal Sustainability and Support for Economic Growth. Spending review can also create fiscal space to accommodate new priorities and increase value for money. More broadly, </w:t>
      </w:r>
      <w:proofErr w:type="gramStart"/>
      <w:r w:rsidRPr="008C761D">
        <w:rPr>
          <w:rFonts w:eastAsia="Times New Roman" w:cs="Calibri"/>
          <w:color w:val="000000"/>
          <w:lang w:val="en-US" w:eastAsia="en-GB"/>
        </w:rPr>
        <w:t>Spending</w:t>
      </w:r>
      <w:proofErr w:type="gramEnd"/>
      <w:r w:rsidRPr="008C761D">
        <w:rPr>
          <w:rFonts w:eastAsia="Times New Roman" w:cs="Calibri"/>
          <w:color w:val="000000"/>
          <w:lang w:val="en-US" w:eastAsia="en-GB"/>
        </w:rPr>
        <w:t xml:space="preserve"> review can contribute to a cultural change toward performance orientation in budgeting.</w:t>
      </w:r>
    </w:p>
    <w:p w14:paraId="0E985D80" w14:textId="77777777" w:rsidR="006F5904" w:rsidRPr="008C761D" w:rsidRDefault="006F5904" w:rsidP="006F5904">
      <w:pPr>
        <w:shd w:val="clear" w:color="auto" w:fill="FFFFFF"/>
        <w:spacing w:before="120" w:after="0" w:line="240" w:lineRule="auto"/>
        <w:jc w:val="both"/>
        <w:rPr>
          <w:rFonts w:cs="Calibri"/>
          <w:color w:val="000000"/>
          <w:shd w:val="clear" w:color="auto" w:fill="FFFFFF"/>
          <w:lang w:val="en-US"/>
        </w:rPr>
      </w:pPr>
      <w:r w:rsidRPr="008C761D">
        <w:rPr>
          <w:rFonts w:cs="Calibri"/>
          <w:color w:val="000000"/>
          <w:shd w:val="clear" w:color="auto" w:fill="FFFFFF"/>
          <w:lang w:val="en-US"/>
        </w:rPr>
        <w:t xml:space="preserve">The international benchmark (IMF and World Bank) indicates a significant potential for improving the efficiency and effectiveness of government activities. In order to realize improvements in efficiency, it is necessary to identify specific measures to improve the efficiency and effectiveness of spending without having negative impacts on the implementation of fiscal policies. Through the cost </w:t>
      </w:r>
      <w:r w:rsidRPr="008C761D">
        <w:rPr>
          <w:rFonts w:cs="Calibri"/>
          <w:color w:val="000000"/>
          <w:shd w:val="clear" w:color="auto" w:fill="FFFFFF"/>
          <w:lang w:val="en-US"/>
        </w:rPr>
        <w:lastRenderedPageBreak/>
        <w:t>reviews, the budget process will be supported with a systematic examination of expenditures and operationalization</w:t>
      </w:r>
      <w:r w:rsidRPr="008C761D">
        <w:rPr>
          <w:rFonts w:ascii="Times New Roman" w:eastAsia="Times New Roman" w:hAnsi="Times New Roman"/>
          <w:sz w:val="24"/>
          <w:szCs w:val="24"/>
          <w:lang w:val="en-US" w:eastAsia="mk-MK"/>
        </w:rPr>
        <w:t xml:space="preserve"> </w:t>
      </w:r>
      <w:r w:rsidRPr="008C761D">
        <w:rPr>
          <w:rFonts w:cs="Calibri"/>
          <w:color w:val="000000"/>
          <w:shd w:val="clear" w:color="auto" w:fill="FFFFFF"/>
          <w:lang w:val="en-US"/>
        </w:rPr>
        <w:t>of savings options at a high level, thereby contributing to fiscal consolidation by reducing total expenditures.</w:t>
      </w:r>
    </w:p>
    <w:p w14:paraId="6E6E28BD" w14:textId="4A792E50" w:rsidR="00790347" w:rsidRDefault="006F5904" w:rsidP="00C17F2F">
      <w:pPr>
        <w:shd w:val="clear" w:color="auto" w:fill="FFFFFF"/>
        <w:spacing w:before="120" w:after="0" w:line="240" w:lineRule="auto"/>
        <w:jc w:val="both"/>
        <w:rPr>
          <w:rFonts w:cs="Calibri"/>
          <w:color w:val="000000"/>
          <w:shd w:val="clear" w:color="auto" w:fill="FFFFFF"/>
          <w:lang w:val="en-US"/>
        </w:rPr>
      </w:pPr>
      <w:r w:rsidRPr="008C761D">
        <w:rPr>
          <w:rFonts w:cs="Calibri"/>
          <w:color w:val="000000"/>
          <w:shd w:val="clear" w:color="auto" w:fill="FFFFFF"/>
          <w:lang w:val="en-US"/>
        </w:rPr>
        <w:t>The process of expenditure reviews will create fiscal space to adapt to new priorities and increase value for money, promote spending efficiency and contribute to greater value for money in public spending, i.e. a greater performance orientation of budgeting.</w:t>
      </w:r>
    </w:p>
    <w:p w14:paraId="25F285C9" w14:textId="77777777" w:rsidR="00C17F2F" w:rsidRPr="00C17F2F" w:rsidRDefault="00C17F2F" w:rsidP="00C17F2F">
      <w:pPr>
        <w:shd w:val="clear" w:color="auto" w:fill="FFFFFF"/>
        <w:spacing w:before="120" w:after="0" w:line="240" w:lineRule="auto"/>
        <w:jc w:val="both"/>
        <w:rPr>
          <w:rFonts w:cs="Calibri"/>
          <w:color w:val="000000"/>
          <w:sz w:val="12"/>
          <w:szCs w:val="12"/>
          <w:shd w:val="clear" w:color="auto" w:fill="FFFFFF"/>
          <w:lang w:val="en-US"/>
        </w:rPr>
      </w:pPr>
    </w:p>
    <w:p w14:paraId="645D5D1B" w14:textId="77777777" w:rsidR="006F5904" w:rsidRPr="0044402B" w:rsidRDefault="006F5904" w:rsidP="006F5904">
      <w:pPr>
        <w:spacing w:after="0" w:line="240" w:lineRule="auto"/>
        <w:ind w:left="34"/>
        <w:jc w:val="both"/>
        <w:rPr>
          <w:rFonts w:cs="Calibri"/>
          <w:color w:val="0070C0"/>
          <w:lang w:val="en-US"/>
        </w:rPr>
      </w:pPr>
      <w:r w:rsidRPr="0044402B">
        <w:rPr>
          <w:rFonts w:eastAsia="Times New Roman" w:cs="Calibri"/>
          <w:b/>
          <w:bCs/>
          <w:iCs/>
          <w:color w:val="0070C0"/>
          <w:lang w:val="en-US" w:eastAsia="en-GB"/>
        </w:rPr>
        <w:t>Activity 1: Build capacity at the MoF and line ministries</w:t>
      </w:r>
      <w:r w:rsidRPr="0044402B" w:rsidDel="002B0820">
        <w:rPr>
          <w:rFonts w:eastAsia="Times New Roman" w:cs="Calibri"/>
          <w:b/>
          <w:bCs/>
          <w:iCs/>
          <w:color w:val="0070C0"/>
          <w:lang w:val="en-US" w:eastAsia="en-GB"/>
        </w:rPr>
        <w:t xml:space="preserve"> </w:t>
      </w:r>
      <w:r w:rsidRPr="0044402B">
        <w:rPr>
          <w:rFonts w:eastAsia="Times New Roman" w:cs="Calibri"/>
          <w:b/>
          <w:bCs/>
          <w:iCs/>
          <w:color w:val="0070C0"/>
          <w:lang w:val="en-US" w:eastAsia="en-GB"/>
        </w:rPr>
        <w:t>for conducting Spending </w:t>
      </w:r>
      <w:proofErr w:type="gramStart"/>
      <w:r w:rsidRPr="0044402B">
        <w:rPr>
          <w:rFonts w:eastAsia="Times New Roman" w:cs="Calibri"/>
          <w:b/>
          <w:bCs/>
          <w:iCs/>
          <w:color w:val="0070C0"/>
          <w:lang w:val="en-US" w:eastAsia="en-GB"/>
        </w:rPr>
        <w:t>Reviews  on</w:t>
      </w:r>
      <w:proofErr w:type="gramEnd"/>
      <w:r w:rsidRPr="0044402B">
        <w:rPr>
          <w:rFonts w:eastAsia="Times New Roman" w:cs="Calibri"/>
          <w:b/>
          <w:bCs/>
          <w:iCs/>
          <w:color w:val="0070C0"/>
          <w:lang w:val="en-US" w:eastAsia="en-GB"/>
        </w:rPr>
        <w:t xml:space="preserve"> a regular base</w:t>
      </w:r>
    </w:p>
    <w:p w14:paraId="151A8FFB" w14:textId="77777777" w:rsidR="006F5904" w:rsidRPr="008C761D" w:rsidRDefault="006F5904" w:rsidP="006F5904">
      <w:pPr>
        <w:spacing w:before="120" w:after="120" w:line="240" w:lineRule="auto"/>
        <w:jc w:val="both"/>
        <w:rPr>
          <w:rFonts w:cs="Calibri"/>
          <w:lang w:val="en-US"/>
        </w:rPr>
      </w:pPr>
      <w:r w:rsidRPr="008C761D">
        <w:rPr>
          <w:rFonts w:cs="Calibri"/>
          <w:color w:val="000000"/>
          <w:shd w:val="clear" w:color="auto" w:fill="FFFFFF"/>
          <w:lang w:val="en-US"/>
        </w:rPr>
        <w:t xml:space="preserve">The MoF has requested capacity development from the FAD in setting up a framework for the introduction of Spending review which it views as a tool to increase the efficiency of public spending and support fiscal consolidation. Such a framework will lay the groundwork for future World Bank capacity development in selecting and conducting Spending review. </w:t>
      </w:r>
      <w:r w:rsidRPr="008C761D">
        <w:rPr>
          <w:rFonts w:cs="Calibri"/>
          <w:lang w:val="en-US"/>
        </w:rPr>
        <w:t xml:space="preserve">Capacity building and analysis done in the context of </w:t>
      </w:r>
      <w:r w:rsidRPr="008C761D">
        <w:rPr>
          <w:rFonts w:cs="Calibri"/>
          <w:color w:val="000000"/>
          <w:shd w:val="clear" w:color="auto" w:fill="FFFFFF"/>
          <w:lang w:val="en-US"/>
        </w:rPr>
        <w:t>Spending </w:t>
      </w:r>
      <w:proofErr w:type="gramStart"/>
      <w:r w:rsidRPr="008C761D">
        <w:rPr>
          <w:rFonts w:cs="Calibri"/>
          <w:color w:val="000000"/>
          <w:shd w:val="clear" w:color="auto" w:fill="FFFFFF"/>
          <w:lang w:val="en-US"/>
        </w:rPr>
        <w:t>Reviews </w:t>
      </w:r>
      <w:r w:rsidRPr="008C761D">
        <w:rPr>
          <w:rFonts w:cs="Calibri"/>
          <w:lang w:val="en-US"/>
        </w:rPr>
        <w:t xml:space="preserve"> can</w:t>
      </w:r>
      <w:proofErr w:type="gramEnd"/>
      <w:r w:rsidRPr="008C761D">
        <w:rPr>
          <w:rFonts w:cs="Calibri"/>
          <w:lang w:val="en-US"/>
        </w:rPr>
        <w:t xml:space="preserve"> help budget analysts in the MoF and in line ministries to integrate more analytical elements in their regular work. Over the medium term, the work of budget analysts can shift to a more strategic and analytical approach, as experienced in most advanced countries across t</w:t>
      </w:r>
      <w:r w:rsidRPr="008C761D">
        <w:rPr>
          <w:rFonts w:cs="Calibri"/>
          <w:color w:val="000000"/>
          <w:shd w:val="clear" w:color="auto" w:fill="FFFFFF"/>
          <w:lang w:val="en-US"/>
        </w:rPr>
        <w:t>rainings and on-going support to staff in the Spending Review Units and spending review teams (incl. budget analysts, members from line ministries)</w:t>
      </w:r>
      <w:r w:rsidRPr="008C761D">
        <w:rPr>
          <w:rFonts w:cs="Calibri"/>
          <w:lang w:val="en-US"/>
        </w:rPr>
        <w:t>.</w:t>
      </w:r>
    </w:p>
    <w:p w14:paraId="5FB79A45" w14:textId="77777777" w:rsidR="006F5904" w:rsidRPr="008C761D" w:rsidRDefault="006F5904" w:rsidP="006F5904">
      <w:pPr>
        <w:shd w:val="clear" w:color="auto" w:fill="FFFFFF"/>
        <w:spacing w:after="0" w:line="240" w:lineRule="auto"/>
        <w:rPr>
          <w:rFonts w:cs="Calibri"/>
          <w:lang w:val="en-US"/>
        </w:rPr>
      </w:pPr>
      <w:r w:rsidRPr="008C761D">
        <w:rPr>
          <w:rFonts w:cs="Calibri"/>
          <w:lang w:val="en-US"/>
        </w:rPr>
        <w:t>Activities aimed at building capacities for the implementation of Spending Review in the MoF (including Spending Review Units staff and budget analysts) and line ministries:</w:t>
      </w:r>
    </w:p>
    <w:p w14:paraId="21A62B86" w14:textId="77777777" w:rsidR="006F5904" w:rsidRPr="008C761D" w:rsidRDefault="006F5904" w:rsidP="006F5904">
      <w:pPr>
        <w:numPr>
          <w:ilvl w:val="0"/>
          <w:numId w:val="93"/>
        </w:numPr>
        <w:shd w:val="clear" w:color="auto" w:fill="FFFFFF"/>
        <w:spacing w:after="0" w:line="240" w:lineRule="auto"/>
        <w:rPr>
          <w:rFonts w:eastAsia="Times New Roman" w:cs="Calibri"/>
          <w:color w:val="000000"/>
          <w:lang w:val="en-US" w:eastAsia="mk-MK"/>
        </w:rPr>
      </w:pPr>
      <w:r w:rsidRPr="008C761D">
        <w:rPr>
          <w:rFonts w:eastAsia="Times New Roman" w:cs="Calibri"/>
          <w:color w:val="000000"/>
          <w:lang w:val="en-US" w:eastAsia="mk-MK"/>
        </w:rPr>
        <w:t>Coordinate and deliver training to staff in Spending Review Units and spending review teams (incl. budget analysts, members from line ministries)</w:t>
      </w:r>
    </w:p>
    <w:p w14:paraId="7EE08114" w14:textId="77777777" w:rsidR="006F5904" w:rsidRPr="008C761D" w:rsidRDefault="006F5904" w:rsidP="006F5904">
      <w:pPr>
        <w:numPr>
          <w:ilvl w:val="0"/>
          <w:numId w:val="93"/>
        </w:numPr>
        <w:shd w:val="clear" w:color="auto" w:fill="FFFFFF"/>
        <w:spacing w:after="0" w:line="240" w:lineRule="auto"/>
        <w:rPr>
          <w:rFonts w:eastAsia="Times New Roman" w:cs="Calibri"/>
          <w:color w:val="000000"/>
          <w:lang w:val="en-US" w:eastAsia="mk-MK"/>
        </w:rPr>
      </w:pPr>
      <w:r w:rsidRPr="008C761D">
        <w:rPr>
          <w:rFonts w:eastAsia="Times New Roman" w:cs="Calibri"/>
          <w:color w:val="000000"/>
          <w:lang w:val="en-US" w:eastAsia="mk-MK"/>
        </w:rPr>
        <w:t>Amend job descriptions of budget analysts to include conducting SRs</w:t>
      </w:r>
    </w:p>
    <w:p w14:paraId="05C4CE76" w14:textId="77777777" w:rsidR="006F5904" w:rsidRPr="008C761D" w:rsidRDefault="006F5904" w:rsidP="006F5904">
      <w:pPr>
        <w:numPr>
          <w:ilvl w:val="0"/>
          <w:numId w:val="93"/>
        </w:numPr>
        <w:shd w:val="clear" w:color="auto" w:fill="FFFFFF"/>
        <w:spacing w:after="0" w:line="240" w:lineRule="auto"/>
        <w:rPr>
          <w:rFonts w:eastAsia="Times New Roman" w:cs="Calibri"/>
          <w:color w:val="000000"/>
          <w:lang w:val="en-US" w:eastAsia="mk-MK"/>
        </w:rPr>
      </w:pPr>
      <w:r w:rsidRPr="008C761D">
        <w:rPr>
          <w:rFonts w:eastAsia="Times New Roman" w:cs="Calibri"/>
          <w:color w:val="000000"/>
          <w:lang w:val="en-US" w:eastAsia="mk-MK"/>
        </w:rPr>
        <w:t>Capacity building synergy with other entities such as the Academy of Public Finance and the State Audit Office</w:t>
      </w:r>
    </w:p>
    <w:p w14:paraId="6A313173" w14:textId="77777777" w:rsidR="006F5904" w:rsidRPr="008C761D" w:rsidRDefault="006F5904" w:rsidP="006F5904">
      <w:pPr>
        <w:numPr>
          <w:ilvl w:val="0"/>
          <w:numId w:val="93"/>
        </w:numPr>
        <w:shd w:val="clear" w:color="auto" w:fill="FFFFFF"/>
        <w:spacing w:after="0" w:line="240" w:lineRule="auto"/>
        <w:rPr>
          <w:rFonts w:eastAsia="Times New Roman" w:cs="Calibri"/>
          <w:color w:val="000000"/>
          <w:lang w:val="en-US" w:eastAsia="mk-MK"/>
        </w:rPr>
      </w:pPr>
      <w:r w:rsidRPr="008C761D">
        <w:rPr>
          <w:rFonts w:eastAsia="Times New Roman" w:cs="Calibri"/>
          <w:color w:val="000000"/>
          <w:lang w:val="en-US" w:eastAsia="mk-MK"/>
        </w:rPr>
        <w:t>Systematic analysis of revenues and expenditures</w:t>
      </w:r>
    </w:p>
    <w:p w14:paraId="7C42E589" w14:textId="77777777" w:rsidR="006F5904" w:rsidRPr="008C761D" w:rsidRDefault="006F5904" w:rsidP="006F5904">
      <w:pPr>
        <w:numPr>
          <w:ilvl w:val="0"/>
          <w:numId w:val="93"/>
        </w:numPr>
        <w:shd w:val="clear" w:color="auto" w:fill="FFFFFF"/>
        <w:spacing w:after="0" w:line="240" w:lineRule="auto"/>
        <w:rPr>
          <w:rFonts w:eastAsia="Times New Roman" w:cs="Calibri"/>
          <w:color w:val="000000"/>
          <w:lang w:val="en-US" w:eastAsia="mk-MK"/>
        </w:rPr>
      </w:pPr>
      <w:r w:rsidRPr="008C761D">
        <w:rPr>
          <w:rFonts w:eastAsia="Times New Roman" w:cs="Calibri"/>
          <w:color w:val="000000"/>
          <w:lang w:val="en-US" w:eastAsia="mk-MK"/>
        </w:rPr>
        <w:t>In-depth analysis of budget and performance information to identify options for savings and efficiency gains</w:t>
      </w:r>
    </w:p>
    <w:p w14:paraId="4F7882E6" w14:textId="0E4E2C36" w:rsidR="00C640AE" w:rsidRPr="00C17F2F" w:rsidRDefault="006F5904" w:rsidP="00C17F2F">
      <w:pPr>
        <w:numPr>
          <w:ilvl w:val="0"/>
          <w:numId w:val="93"/>
        </w:numPr>
        <w:jc w:val="both"/>
        <w:rPr>
          <w:rFonts w:eastAsia="Times New Roman" w:cs="Calibri"/>
          <w:lang w:val="en-US" w:eastAsia="ar-SA"/>
        </w:rPr>
      </w:pPr>
      <w:r w:rsidRPr="008C761D">
        <w:rPr>
          <w:rFonts w:eastAsia="Times New Roman" w:cs="Calibri"/>
          <w:lang w:val="en-US" w:eastAsia="ar-SA"/>
        </w:rPr>
        <w:t>Preparation of reports/plans for the conducted analyzes and researches</w:t>
      </w:r>
    </w:p>
    <w:p w14:paraId="44CACED4" w14:textId="0148B001" w:rsidR="00790347" w:rsidRPr="0044402B" w:rsidRDefault="008A5C87" w:rsidP="00790347">
      <w:pPr>
        <w:spacing w:after="0" w:line="240" w:lineRule="auto"/>
        <w:ind w:left="34"/>
        <w:jc w:val="both"/>
        <w:rPr>
          <w:rFonts w:eastAsia="Times New Roman" w:cs="Calibri"/>
          <w:b/>
          <w:bCs/>
          <w:iCs/>
          <w:color w:val="0070C0"/>
          <w:lang w:val="en-US" w:eastAsia="en-GB"/>
        </w:rPr>
      </w:pPr>
      <w:r w:rsidRPr="0044402B">
        <w:rPr>
          <w:rFonts w:eastAsia="Times New Roman" w:cs="Calibri"/>
          <w:b/>
          <w:bCs/>
          <w:iCs/>
          <w:color w:val="0070C0"/>
          <w:lang w:val="en-US" w:eastAsia="en-GB"/>
        </w:rPr>
        <w:t>Activity 2</w:t>
      </w:r>
      <w:r w:rsidR="006F5904" w:rsidRPr="0044402B">
        <w:rPr>
          <w:rFonts w:eastAsia="Times New Roman" w:cs="Calibri"/>
          <w:b/>
          <w:bCs/>
          <w:iCs/>
          <w:color w:val="0070C0"/>
          <w:lang w:val="en-US" w:eastAsia="en-GB"/>
        </w:rPr>
        <w:t xml:space="preserve">: Prepare and adopt </w:t>
      </w:r>
      <w:r w:rsidRPr="0044402B">
        <w:rPr>
          <w:rFonts w:eastAsia="Times New Roman" w:cs="Calibri"/>
          <w:b/>
          <w:bCs/>
          <w:iCs/>
          <w:color w:val="0070C0"/>
          <w:lang w:val="en-US" w:eastAsia="en-GB"/>
        </w:rPr>
        <w:t>methodology</w:t>
      </w:r>
      <w:r w:rsidR="006F5904" w:rsidRPr="0044402B">
        <w:rPr>
          <w:rFonts w:eastAsia="Times New Roman" w:cs="Calibri"/>
          <w:b/>
          <w:bCs/>
          <w:iCs/>
          <w:color w:val="0070C0"/>
          <w:lang w:val="en-US" w:eastAsia="en-GB"/>
        </w:rPr>
        <w:t xml:space="preserve"> with defining criteria and procedures for conducting Spending review</w:t>
      </w:r>
    </w:p>
    <w:p w14:paraId="5C5D4C0D" w14:textId="4B946CCC" w:rsidR="006F5904" w:rsidRDefault="006F5904" w:rsidP="00C17F2F">
      <w:pPr>
        <w:spacing w:before="240" w:after="120" w:line="240" w:lineRule="auto"/>
        <w:jc w:val="both"/>
        <w:rPr>
          <w:rFonts w:cs="Calibri"/>
          <w:color w:val="000000"/>
          <w:shd w:val="clear" w:color="auto" w:fill="FFFFFF"/>
          <w:lang w:val="en-US"/>
        </w:rPr>
      </w:pPr>
      <w:r w:rsidRPr="008C761D">
        <w:rPr>
          <w:rFonts w:cs="Calibri"/>
          <w:color w:val="000000"/>
          <w:shd w:val="clear" w:color="auto" w:fill="FFFFFF"/>
          <w:lang w:val="en-US"/>
        </w:rPr>
        <w:t>A shared methodology can contribute to strengthening the quality of budget projections. The methodology should cover how to assess current levels of spending, identify and</w:t>
      </w:r>
      <w:r w:rsidR="008A5C87">
        <w:rPr>
          <w:rFonts w:cs="Calibri"/>
          <w:color w:val="000000"/>
          <w:shd w:val="clear" w:color="auto" w:fill="FFFFFF"/>
          <w:lang w:val="en-US"/>
        </w:rPr>
        <w:t xml:space="preserve"> apply medium term cost drivers</w:t>
      </w:r>
      <w:r w:rsidRPr="008C761D">
        <w:rPr>
          <w:rFonts w:cs="Calibri"/>
          <w:color w:val="000000"/>
          <w:shd w:val="clear" w:color="auto" w:fill="FFFFFF"/>
          <w:lang w:val="en-US"/>
        </w:rPr>
        <w:t xml:space="preserve"> and aggregate cost items to the level required by the analysis. The methodology should also clarify the distinction between a no-policy change scenario and the costing of new policy measures. Trainings and on-going support to line-ministries’ budget analysts should be considered.</w:t>
      </w:r>
    </w:p>
    <w:p w14:paraId="181EB883" w14:textId="47DFDDA8" w:rsidR="00C17F2F" w:rsidRPr="008C761D" w:rsidRDefault="00C17F2F" w:rsidP="00C17F2F">
      <w:pPr>
        <w:spacing w:before="240" w:after="120" w:line="240" w:lineRule="auto"/>
        <w:jc w:val="both"/>
        <w:rPr>
          <w:rFonts w:cs="Calibri"/>
          <w:color w:val="000000"/>
          <w:shd w:val="clear" w:color="auto" w:fill="FFFFFF"/>
          <w:lang w:val="en-US"/>
        </w:rPr>
      </w:pPr>
      <w:r w:rsidRPr="00C17F2F">
        <w:rPr>
          <w:rFonts w:cs="Calibri"/>
          <w:color w:val="000000"/>
          <w:shd w:val="clear" w:color="auto" w:fill="FFFFFF"/>
          <w:lang w:val="en-US"/>
        </w:rPr>
        <w:t>Activities that will be necessary to undertake in the direction of Enhance the quality of baseline projections:</w:t>
      </w:r>
    </w:p>
    <w:p w14:paraId="3E381630" w14:textId="77777777" w:rsidR="006F5904" w:rsidRPr="008C761D" w:rsidRDefault="006F5904" w:rsidP="006F5904">
      <w:pPr>
        <w:numPr>
          <w:ilvl w:val="0"/>
          <w:numId w:val="94"/>
        </w:numPr>
        <w:spacing w:before="240" w:after="120" w:line="240" w:lineRule="auto"/>
        <w:jc w:val="both"/>
        <w:rPr>
          <w:rFonts w:eastAsia="MS PGothic" w:cs="Calibri"/>
          <w:color w:val="000000"/>
          <w:lang w:val="en-US" w:eastAsia="zh-CN"/>
        </w:rPr>
      </w:pPr>
      <w:r w:rsidRPr="008C761D">
        <w:rPr>
          <w:rFonts w:cs="Calibri"/>
          <w:color w:val="000000"/>
          <w:shd w:val="clear" w:color="auto" w:fill="FFFFFF"/>
          <w:lang w:val="en-US"/>
        </w:rPr>
        <w:t>Prepare and adopt methodology with defining criteria and procedures for conducting Spending review;</w:t>
      </w:r>
    </w:p>
    <w:p w14:paraId="08B811D3" w14:textId="77777777" w:rsidR="006F5904" w:rsidRPr="008C761D" w:rsidRDefault="006F5904" w:rsidP="006F5904">
      <w:pPr>
        <w:numPr>
          <w:ilvl w:val="0"/>
          <w:numId w:val="94"/>
        </w:numPr>
        <w:spacing w:before="240" w:after="120" w:line="240" w:lineRule="auto"/>
        <w:jc w:val="both"/>
        <w:rPr>
          <w:rFonts w:eastAsia="MS PGothic" w:cs="Calibri"/>
          <w:color w:val="000000"/>
          <w:lang w:val="en-US" w:eastAsia="zh-CN"/>
        </w:rPr>
      </w:pPr>
      <w:r w:rsidRPr="008C761D">
        <w:rPr>
          <w:rFonts w:cs="Calibri"/>
          <w:color w:val="000000"/>
          <w:shd w:val="clear" w:color="auto" w:fill="FFFFFF"/>
          <w:lang w:val="en-US"/>
        </w:rPr>
        <w:t>Provide training and on-going support to line ministries and</w:t>
      </w:r>
    </w:p>
    <w:p w14:paraId="189082BA" w14:textId="77777777" w:rsidR="006F5904" w:rsidRPr="008C761D" w:rsidRDefault="006F5904" w:rsidP="006F5904">
      <w:pPr>
        <w:numPr>
          <w:ilvl w:val="0"/>
          <w:numId w:val="94"/>
        </w:numPr>
        <w:spacing w:before="240" w:after="120" w:line="240" w:lineRule="auto"/>
        <w:jc w:val="both"/>
        <w:rPr>
          <w:rFonts w:eastAsia="MS PGothic" w:cs="Calibri"/>
          <w:color w:val="000000"/>
          <w:lang w:val="en-US" w:eastAsia="zh-CN"/>
        </w:rPr>
      </w:pPr>
      <w:r w:rsidRPr="008C761D">
        <w:rPr>
          <w:rFonts w:cs="Calibri"/>
          <w:color w:val="000000"/>
          <w:shd w:val="clear" w:color="auto" w:fill="FFFFFF"/>
          <w:lang w:val="en-US"/>
        </w:rPr>
        <w:t>publish the Methodology.</w:t>
      </w:r>
    </w:p>
    <w:p w14:paraId="0480E31E" w14:textId="77777777" w:rsidR="00790347" w:rsidRPr="008C761D" w:rsidRDefault="00790347" w:rsidP="00790347">
      <w:pPr>
        <w:spacing w:after="0" w:line="240" w:lineRule="auto"/>
        <w:ind w:left="34"/>
        <w:jc w:val="both"/>
        <w:rPr>
          <w:rFonts w:eastAsia="Times New Roman" w:cs="Calibri"/>
          <w:b/>
          <w:bCs/>
          <w:iCs/>
          <w:color w:val="4F81BD"/>
          <w:lang w:val="en-US" w:eastAsia="en-GB"/>
        </w:rPr>
      </w:pPr>
    </w:p>
    <w:p w14:paraId="78F69588" w14:textId="77777777" w:rsidR="006F5904" w:rsidRPr="0044402B" w:rsidRDefault="006F5904" w:rsidP="006F5904">
      <w:pPr>
        <w:spacing w:after="0" w:line="240" w:lineRule="auto"/>
        <w:ind w:left="34"/>
        <w:jc w:val="both"/>
        <w:rPr>
          <w:rFonts w:eastAsia="Times New Roman" w:cs="Calibri"/>
          <w:b/>
          <w:bCs/>
          <w:iCs/>
          <w:color w:val="0070C0"/>
          <w:lang w:val="en-US" w:eastAsia="en-GB"/>
        </w:rPr>
      </w:pPr>
      <w:r w:rsidRPr="0044402B">
        <w:rPr>
          <w:rFonts w:eastAsia="Times New Roman" w:cs="Calibri"/>
          <w:b/>
          <w:bCs/>
          <w:iCs/>
          <w:color w:val="0070C0"/>
          <w:lang w:val="en-US" w:eastAsia="en-GB"/>
        </w:rPr>
        <w:t>Activity 3: Spending review as a basis for appropriate budgeting for the next mid-term period</w:t>
      </w:r>
    </w:p>
    <w:p w14:paraId="1C3DA14D" w14:textId="77777777" w:rsidR="006F5904" w:rsidRPr="008C761D" w:rsidRDefault="006F5904" w:rsidP="006F5904">
      <w:pPr>
        <w:tabs>
          <w:tab w:val="left" w:pos="851"/>
        </w:tabs>
        <w:spacing w:before="120" w:line="240" w:lineRule="auto"/>
        <w:jc w:val="both"/>
        <w:rPr>
          <w:rFonts w:eastAsia="Times New Roman" w:cs="Calibri"/>
          <w:color w:val="000000"/>
          <w:lang w:val="en-US" w:eastAsia="mk-MK"/>
        </w:rPr>
      </w:pPr>
      <w:r w:rsidRPr="008C761D">
        <w:rPr>
          <w:rFonts w:eastAsia="Times New Roman" w:cs="Calibri"/>
          <w:color w:val="000000"/>
          <w:lang w:val="en-US" w:eastAsia="mk-MK"/>
        </w:rPr>
        <w:lastRenderedPageBreak/>
        <w:t xml:space="preserve">Spending Reviews </w:t>
      </w:r>
      <w:r w:rsidRPr="008C761D">
        <w:rPr>
          <w:rFonts w:cs="Calibri"/>
          <w:lang w:val="en-US"/>
        </w:rPr>
        <w:t xml:space="preserve">is a process of aligning the public revenues and expenditures by reducing the expenditures and/or increasing the revenues, for the purpose of reducing the budget deficit and the public debt. </w:t>
      </w:r>
      <w:r w:rsidRPr="008C761D">
        <w:rPr>
          <w:rFonts w:eastAsia="Times New Roman" w:cs="Calibri"/>
          <w:color w:val="000000"/>
          <w:lang w:val="en-US" w:eastAsia="mk-MK"/>
        </w:rPr>
        <w:t xml:space="preserve">Spending Reviews require mixture of measures on both budget revenue and budget expenditure side. Limited resources and necessity to finance priority projects impose a need to strengthen the performance-based budget planning process, rationalize certain expenditures and introduce adequate spending standards. </w:t>
      </w:r>
    </w:p>
    <w:p w14:paraId="56D603F9" w14:textId="77777777" w:rsidR="006F5904" w:rsidRPr="008C761D" w:rsidRDefault="006F5904" w:rsidP="006F5904">
      <w:pPr>
        <w:shd w:val="clear" w:color="auto" w:fill="FFFFFF"/>
        <w:spacing w:after="0" w:line="240" w:lineRule="auto"/>
        <w:jc w:val="both"/>
        <w:rPr>
          <w:rFonts w:eastAsia="Times New Roman" w:cs="Calibri"/>
          <w:color w:val="000000"/>
          <w:lang w:val="en-US" w:eastAsia="mk-MK"/>
        </w:rPr>
      </w:pPr>
      <w:r w:rsidRPr="008C761D">
        <w:rPr>
          <w:rFonts w:eastAsia="Times New Roman" w:cs="Calibri"/>
          <w:color w:val="000000"/>
          <w:lang w:val="en-US" w:eastAsia="mk-MK"/>
        </w:rPr>
        <w:t>At the end of the day, the Spending Reviews can support the budget process by systematically examining expenditure and operationalizing the high-level savings options outlined in the Fiscal Sustainability and Economic Growth Support Plan and contribute to achieving a budget deficit level in line with Organic Budget Law.</w:t>
      </w:r>
    </w:p>
    <w:p w14:paraId="220AB094" w14:textId="77777777" w:rsidR="00790347" w:rsidRPr="008C761D" w:rsidRDefault="00790347" w:rsidP="00790347">
      <w:pPr>
        <w:spacing w:after="0" w:line="240" w:lineRule="auto"/>
        <w:ind w:left="34"/>
        <w:jc w:val="both"/>
        <w:rPr>
          <w:rFonts w:eastAsia="Times New Roman" w:cs="Calibri"/>
          <w:b/>
          <w:bCs/>
          <w:iCs/>
          <w:color w:val="4F81BD"/>
          <w:lang w:val="en-US" w:eastAsia="en-GB"/>
        </w:rPr>
      </w:pPr>
    </w:p>
    <w:p w14:paraId="10662557" w14:textId="77777777" w:rsidR="00376718" w:rsidRPr="008C761D" w:rsidRDefault="00376718" w:rsidP="00E84CD0">
      <w:pPr>
        <w:spacing w:before="160" w:after="60" w:line="240" w:lineRule="auto"/>
        <w:jc w:val="both"/>
        <w:outlineLvl w:val="3"/>
        <w:rPr>
          <w:rFonts w:eastAsia="Times New Roman" w:cs="Calibri"/>
          <w:b/>
          <w:bCs/>
          <w:color w:val="000000"/>
          <w:sz w:val="20"/>
          <w:szCs w:val="20"/>
          <w:lang w:val="en-US" w:eastAsia="en-GB"/>
        </w:rPr>
      </w:pPr>
      <w:r w:rsidRPr="008C761D">
        <w:rPr>
          <w:rFonts w:eastAsia="Times New Roman" w:cs="Calibri"/>
          <w:b/>
          <w:bCs/>
          <w:i/>
          <w:iCs/>
          <w:color w:val="4F81BD"/>
          <w:sz w:val="20"/>
          <w:szCs w:val="20"/>
          <w:lang w:val="en-US" w:eastAsia="en-GB"/>
        </w:rPr>
        <w:t>Implementation</w:t>
      </w:r>
    </w:p>
    <w:tbl>
      <w:tblPr>
        <w:tblW w:w="0" w:type="auto"/>
        <w:tblCellMar>
          <w:left w:w="0" w:type="dxa"/>
          <w:right w:w="0" w:type="dxa"/>
        </w:tblCellMar>
        <w:tblLook w:val="04A0" w:firstRow="1" w:lastRow="0" w:firstColumn="1" w:lastColumn="0" w:noHBand="0" w:noVBand="1"/>
      </w:tblPr>
      <w:tblGrid>
        <w:gridCol w:w="2302"/>
        <w:gridCol w:w="6030"/>
      </w:tblGrid>
      <w:tr w:rsidR="00376718" w:rsidRPr="008C761D" w14:paraId="17CD127D" w14:textId="77777777" w:rsidTr="00BA5E44">
        <w:tc>
          <w:tcPr>
            <w:tcW w:w="2302" w:type="dxa"/>
            <w:tcBorders>
              <w:bottom w:val="single" w:sz="6" w:space="0" w:color="FFFFFF"/>
            </w:tcBorders>
            <w:shd w:val="clear" w:color="auto" w:fill="2F5496"/>
            <w:tcMar>
              <w:top w:w="0" w:type="dxa"/>
              <w:left w:w="108" w:type="dxa"/>
              <w:bottom w:w="0" w:type="dxa"/>
              <w:right w:w="108" w:type="dxa"/>
            </w:tcMar>
            <w:hideMark/>
          </w:tcPr>
          <w:p w14:paraId="39B329E3" w14:textId="52CCDD29"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Completed</w:t>
            </w:r>
            <w:r w:rsidR="008A5C87">
              <w:rPr>
                <w:b/>
                <w:color w:val="FFFFFF"/>
                <w:sz w:val="20"/>
                <w:szCs w:val="20"/>
                <w:lang w:val="en-US"/>
              </w:rPr>
              <w:t xml:space="preserve"> </w:t>
            </w:r>
            <w:r w:rsidRPr="008C761D">
              <w:rPr>
                <w:b/>
                <w:color w:val="FFFFFF"/>
                <w:sz w:val="20"/>
                <w:szCs w:val="20"/>
                <w:lang w:val="en-US"/>
              </w:rPr>
              <w:t>in</w:t>
            </w:r>
            <w:r w:rsidR="008A5C87">
              <w:rPr>
                <w:b/>
                <w:color w:val="FFFFFF"/>
                <w:sz w:val="20"/>
                <w:szCs w:val="20"/>
                <w:lang w:val="en-US"/>
              </w:rPr>
              <w:t xml:space="preserve"> </w:t>
            </w:r>
            <w:r w:rsidRPr="008C761D">
              <w:rPr>
                <w:b/>
                <w:color w:val="FFFFFF"/>
                <w:sz w:val="20"/>
                <w:szCs w:val="20"/>
                <w:lang w:val="en-US"/>
              </w:rPr>
              <w:t>year:</w:t>
            </w:r>
          </w:p>
        </w:tc>
        <w:tc>
          <w:tcPr>
            <w:tcW w:w="6030" w:type="dxa"/>
            <w:tcBorders>
              <w:bottom w:val="single" w:sz="6" w:space="0" w:color="FFFFFF"/>
            </w:tcBorders>
            <w:shd w:val="clear" w:color="auto" w:fill="D9E2F3"/>
            <w:tcMar>
              <w:top w:w="0" w:type="dxa"/>
              <w:left w:w="108" w:type="dxa"/>
              <w:bottom w:w="0" w:type="dxa"/>
              <w:right w:w="108" w:type="dxa"/>
            </w:tcMar>
            <w:hideMark/>
          </w:tcPr>
          <w:p w14:paraId="295AB48B" w14:textId="0ECF2DD1" w:rsidR="00376718" w:rsidRPr="008C761D" w:rsidRDefault="00502986"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202</w:t>
            </w:r>
            <w:r w:rsidR="00790347" w:rsidRPr="008C761D">
              <w:rPr>
                <w:rFonts w:eastAsia="Times New Roman" w:cs="Calibri"/>
                <w:sz w:val="20"/>
                <w:szCs w:val="20"/>
                <w:lang w:val="en-US" w:eastAsia="en-GB"/>
              </w:rPr>
              <w:t>7</w:t>
            </w:r>
          </w:p>
        </w:tc>
      </w:tr>
      <w:tr w:rsidR="00376718" w:rsidRPr="008C761D" w14:paraId="2EFC67B0" w14:textId="77777777" w:rsidTr="00BA5E44">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314AFEA8" w14:textId="77777777"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Deliverables: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2518442E" w14:textId="040AD1F7" w:rsidR="00376718" w:rsidRPr="008C761D" w:rsidRDefault="006F5904" w:rsidP="0044402B">
            <w:pPr>
              <w:numPr>
                <w:ilvl w:val="0"/>
                <w:numId w:val="28"/>
              </w:numPr>
              <w:spacing w:after="0" w:line="240" w:lineRule="auto"/>
              <w:ind w:left="216" w:hanging="180"/>
              <w:jc w:val="both"/>
              <w:rPr>
                <w:rFonts w:eastAsia="Times New Roman" w:cs="Calibri"/>
                <w:sz w:val="20"/>
                <w:szCs w:val="20"/>
                <w:lang w:val="en-US" w:eastAsia="en-GB"/>
              </w:rPr>
            </w:pPr>
            <w:r w:rsidRPr="008C761D">
              <w:rPr>
                <w:rFonts w:eastAsia="Times New Roman" w:cs="Calibri"/>
                <w:sz w:val="20"/>
                <w:szCs w:val="20"/>
                <w:lang w:val="en-US" w:eastAsia="en-GB"/>
              </w:rPr>
              <w:t>Fiscal consolidation and phased reduction of the budget deficit.</w:t>
            </w:r>
          </w:p>
        </w:tc>
      </w:tr>
      <w:tr w:rsidR="00376718" w:rsidRPr="008C761D" w14:paraId="229732F4" w14:textId="77777777" w:rsidTr="00BA5E44">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24228FA6" w14:textId="57E23E7C"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Costs</w:t>
            </w:r>
            <w:r w:rsidR="008A5C87">
              <w:rPr>
                <w:b/>
                <w:color w:val="FFFFFF"/>
                <w:sz w:val="20"/>
                <w:szCs w:val="20"/>
                <w:lang w:val="en-US"/>
              </w:rPr>
              <w:t xml:space="preserve"> </w:t>
            </w:r>
            <w:r w:rsidRPr="008C761D">
              <w:rPr>
                <w:b/>
                <w:color w:val="FFFFFF"/>
                <w:sz w:val="20"/>
                <w:szCs w:val="20"/>
                <w:lang w:val="en-US"/>
              </w:rPr>
              <w:t>implications: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5CED9C6F" w14:textId="6B6AB619" w:rsidR="00376718" w:rsidRPr="008C761D" w:rsidRDefault="00E4444B"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w:t>
            </w:r>
            <w:r w:rsidR="00376718" w:rsidRPr="008C761D">
              <w:rPr>
                <w:rFonts w:eastAsia="Times New Roman" w:cs="Calibri"/>
                <w:sz w:val="20"/>
                <w:szCs w:val="20"/>
                <w:lang w:val="en-US" w:eastAsia="en-GB"/>
              </w:rPr>
              <w:t xml:space="preserve"> </w:t>
            </w:r>
          </w:p>
        </w:tc>
      </w:tr>
      <w:tr w:rsidR="00376718" w:rsidRPr="008C761D" w14:paraId="080CF19F" w14:textId="77777777" w:rsidTr="00BA5E44">
        <w:tc>
          <w:tcPr>
            <w:tcW w:w="2302" w:type="dxa"/>
            <w:tcBorders>
              <w:top w:val="single" w:sz="6" w:space="0" w:color="FFFFFF"/>
              <w:bottom w:val="single" w:sz="6" w:space="0" w:color="FFFFFF"/>
            </w:tcBorders>
            <w:shd w:val="clear" w:color="auto" w:fill="2F5496"/>
            <w:tcMar>
              <w:top w:w="0" w:type="dxa"/>
              <w:left w:w="108" w:type="dxa"/>
              <w:bottom w:w="0" w:type="dxa"/>
              <w:right w:w="108" w:type="dxa"/>
            </w:tcMar>
            <w:hideMark/>
          </w:tcPr>
          <w:p w14:paraId="1D8A924F" w14:textId="66148681"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Responsible</w:t>
            </w:r>
            <w:r w:rsidR="008A5C87">
              <w:rPr>
                <w:b/>
                <w:color w:val="FFFFFF"/>
                <w:sz w:val="20"/>
                <w:szCs w:val="20"/>
                <w:lang w:val="en-US"/>
              </w:rPr>
              <w:t xml:space="preserve"> </w:t>
            </w:r>
            <w:r w:rsidRPr="008C761D">
              <w:rPr>
                <w:b/>
                <w:color w:val="FFFFFF"/>
                <w:sz w:val="20"/>
                <w:szCs w:val="20"/>
                <w:lang w:val="en-US"/>
              </w:rPr>
              <w:t xml:space="preserve">entity: </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681BA81B" w14:textId="4134BC05" w:rsidR="00376718" w:rsidRPr="008C761D" w:rsidRDefault="00376718" w:rsidP="00E84CD0">
            <w:pPr>
              <w:spacing w:after="0" w:line="240" w:lineRule="auto"/>
              <w:jc w:val="both"/>
              <w:rPr>
                <w:rFonts w:eastAsia="Times New Roman" w:cs="Calibri"/>
                <w:sz w:val="20"/>
                <w:szCs w:val="20"/>
                <w:lang w:val="en-US" w:eastAsia="en-GB"/>
              </w:rPr>
            </w:pPr>
            <w:r w:rsidRPr="008C761D">
              <w:rPr>
                <w:rFonts w:eastAsia="Times New Roman" w:cs="Calibri"/>
                <w:sz w:val="20"/>
                <w:szCs w:val="20"/>
                <w:lang w:val="en-US" w:eastAsia="en-GB"/>
              </w:rPr>
              <w:t>Ministry</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of</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Finance- Budgets</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and</w:t>
            </w:r>
            <w:r w:rsidR="006F5904" w:rsidRPr="008C761D">
              <w:rPr>
                <w:rFonts w:eastAsia="Times New Roman" w:cs="Calibri"/>
                <w:sz w:val="20"/>
                <w:szCs w:val="20"/>
                <w:lang w:val="en-US" w:eastAsia="en-GB"/>
              </w:rPr>
              <w:t xml:space="preserve"> </w:t>
            </w:r>
            <w:r w:rsidRPr="008C761D">
              <w:rPr>
                <w:rFonts w:eastAsia="Times New Roman" w:cs="Calibri"/>
                <w:sz w:val="20"/>
                <w:szCs w:val="20"/>
                <w:lang w:val="en-US" w:eastAsia="en-GB"/>
              </w:rPr>
              <w:t>Funds Department</w:t>
            </w:r>
          </w:p>
        </w:tc>
      </w:tr>
      <w:tr w:rsidR="00376718" w:rsidRPr="008C761D" w14:paraId="6EB62ABC" w14:textId="77777777" w:rsidTr="00BA5E44">
        <w:trPr>
          <w:trHeight w:val="70"/>
        </w:trPr>
        <w:tc>
          <w:tcPr>
            <w:tcW w:w="2302" w:type="dxa"/>
            <w:tcBorders>
              <w:top w:val="single" w:sz="6" w:space="0" w:color="FFFFFF"/>
            </w:tcBorders>
            <w:shd w:val="clear" w:color="auto" w:fill="2F5496"/>
            <w:tcMar>
              <w:top w:w="0" w:type="dxa"/>
              <w:left w:w="108" w:type="dxa"/>
              <w:bottom w:w="0" w:type="dxa"/>
              <w:right w:w="108" w:type="dxa"/>
            </w:tcMar>
            <w:hideMark/>
          </w:tcPr>
          <w:p w14:paraId="739E241F" w14:textId="77777777" w:rsidR="00376718" w:rsidRPr="008C761D" w:rsidRDefault="00376718" w:rsidP="00E84CD0">
            <w:pPr>
              <w:spacing w:line="240" w:lineRule="auto"/>
              <w:jc w:val="both"/>
              <w:rPr>
                <w:b/>
                <w:color w:val="FFFFFF"/>
                <w:sz w:val="20"/>
                <w:szCs w:val="20"/>
                <w:lang w:val="en-US"/>
              </w:rPr>
            </w:pPr>
            <w:r w:rsidRPr="008C761D">
              <w:rPr>
                <w:b/>
                <w:color w:val="FFFFFF"/>
                <w:sz w:val="20"/>
                <w:szCs w:val="20"/>
                <w:lang w:val="en-US"/>
              </w:rPr>
              <w:t>Risk:</w:t>
            </w:r>
          </w:p>
        </w:tc>
        <w:tc>
          <w:tcPr>
            <w:tcW w:w="6030" w:type="dxa"/>
            <w:tcBorders>
              <w:top w:val="single" w:sz="6" w:space="0" w:color="FFFFFF"/>
            </w:tcBorders>
            <w:shd w:val="clear" w:color="auto" w:fill="D9E2F3"/>
            <w:tcMar>
              <w:top w:w="0" w:type="dxa"/>
              <w:left w:w="108" w:type="dxa"/>
              <w:bottom w:w="0" w:type="dxa"/>
              <w:right w:w="108" w:type="dxa"/>
            </w:tcMar>
            <w:hideMark/>
          </w:tcPr>
          <w:p w14:paraId="14DC9E6B" w14:textId="77777777" w:rsidR="00376718" w:rsidRPr="008C761D" w:rsidRDefault="00376718" w:rsidP="0044402B">
            <w:pPr>
              <w:numPr>
                <w:ilvl w:val="0"/>
                <w:numId w:val="28"/>
              </w:numPr>
              <w:spacing w:after="0" w:line="240" w:lineRule="auto"/>
              <w:ind w:left="216" w:hanging="180"/>
              <w:jc w:val="both"/>
              <w:rPr>
                <w:rFonts w:eastAsia="Times New Roman" w:cs="Calibri"/>
                <w:sz w:val="20"/>
                <w:szCs w:val="20"/>
                <w:lang w:val="en-US" w:eastAsia="en-GB"/>
              </w:rPr>
            </w:pPr>
            <w:r w:rsidRPr="008C761D">
              <w:rPr>
                <w:rFonts w:cs="Calibri"/>
                <w:sz w:val="20"/>
                <w:szCs w:val="20"/>
                <w:lang w:val="en-US"/>
              </w:rPr>
              <w:t>Insufficient human capacity to carry out the activity.</w:t>
            </w:r>
          </w:p>
        </w:tc>
      </w:tr>
    </w:tbl>
    <w:p w14:paraId="5D927385" w14:textId="77777777" w:rsidR="00376718" w:rsidRPr="008C761D" w:rsidRDefault="00376718" w:rsidP="00E84CD0">
      <w:pPr>
        <w:spacing w:before="120" w:after="0" w:line="240" w:lineRule="auto"/>
        <w:ind w:left="324"/>
        <w:jc w:val="both"/>
        <w:rPr>
          <w:rFonts w:eastAsia="Times New Roman" w:cs="Calibri"/>
          <w:color w:val="000000"/>
          <w:sz w:val="20"/>
          <w:szCs w:val="20"/>
          <w:lang w:val="en-US" w:eastAsia="en-GB"/>
        </w:rPr>
      </w:pPr>
      <w:r w:rsidRPr="008C761D">
        <w:rPr>
          <w:rFonts w:eastAsia="Times New Roman" w:cs="Calibri"/>
          <w:color w:val="002060"/>
          <w:sz w:val="20"/>
          <w:szCs w:val="20"/>
          <w:lang w:val="en-US" w:eastAsia="en-GB"/>
        </w:rPr>
        <w:t> </w:t>
      </w:r>
    </w:p>
    <w:p w14:paraId="56668DA8" w14:textId="77777777" w:rsidR="00376718" w:rsidRPr="008C761D" w:rsidRDefault="00376718" w:rsidP="00E84CD0">
      <w:pPr>
        <w:spacing w:line="240" w:lineRule="auto"/>
        <w:jc w:val="both"/>
        <w:rPr>
          <w:rFonts w:cs="Calibri"/>
          <w:highlight w:val="yellow"/>
          <w:lang w:val="en-US"/>
        </w:rPr>
      </w:pPr>
    </w:p>
    <w:p w14:paraId="375545CA" w14:textId="77777777" w:rsidR="00376718" w:rsidRPr="0044402B" w:rsidRDefault="00347E5C" w:rsidP="00D32A6D">
      <w:pPr>
        <w:pStyle w:val="Heading1"/>
        <w:rPr>
          <w:rFonts w:ascii="Calibri" w:hAnsi="Calibri" w:cs="Calibri"/>
          <w:color w:val="0070C0"/>
          <w:sz w:val="28"/>
          <w:szCs w:val="28"/>
          <w:lang w:val="en-US"/>
        </w:rPr>
      </w:pPr>
      <w:r w:rsidRPr="008C761D">
        <w:rPr>
          <w:color w:val="2F5496"/>
          <w:lang w:val="en-US"/>
        </w:rPr>
        <w:br w:type="page"/>
      </w:r>
      <w:bookmarkStart w:id="39" w:name="_Toc160611819"/>
      <w:r w:rsidR="00376718" w:rsidRPr="0044402B">
        <w:rPr>
          <w:rFonts w:ascii="Calibri" w:hAnsi="Calibri" w:cs="Calibri"/>
          <w:color w:val="0070C0"/>
          <w:sz w:val="28"/>
          <w:szCs w:val="28"/>
          <w:lang w:val="en-US"/>
        </w:rPr>
        <w:lastRenderedPageBreak/>
        <w:t>Priority 2: Strengthened Public Investment Management</w:t>
      </w:r>
      <w:bookmarkEnd w:id="39"/>
    </w:p>
    <w:p w14:paraId="5D63357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42070354" w14:textId="77777777" w:rsidR="00376718" w:rsidRPr="008C761D" w:rsidRDefault="00376718" w:rsidP="00E84CD0">
      <w:pPr>
        <w:spacing w:before="80" w:after="80" w:line="240" w:lineRule="auto"/>
        <w:jc w:val="both"/>
        <w:rPr>
          <w:rFonts w:eastAsia="MS PGothic" w:cs="Calibri"/>
          <w:lang w:val="en-US" w:eastAsia="zh-CN"/>
        </w:rPr>
      </w:pPr>
      <w:r w:rsidRPr="008C761D">
        <w:rPr>
          <w:rFonts w:eastAsia="MS PGothic" w:cs="Calibri"/>
          <w:lang w:val="en-US" w:eastAsia="zh-CN"/>
        </w:rPr>
        <w:t xml:space="preserve">Increased efficiency in the provision of public infrastructure assets and strengthened Public Investment Management framework. </w:t>
      </w:r>
    </w:p>
    <w:p w14:paraId="12508011" w14:textId="450782A5" w:rsidR="00376718" w:rsidRPr="008C761D" w:rsidRDefault="001E4F96" w:rsidP="00E84CD0">
      <w:pPr>
        <w:spacing w:before="80" w:after="80" w:line="240" w:lineRule="auto"/>
        <w:jc w:val="both"/>
        <w:rPr>
          <w:rFonts w:eastAsia="MS PGothic" w:cs="Calibri"/>
          <w:lang w:val="en-US" w:eastAsia="zh-CN"/>
        </w:rPr>
      </w:pPr>
      <w:r w:rsidRPr="008C761D">
        <w:rPr>
          <w:rFonts w:eastAsia="MS PGothic" w:cs="Calibri"/>
          <w:lang w:val="en-US" w:eastAsia="zh-CN"/>
        </w:rPr>
        <w:t>The objective of increasing efficiency in the provision of public infrastructure assets by strengthening the public investment management framework will be achieved through the following measures and activities:</w:t>
      </w:r>
    </w:p>
    <w:tbl>
      <w:tblPr>
        <w:tblW w:w="8930" w:type="dxa"/>
        <w:tblLook w:val="01E0" w:firstRow="1" w:lastRow="1" w:firstColumn="1" w:lastColumn="1" w:noHBand="0" w:noVBand="0"/>
      </w:tblPr>
      <w:tblGrid>
        <w:gridCol w:w="1384"/>
        <w:gridCol w:w="7546"/>
      </w:tblGrid>
      <w:tr w:rsidR="00376718" w:rsidRPr="008C761D" w14:paraId="51046B97" w14:textId="77777777" w:rsidTr="000D68DB">
        <w:trPr>
          <w:trHeight w:val="648"/>
        </w:trPr>
        <w:tc>
          <w:tcPr>
            <w:tcW w:w="1384" w:type="dxa"/>
            <w:shd w:val="clear" w:color="auto" w:fill="auto"/>
          </w:tcPr>
          <w:p w14:paraId="354DC14D" w14:textId="77777777" w:rsidR="00376718" w:rsidRPr="008C761D" w:rsidRDefault="00376718" w:rsidP="0044402B">
            <w:pPr>
              <w:spacing w:before="120" w:after="0" w:line="240" w:lineRule="auto"/>
              <w:jc w:val="both"/>
              <w:rPr>
                <w:rFonts w:cs="Calibri"/>
                <w:b/>
                <w:lang w:val="en-US"/>
              </w:rPr>
            </w:pPr>
            <w:r w:rsidRPr="008C761D">
              <w:rPr>
                <w:rFonts w:cs="Calibri"/>
                <w:b/>
                <w:lang w:val="en-US"/>
              </w:rPr>
              <w:t>Measure 1:</w:t>
            </w:r>
          </w:p>
        </w:tc>
        <w:tc>
          <w:tcPr>
            <w:tcW w:w="7546" w:type="dxa"/>
            <w:shd w:val="clear" w:color="auto" w:fill="auto"/>
          </w:tcPr>
          <w:p w14:paraId="721D1F2E" w14:textId="77777777" w:rsidR="00376718" w:rsidRDefault="006A55CA" w:rsidP="0044402B">
            <w:pPr>
              <w:spacing w:before="120" w:after="0" w:line="240" w:lineRule="auto"/>
              <w:ind w:left="317"/>
              <w:jc w:val="both"/>
              <w:rPr>
                <w:rFonts w:cs="Calibri"/>
                <w:b/>
                <w:lang w:val="en-US"/>
              </w:rPr>
            </w:pPr>
            <w:r w:rsidRPr="008C761D">
              <w:rPr>
                <w:rFonts w:cs="Calibri"/>
                <w:b/>
                <w:lang w:val="en-US"/>
              </w:rPr>
              <w:t>Efficient coordination and development of public investment management processes</w:t>
            </w:r>
          </w:p>
          <w:p w14:paraId="02FD7880" w14:textId="58C75538" w:rsidR="0044402B" w:rsidRPr="0044402B" w:rsidRDefault="0044402B" w:rsidP="0044402B">
            <w:pPr>
              <w:spacing w:before="120" w:after="0" w:line="240" w:lineRule="auto"/>
              <w:ind w:left="317"/>
              <w:jc w:val="both"/>
              <w:rPr>
                <w:rFonts w:cs="Calibri"/>
                <w:b/>
                <w:sz w:val="10"/>
                <w:szCs w:val="10"/>
                <w:lang w:val="en-US"/>
              </w:rPr>
            </w:pPr>
          </w:p>
        </w:tc>
      </w:tr>
      <w:tr w:rsidR="001E4F96" w:rsidRPr="008C761D" w14:paraId="35D33EDA" w14:textId="77777777" w:rsidTr="000D68DB">
        <w:trPr>
          <w:trHeight w:val="279"/>
        </w:trPr>
        <w:tc>
          <w:tcPr>
            <w:tcW w:w="1384" w:type="dxa"/>
            <w:shd w:val="clear" w:color="auto" w:fill="auto"/>
          </w:tcPr>
          <w:p w14:paraId="31A05654" w14:textId="77777777" w:rsidR="001E4F96" w:rsidRPr="008C761D" w:rsidRDefault="001E4F96" w:rsidP="0044402B">
            <w:pPr>
              <w:spacing w:after="0" w:line="240" w:lineRule="auto"/>
              <w:jc w:val="both"/>
              <w:rPr>
                <w:rFonts w:cs="Calibri"/>
                <w:lang w:val="en-US"/>
              </w:rPr>
            </w:pPr>
            <w:r w:rsidRPr="008C761D">
              <w:rPr>
                <w:rFonts w:cs="Calibri"/>
                <w:lang w:val="en-US"/>
              </w:rPr>
              <w:t>Activity 1:</w:t>
            </w:r>
          </w:p>
        </w:tc>
        <w:tc>
          <w:tcPr>
            <w:tcW w:w="7546" w:type="dxa"/>
            <w:shd w:val="clear" w:color="auto" w:fill="auto"/>
          </w:tcPr>
          <w:p w14:paraId="439380DA" w14:textId="07D4A609" w:rsidR="001E4F96" w:rsidRDefault="006F5904" w:rsidP="0044402B">
            <w:pPr>
              <w:autoSpaceDE w:val="0"/>
              <w:autoSpaceDN w:val="0"/>
              <w:adjustRightInd w:val="0"/>
              <w:spacing w:after="0" w:line="240" w:lineRule="auto"/>
              <w:ind w:left="360"/>
              <w:jc w:val="both"/>
              <w:rPr>
                <w:lang w:val="en-US"/>
              </w:rPr>
            </w:pPr>
            <w:r w:rsidRPr="008C761D">
              <w:rPr>
                <w:lang w:val="en-US"/>
              </w:rPr>
              <w:t>Strengthen the supporting legal framework for PIM</w:t>
            </w:r>
          </w:p>
          <w:p w14:paraId="6F1C9028" w14:textId="38DE4F43" w:rsidR="0044402B" w:rsidRPr="0044402B" w:rsidRDefault="0044402B" w:rsidP="0044402B">
            <w:pPr>
              <w:autoSpaceDE w:val="0"/>
              <w:autoSpaceDN w:val="0"/>
              <w:adjustRightInd w:val="0"/>
              <w:spacing w:after="0" w:line="240" w:lineRule="auto"/>
              <w:ind w:left="360"/>
              <w:jc w:val="both"/>
              <w:rPr>
                <w:rFonts w:eastAsia="SimSun" w:cs="Calibri"/>
                <w:sz w:val="10"/>
                <w:szCs w:val="10"/>
                <w:lang w:val="en-US" w:eastAsia="zh-CN"/>
              </w:rPr>
            </w:pPr>
          </w:p>
        </w:tc>
      </w:tr>
      <w:tr w:rsidR="001E4F96" w:rsidRPr="008C761D" w14:paraId="60D8A42D" w14:textId="77777777" w:rsidTr="00BA5E44">
        <w:tc>
          <w:tcPr>
            <w:tcW w:w="1384" w:type="dxa"/>
            <w:shd w:val="clear" w:color="auto" w:fill="auto"/>
          </w:tcPr>
          <w:p w14:paraId="041EEF77" w14:textId="77777777" w:rsidR="001E4F96" w:rsidRPr="008C761D" w:rsidRDefault="001E4F96" w:rsidP="0044402B">
            <w:pPr>
              <w:spacing w:after="0" w:line="240" w:lineRule="auto"/>
              <w:jc w:val="both"/>
              <w:rPr>
                <w:rFonts w:cs="Calibri"/>
                <w:lang w:val="en-US"/>
              </w:rPr>
            </w:pPr>
            <w:r w:rsidRPr="008C761D">
              <w:rPr>
                <w:rFonts w:cs="Calibri"/>
                <w:lang w:val="en-US"/>
              </w:rPr>
              <w:t>Activity 2:</w:t>
            </w:r>
          </w:p>
        </w:tc>
        <w:tc>
          <w:tcPr>
            <w:tcW w:w="7546" w:type="dxa"/>
            <w:shd w:val="clear" w:color="auto" w:fill="auto"/>
          </w:tcPr>
          <w:p w14:paraId="31D55989" w14:textId="03F25AAD" w:rsidR="001E4F96" w:rsidRPr="008C761D" w:rsidRDefault="006F5904" w:rsidP="0044402B">
            <w:pPr>
              <w:autoSpaceDE w:val="0"/>
              <w:autoSpaceDN w:val="0"/>
              <w:adjustRightInd w:val="0"/>
              <w:spacing w:after="0" w:line="240" w:lineRule="auto"/>
              <w:ind w:left="360"/>
              <w:jc w:val="both"/>
              <w:rPr>
                <w:rFonts w:eastAsia="SimSun" w:cs="Calibri"/>
                <w:lang w:val="en-US" w:eastAsia="zh-CN"/>
              </w:rPr>
            </w:pPr>
            <w:r w:rsidRPr="008C761D">
              <w:rPr>
                <w:lang w:val="en-US"/>
              </w:rPr>
              <w:t>Strengthen the institutional capacity of the MoF in the PIM system</w:t>
            </w:r>
          </w:p>
        </w:tc>
      </w:tr>
      <w:tr w:rsidR="00376718" w:rsidRPr="008C761D" w14:paraId="30519AD8" w14:textId="77777777" w:rsidTr="00BA5E44">
        <w:tc>
          <w:tcPr>
            <w:tcW w:w="1384" w:type="dxa"/>
            <w:shd w:val="clear" w:color="auto" w:fill="auto"/>
          </w:tcPr>
          <w:p w14:paraId="721F3028" w14:textId="77777777" w:rsidR="00376718" w:rsidRPr="008C761D" w:rsidRDefault="00376718" w:rsidP="0044402B">
            <w:pPr>
              <w:spacing w:before="120" w:after="0" w:line="240" w:lineRule="auto"/>
              <w:jc w:val="both"/>
              <w:rPr>
                <w:rFonts w:cs="Calibri"/>
                <w:b/>
                <w:lang w:val="en-US"/>
              </w:rPr>
            </w:pPr>
            <w:r w:rsidRPr="008C761D">
              <w:rPr>
                <w:rFonts w:cs="Calibri"/>
                <w:b/>
                <w:lang w:val="en-US"/>
              </w:rPr>
              <w:t>Measure 2:</w:t>
            </w:r>
          </w:p>
        </w:tc>
        <w:tc>
          <w:tcPr>
            <w:tcW w:w="7546" w:type="dxa"/>
            <w:shd w:val="clear" w:color="auto" w:fill="auto"/>
          </w:tcPr>
          <w:p w14:paraId="1DC8BBEE" w14:textId="77777777" w:rsidR="00376718" w:rsidRDefault="001E4F96" w:rsidP="0044402B">
            <w:pPr>
              <w:spacing w:before="120" w:after="0" w:line="240" w:lineRule="auto"/>
              <w:ind w:left="317"/>
              <w:jc w:val="both"/>
              <w:rPr>
                <w:rFonts w:cs="Calibri"/>
                <w:b/>
                <w:lang w:val="en-US"/>
              </w:rPr>
            </w:pPr>
            <w:r w:rsidRPr="008C761D">
              <w:rPr>
                <w:rFonts w:cs="Calibri"/>
                <w:b/>
                <w:lang w:val="en-US"/>
              </w:rPr>
              <w:t>Established single pipeline of appraised capital public investment projects</w:t>
            </w:r>
          </w:p>
          <w:p w14:paraId="31875842" w14:textId="62421FBF" w:rsidR="0044402B" w:rsidRPr="0044402B" w:rsidRDefault="0044402B" w:rsidP="0044402B">
            <w:pPr>
              <w:spacing w:before="120" w:after="0" w:line="240" w:lineRule="auto"/>
              <w:ind w:left="317"/>
              <w:jc w:val="both"/>
              <w:rPr>
                <w:rFonts w:cs="Calibri"/>
                <w:b/>
                <w:sz w:val="10"/>
                <w:szCs w:val="10"/>
                <w:lang w:val="en-US"/>
              </w:rPr>
            </w:pPr>
          </w:p>
        </w:tc>
      </w:tr>
      <w:tr w:rsidR="001E4F96" w:rsidRPr="008C761D" w14:paraId="21C347B0" w14:textId="77777777" w:rsidTr="00BA5E44">
        <w:tc>
          <w:tcPr>
            <w:tcW w:w="1384" w:type="dxa"/>
            <w:shd w:val="clear" w:color="auto" w:fill="auto"/>
          </w:tcPr>
          <w:p w14:paraId="45AE1328" w14:textId="77777777" w:rsidR="001E4F96" w:rsidRPr="008C761D" w:rsidRDefault="001E4F96" w:rsidP="0044402B">
            <w:pPr>
              <w:spacing w:after="0" w:line="240" w:lineRule="auto"/>
              <w:jc w:val="both"/>
              <w:rPr>
                <w:rFonts w:cs="Calibri"/>
                <w:lang w:val="en-US"/>
              </w:rPr>
            </w:pPr>
            <w:r w:rsidRPr="008C761D">
              <w:rPr>
                <w:lang w:val="en-US"/>
              </w:rPr>
              <w:t>Activity 1:</w:t>
            </w:r>
          </w:p>
        </w:tc>
        <w:tc>
          <w:tcPr>
            <w:tcW w:w="7546" w:type="dxa"/>
            <w:shd w:val="clear" w:color="auto" w:fill="auto"/>
          </w:tcPr>
          <w:p w14:paraId="2EADF293" w14:textId="463F5CB7" w:rsidR="001E4F96" w:rsidRDefault="006F5904" w:rsidP="0044402B">
            <w:pPr>
              <w:autoSpaceDE w:val="0"/>
              <w:autoSpaceDN w:val="0"/>
              <w:adjustRightInd w:val="0"/>
              <w:spacing w:after="0" w:line="240" w:lineRule="auto"/>
              <w:ind w:left="360"/>
              <w:jc w:val="both"/>
              <w:rPr>
                <w:lang w:val="en-US"/>
              </w:rPr>
            </w:pPr>
            <w:r w:rsidRPr="008C761D">
              <w:rPr>
                <w:lang w:val="en-US"/>
              </w:rPr>
              <w:t>Develop general public investment project appraisal methodology</w:t>
            </w:r>
          </w:p>
          <w:p w14:paraId="4221B255" w14:textId="0CC2F7ED" w:rsidR="0044402B" w:rsidRPr="0044402B" w:rsidRDefault="0044402B" w:rsidP="0044402B">
            <w:pPr>
              <w:autoSpaceDE w:val="0"/>
              <w:autoSpaceDN w:val="0"/>
              <w:adjustRightInd w:val="0"/>
              <w:spacing w:after="0" w:line="240" w:lineRule="auto"/>
              <w:ind w:left="360"/>
              <w:jc w:val="both"/>
              <w:rPr>
                <w:rFonts w:eastAsia="SimSun" w:cs="Calibri"/>
                <w:sz w:val="10"/>
                <w:szCs w:val="10"/>
                <w:lang w:val="en-US" w:eastAsia="zh-CN"/>
              </w:rPr>
            </w:pPr>
          </w:p>
        </w:tc>
      </w:tr>
      <w:tr w:rsidR="00376718" w:rsidRPr="008C761D" w14:paraId="33EE620D" w14:textId="77777777" w:rsidTr="00BA5E44">
        <w:tc>
          <w:tcPr>
            <w:tcW w:w="1384" w:type="dxa"/>
            <w:shd w:val="clear" w:color="auto" w:fill="auto"/>
          </w:tcPr>
          <w:p w14:paraId="5BA1F87D" w14:textId="77777777" w:rsidR="00376718" w:rsidRPr="008C761D" w:rsidRDefault="00376718" w:rsidP="0044402B">
            <w:pPr>
              <w:spacing w:after="0" w:line="240" w:lineRule="auto"/>
              <w:jc w:val="both"/>
              <w:rPr>
                <w:rFonts w:cs="Calibri"/>
                <w:lang w:val="en-US"/>
              </w:rPr>
            </w:pPr>
            <w:r w:rsidRPr="008C761D">
              <w:rPr>
                <w:rFonts w:cs="Calibri"/>
                <w:lang w:val="en-US"/>
              </w:rPr>
              <w:t>Activity 2:</w:t>
            </w:r>
          </w:p>
        </w:tc>
        <w:tc>
          <w:tcPr>
            <w:tcW w:w="7546" w:type="dxa"/>
            <w:shd w:val="clear" w:color="auto" w:fill="auto"/>
          </w:tcPr>
          <w:p w14:paraId="432B894B" w14:textId="77777777" w:rsidR="00376718" w:rsidRDefault="006F5904" w:rsidP="0044402B">
            <w:pPr>
              <w:autoSpaceDE w:val="0"/>
              <w:autoSpaceDN w:val="0"/>
              <w:adjustRightInd w:val="0"/>
              <w:spacing w:after="0" w:line="240" w:lineRule="auto"/>
              <w:ind w:left="360"/>
              <w:jc w:val="both"/>
              <w:rPr>
                <w:rFonts w:eastAsia="SimSun" w:cs="Calibri"/>
                <w:lang w:val="en-US" w:eastAsia="zh-CN"/>
              </w:rPr>
            </w:pPr>
            <w:r w:rsidRPr="008C761D">
              <w:rPr>
                <w:rFonts w:eastAsia="SimSun" w:cs="Calibri"/>
                <w:lang w:val="en-US" w:eastAsia="zh-CN"/>
              </w:rPr>
              <w:t>Establish standard criteria for project selection/prioritization</w:t>
            </w:r>
          </w:p>
          <w:p w14:paraId="6FC6AD2C" w14:textId="623FC313" w:rsidR="0044402B" w:rsidRPr="0044402B" w:rsidRDefault="0044402B" w:rsidP="0044402B">
            <w:pPr>
              <w:autoSpaceDE w:val="0"/>
              <w:autoSpaceDN w:val="0"/>
              <w:adjustRightInd w:val="0"/>
              <w:spacing w:after="0" w:line="240" w:lineRule="auto"/>
              <w:ind w:left="360"/>
              <w:jc w:val="both"/>
              <w:rPr>
                <w:rFonts w:eastAsia="SimSun" w:cs="Calibri"/>
                <w:sz w:val="10"/>
                <w:szCs w:val="10"/>
                <w:lang w:val="en-US" w:eastAsia="zh-CN"/>
              </w:rPr>
            </w:pPr>
          </w:p>
        </w:tc>
      </w:tr>
      <w:tr w:rsidR="00376718" w:rsidRPr="008C761D" w14:paraId="00E21279" w14:textId="77777777" w:rsidTr="00BA5E44">
        <w:tc>
          <w:tcPr>
            <w:tcW w:w="1384" w:type="dxa"/>
            <w:shd w:val="clear" w:color="auto" w:fill="auto"/>
          </w:tcPr>
          <w:p w14:paraId="5B346A4F" w14:textId="77777777" w:rsidR="00376718" w:rsidRPr="008C761D" w:rsidRDefault="00376718" w:rsidP="0044402B">
            <w:pPr>
              <w:spacing w:after="0" w:line="240" w:lineRule="auto"/>
              <w:jc w:val="both"/>
              <w:rPr>
                <w:rFonts w:cs="Calibri"/>
                <w:lang w:val="en-US"/>
              </w:rPr>
            </w:pPr>
            <w:r w:rsidRPr="008C761D">
              <w:rPr>
                <w:rFonts w:cs="Calibri"/>
                <w:lang w:val="en-US"/>
              </w:rPr>
              <w:t>Activity 3:</w:t>
            </w:r>
          </w:p>
        </w:tc>
        <w:tc>
          <w:tcPr>
            <w:tcW w:w="7546" w:type="dxa"/>
            <w:shd w:val="clear" w:color="auto" w:fill="auto"/>
          </w:tcPr>
          <w:p w14:paraId="1CD07DB6" w14:textId="77777777" w:rsidR="00376718" w:rsidRDefault="001E4F96" w:rsidP="0044402B">
            <w:pPr>
              <w:autoSpaceDE w:val="0"/>
              <w:autoSpaceDN w:val="0"/>
              <w:adjustRightInd w:val="0"/>
              <w:spacing w:after="0" w:line="240" w:lineRule="auto"/>
              <w:ind w:left="360"/>
              <w:jc w:val="both"/>
              <w:rPr>
                <w:rFonts w:eastAsia="SimSun" w:cs="Calibri"/>
                <w:lang w:val="en-US" w:eastAsia="zh-CN"/>
              </w:rPr>
            </w:pPr>
            <w:r w:rsidRPr="008C761D">
              <w:rPr>
                <w:rFonts w:eastAsia="SimSun" w:cs="Calibri"/>
                <w:lang w:val="en-US" w:eastAsia="zh-CN"/>
              </w:rPr>
              <w:t>Provide training to MoF professionals on project appraisal and review of preinvestment studies</w:t>
            </w:r>
          </w:p>
          <w:p w14:paraId="04DF2D86" w14:textId="783ED078" w:rsidR="0044402B" w:rsidRPr="0044402B" w:rsidRDefault="0044402B" w:rsidP="0044402B">
            <w:pPr>
              <w:autoSpaceDE w:val="0"/>
              <w:autoSpaceDN w:val="0"/>
              <w:adjustRightInd w:val="0"/>
              <w:spacing w:after="0" w:line="240" w:lineRule="auto"/>
              <w:ind w:left="360"/>
              <w:jc w:val="both"/>
              <w:rPr>
                <w:rFonts w:eastAsia="SimSun" w:cs="Calibri"/>
                <w:sz w:val="10"/>
                <w:szCs w:val="10"/>
                <w:lang w:val="en-US" w:eastAsia="zh-CN"/>
              </w:rPr>
            </w:pPr>
          </w:p>
        </w:tc>
      </w:tr>
      <w:tr w:rsidR="00376718" w:rsidRPr="008C761D" w14:paraId="3209C541" w14:textId="77777777" w:rsidTr="00BA5E44">
        <w:tc>
          <w:tcPr>
            <w:tcW w:w="1384" w:type="dxa"/>
            <w:shd w:val="clear" w:color="auto" w:fill="auto"/>
          </w:tcPr>
          <w:p w14:paraId="7BEB668C" w14:textId="77777777" w:rsidR="00376718" w:rsidRPr="008C761D" w:rsidRDefault="00376718" w:rsidP="0044402B">
            <w:pPr>
              <w:spacing w:after="0" w:line="240" w:lineRule="auto"/>
              <w:jc w:val="both"/>
              <w:rPr>
                <w:rFonts w:cs="Calibri"/>
                <w:lang w:val="en-US"/>
              </w:rPr>
            </w:pPr>
            <w:r w:rsidRPr="008C761D">
              <w:rPr>
                <w:rFonts w:cs="Calibri"/>
                <w:lang w:val="en-US"/>
              </w:rPr>
              <w:t>Activity 4:</w:t>
            </w:r>
          </w:p>
        </w:tc>
        <w:tc>
          <w:tcPr>
            <w:tcW w:w="7546" w:type="dxa"/>
            <w:shd w:val="clear" w:color="auto" w:fill="auto"/>
          </w:tcPr>
          <w:p w14:paraId="10CA0AB7" w14:textId="31722618" w:rsidR="00376718" w:rsidRPr="008C761D" w:rsidRDefault="001E4F96" w:rsidP="0044402B">
            <w:pPr>
              <w:autoSpaceDE w:val="0"/>
              <w:autoSpaceDN w:val="0"/>
              <w:adjustRightInd w:val="0"/>
              <w:spacing w:after="0" w:line="240" w:lineRule="auto"/>
              <w:ind w:left="360"/>
              <w:jc w:val="both"/>
              <w:rPr>
                <w:rFonts w:eastAsia="SimSun" w:cs="Calibri"/>
                <w:lang w:val="en-US" w:eastAsia="zh-CN"/>
              </w:rPr>
            </w:pPr>
            <w:r w:rsidRPr="008C761D">
              <w:rPr>
                <w:rFonts w:eastAsia="SimSun" w:cs="Calibri"/>
                <w:lang w:val="en-US" w:eastAsia="zh-CN"/>
              </w:rPr>
              <w:t>Provide training to budget users/SoEs/LSGUs professionals on project formulation</w:t>
            </w:r>
            <w:r w:rsidR="001A101A">
              <w:rPr>
                <w:rFonts w:eastAsia="SimSun" w:cs="Calibri"/>
                <w:lang w:val="en-US" w:eastAsia="zh-CN"/>
              </w:rPr>
              <w:t>,</w:t>
            </w:r>
            <w:r w:rsidRPr="008C761D">
              <w:rPr>
                <w:rFonts w:eastAsia="SimSun" w:cs="Calibri"/>
                <w:lang w:val="en-US" w:eastAsia="zh-CN"/>
              </w:rPr>
              <w:t xml:space="preserve"> appraisal and selection</w:t>
            </w:r>
          </w:p>
        </w:tc>
      </w:tr>
      <w:tr w:rsidR="00376718" w:rsidRPr="008C761D" w14:paraId="59F2364E" w14:textId="77777777" w:rsidTr="00BA5E44">
        <w:tc>
          <w:tcPr>
            <w:tcW w:w="1384" w:type="dxa"/>
            <w:shd w:val="clear" w:color="auto" w:fill="auto"/>
          </w:tcPr>
          <w:p w14:paraId="3BE11FFC" w14:textId="77777777" w:rsidR="00376718" w:rsidRPr="008C761D" w:rsidRDefault="00376718" w:rsidP="0044402B">
            <w:pPr>
              <w:spacing w:before="240" w:after="0" w:line="240" w:lineRule="auto"/>
              <w:jc w:val="both"/>
              <w:rPr>
                <w:rFonts w:cs="Calibri"/>
                <w:lang w:val="en-US"/>
              </w:rPr>
            </w:pPr>
            <w:r w:rsidRPr="008C761D">
              <w:rPr>
                <w:rFonts w:cs="Calibri"/>
                <w:b/>
                <w:lang w:val="en-US"/>
              </w:rPr>
              <w:t>Measure 3:</w:t>
            </w:r>
          </w:p>
        </w:tc>
        <w:tc>
          <w:tcPr>
            <w:tcW w:w="7546" w:type="dxa"/>
            <w:shd w:val="clear" w:color="auto" w:fill="auto"/>
          </w:tcPr>
          <w:p w14:paraId="3A490879" w14:textId="77777777" w:rsidR="00376718" w:rsidRDefault="00376718" w:rsidP="0044402B">
            <w:pPr>
              <w:spacing w:before="240" w:after="0" w:line="240" w:lineRule="auto"/>
              <w:ind w:left="317"/>
              <w:jc w:val="both"/>
              <w:rPr>
                <w:rFonts w:cs="Calibri"/>
                <w:b/>
                <w:lang w:val="en-US"/>
              </w:rPr>
            </w:pPr>
            <w:r w:rsidRPr="008C761D">
              <w:rPr>
                <w:rFonts w:cs="Calibri"/>
                <w:b/>
                <w:lang w:val="en-US"/>
              </w:rPr>
              <w:t>Efficient and effective monitoring of capital investments</w:t>
            </w:r>
          </w:p>
          <w:p w14:paraId="4694EA6D" w14:textId="05737B2C" w:rsidR="0044402B" w:rsidRPr="0044402B" w:rsidRDefault="0044402B" w:rsidP="0044402B">
            <w:pPr>
              <w:spacing w:before="240" w:after="0" w:line="240" w:lineRule="auto"/>
              <w:ind w:left="317"/>
              <w:jc w:val="both"/>
              <w:rPr>
                <w:rFonts w:cs="Calibri"/>
                <w:b/>
                <w:color w:val="FF0000"/>
                <w:sz w:val="10"/>
                <w:szCs w:val="10"/>
                <w:lang w:val="en-US"/>
              </w:rPr>
            </w:pPr>
          </w:p>
        </w:tc>
      </w:tr>
      <w:tr w:rsidR="00376718" w:rsidRPr="008C761D" w14:paraId="24380FF8" w14:textId="77777777" w:rsidTr="00BA5E44">
        <w:tc>
          <w:tcPr>
            <w:tcW w:w="1384" w:type="dxa"/>
            <w:shd w:val="clear" w:color="auto" w:fill="auto"/>
          </w:tcPr>
          <w:p w14:paraId="3C1A3EF4" w14:textId="77777777" w:rsidR="00376718" w:rsidRPr="008C761D" w:rsidRDefault="00376718" w:rsidP="0044402B">
            <w:pPr>
              <w:spacing w:after="0" w:line="240" w:lineRule="auto"/>
              <w:jc w:val="both"/>
              <w:rPr>
                <w:rFonts w:cs="Calibri"/>
                <w:lang w:val="en-US"/>
              </w:rPr>
            </w:pPr>
            <w:r w:rsidRPr="008C761D">
              <w:rPr>
                <w:rFonts w:cs="Calibri"/>
                <w:lang w:val="en-US"/>
              </w:rPr>
              <w:t>Activity 1:</w:t>
            </w:r>
          </w:p>
        </w:tc>
        <w:tc>
          <w:tcPr>
            <w:tcW w:w="7546" w:type="dxa"/>
            <w:shd w:val="clear" w:color="auto" w:fill="auto"/>
          </w:tcPr>
          <w:p w14:paraId="3383AB14" w14:textId="77777777" w:rsidR="00376718" w:rsidRDefault="00BE0692" w:rsidP="0044402B">
            <w:pPr>
              <w:autoSpaceDE w:val="0"/>
              <w:autoSpaceDN w:val="0"/>
              <w:adjustRightInd w:val="0"/>
              <w:spacing w:after="0" w:line="240" w:lineRule="auto"/>
              <w:ind w:left="360"/>
              <w:jc w:val="both"/>
              <w:rPr>
                <w:rFonts w:eastAsia="SimSun" w:cs="Calibri"/>
                <w:lang w:val="en-US" w:eastAsia="zh-CN"/>
              </w:rPr>
            </w:pPr>
            <w:r w:rsidRPr="008C761D">
              <w:rPr>
                <w:rFonts w:eastAsia="SimSun" w:cs="Calibri"/>
                <w:lang w:val="en-US" w:eastAsia="zh-CN"/>
              </w:rPr>
              <w:t>Introduce procedures for risk-based centralized monitoring</w:t>
            </w:r>
          </w:p>
          <w:p w14:paraId="55EDF0B4" w14:textId="1ED6DA5C" w:rsidR="0044402B" w:rsidRPr="0044402B" w:rsidRDefault="0044402B" w:rsidP="0044402B">
            <w:pPr>
              <w:autoSpaceDE w:val="0"/>
              <w:autoSpaceDN w:val="0"/>
              <w:adjustRightInd w:val="0"/>
              <w:spacing w:after="0" w:line="240" w:lineRule="auto"/>
              <w:ind w:left="360"/>
              <w:jc w:val="both"/>
              <w:rPr>
                <w:rFonts w:eastAsia="SimSun" w:cs="Calibri"/>
                <w:sz w:val="10"/>
                <w:szCs w:val="10"/>
                <w:lang w:val="en-US" w:eastAsia="zh-CN"/>
              </w:rPr>
            </w:pPr>
          </w:p>
        </w:tc>
      </w:tr>
      <w:tr w:rsidR="00376718" w:rsidRPr="008C761D" w14:paraId="6C19A638" w14:textId="77777777" w:rsidTr="00BA5E44">
        <w:tc>
          <w:tcPr>
            <w:tcW w:w="1384" w:type="dxa"/>
            <w:shd w:val="clear" w:color="auto" w:fill="auto"/>
          </w:tcPr>
          <w:p w14:paraId="15C96A1F" w14:textId="77777777" w:rsidR="00376718" w:rsidRPr="008C761D" w:rsidRDefault="00376718" w:rsidP="0044402B">
            <w:pPr>
              <w:spacing w:after="0" w:line="240" w:lineRule="auto"/>
              <w:jc w:val="both"/>
              <w:rPr>
                <w:rFonts w:cs="Calibri"/>
                <w:lang w:val="en-US"/>
              </w:rPr>
            </w:pPr>
            <w:r w:rsidRPr="008C761D">
              <w:rPr>
                <w:rFonts w:cs="Calibri"/>
                <w:lang w:val="en-US"/>
              </w:rPr>
              <w:t>Activity 2:</w:t>
            </w:r>
          </w:p>
        </w:tc>
        <w:tc>
          <w:tcPr>
            <w:tcW w:w="7546" w:type="dxa"/>
            <w:shd w:val="clear" w:color="auto" w:fill="auto"/>
          </w:tcPr>
          <w:p w14:paraId="03EB950A" w14:textId="77777777" w:rsidR="00376718" w:rsidRDefault="00BE0692" w:rsidP="0044402B">
            <w:pPr>
              <w:spacing w:after="0" w:line="240" w:lineRule="auto"/>
              <w:ind w:left="360"/>
              <w:jc w:val="both"/>
              <w:rPr>
                <w:rFonts w:eastAsia="SimSun" w:cs="Calibri"/>
                <w:lang w:val="en-US" w:eastAsia="zh-CN"/>
              </w:rPr>
            </w:pPr>
            <w:r w:rsidRPr="008C761D">
              <w:rPr>
                <w:rFonts w:eastAsia="SimSun" w:cs="Calibri"/>
                <w:lang w:val="en-US" w:eastAsia="zh-CN"/>
              </w:rPr>
              <w:t>Introduce a formal requirement for ex-post review of completed projects</w:t>
            </w:r>
          </w:p>
          <w:p w14:paraId="6AF8F69C" w14:textId="5D46E5D2" w:rsidR="0044402B" w:rsidRPr="0044402B" w:rsidRDefault="0044402B" w:rsidP="0044402B">
            <w:pPr>
              <w:spacing w:after="0" w:line="240" w:lineRule="auto"/>
              <w:ind w:left="360"/>
              <w:jc w:val="both"/>
              <w:rPr>
                <w:rFonts w:eastAsia="SimSun" w:cs="Calibri"/>
                <w:sz w:val="10"/>
                <w:szCs w:val="10"/>
                <w:lang w:val="en-US" w:eastAsia="zh-CN"/>
              </w:rPr>
            </w:pPr>
          </w:p>
        </w:tc>
      </w:tr>
      <w:tr w:rsidR="00376718" w:rsidRPr="008C761D" w14:paraId="01E996EC" w14:textId="77777777" w:rsidTr="00BA5E44">
        <w:tc>
          <w:tcPr>
            <w:tcW w:w="1384" w:type="dxa"/>
            <w:shd w:val="clear" w:color="auto" w:fill="auto"/>
          </w:tcPr>
          <w:p w14:paraId="2F0AB3BF" w14:textId="77777777" w:rsidR="00376718" w:rsidRPr="008C761D" w:rsidRDefault="00376718" w:rsidP="0044402B">
            <w:pPr>
              <w:spacing w:after="0" w:line="240" w:lineRule="auto"/>
              <w:jc w:val="both"/>
              <w:rPr>
                <w:rFonts w:cs="Calibri"/>
                <w:lang w:val="en-US"/>
              </w:rPr>
            </w:pPr>
            <w:r w:rsidRPr="008C761D">
              <w:rPr>
                <w:rFonts w:cs="Calibri"/>
                <w:lang w:val="en-US"/>
              </w:rPr>
              <w:t>Activity 3:</w:t>
            </w:r>
          </w:p>
        </w:tc>
        <w:tc>
          <w:tcPr>
            <w:tcW w:w="7546" w:type="dxa"/>
            <w:shd w:val="clear" w:color="auto" w:fill="auto"/>
          </w:tcPr>
          <w:p w14:paraId="489E7489" w14:textId="77777777" w:rsidR="00376718" w:rsidRPr="008C761D" w:rsidRDefault="00BE0692" w:rsidP="0044402B">
            <w:pPr>
              <w:spacing w:after="0" w:line="240" w:lineRule="auto"/>
              <w:ind w:left="360"/>
              <w:jc w:val="both"/>
              <w:rPr>
                <w:rFonts w:eastAsia="SimSun" w:cs="Calibri"/>
                <w:lang w:val="en-US" w:eastAsia="zh-CN"/>
              </w:rPr>
            </w:pPr>
            <w:r w:rsidRPr="008C761D">
              <w:rPr>
                <w:rFonts w:eastAsia="SimSun" w:cs="Calibri"/>
                <w:lang w:val="en-US" w:eastAsia="zh-CN"/>
              </w:rPr>
              <w:t>Develop a short-term IT solution for PIM</w:t>
            </w:r>
          </w:p>
        </w:tc>
      </w:tr>
    </w:tbl>
    <w:p w14:paraId="794F857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7AC02D1A" w14:textId="47BD6CDE" w:rsidR="00376718" w:rsidRPr="008C761D" w:rsidRDefault="00376718" w:rsidP="00E84CD0">
      <w:pPr>
        <w:spacing w:after="160" w:line="240" w:lineRule="auto"/>
        <w:jc w:val="both"/>
        <w:rPr>
          <w:rFonts w:cs="Calibri"/>
          <w:lang w:val="en-US"/>
        </w:rPr>
      </w:pPr>
      <w:r w:rsidRPr="008C761D">
        <w:rPr>
          <w:rFonts w:cs="Calibri"/>
          <w:lang w:val="en-US"/>
        </w:rPr>
        <w:t>Efficient and effective planning, selection and implementation of major public investment projects.</w:t>
      </w:r>
    </w:p>
    <w:p w14:paraId="398F2D91"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w:t>
      </w:r>
    </w:p>
    <w:p w14:paraId="44D3D58A" w14:textId="77777777" w:rsidR="00376718" w:rsidRPr="008C761D" w:rsidRDefault="00376718" w:rsidP="00E84CD0">
      <w:pPr>
        <w:spacing w:after="100" w:afterAutospacing="1" w:line="240" w:lineRule="auto"/>
        <w:jc w:val="both"/>
        <w:rPr>
          <w:rFonts w:cs="Calibri"/>
          <w:spacing w:val="-1"/>
          <w:lang w:val="en-US"/>
        </w:rPr>
      </w:pPr>
      <w:r w:rsidRPr="008C761D">
        <w:rPr>
          <w:rFonts w:cs="Calibri"/>
          <w:bCs/>
          <w:lang w:val="en-US"/>
        </w:rPr>
        <w:t>PEFA score for indicator PI - 11. Public Investment Management (dimensions 11.1. Economic analysis of investment projects, 11.2. Investment project selection, 11.3. Investment project costing, 11.4. Investment project monitoring</w:t>
      </w:r>
      <w:r w:rsidRPr="008C761D">
        <w:rPr>
          <w:rFonts w:cs="Calibri"/>
          <w:spacing w:val="-1"/>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7541EA" w:rsidRPr="008C761D" w14:paraId="1447BE4C" w14:textId="77777777" w:rsidTr="002B77A4">
        <w:trPr>
          <w:trHeight w:val="395"/>
        </w:trPr>
        <w:tc>
          <w:tcPr>
            <w:tcW w:w="4608" w:type="dxa"/>
            <w:shd w:val="clear" w:color="auto" w:fill="E8E8E8"/>
          </w:tcPr>
          <w:p w14:paraId="0DB3DC03" w14:textId="77777777" w:rsidR="007541EA" w:rsidRPr="008C761D" w:rsidRDefault="007541EA" w:rsidP="002B77A4">
            <w:pPr>
              <w:spacing w:line="240" w:lineRule="auto"/>
              <w:jc w:val="both"/>
              <w:rPr>
                <w:rFonts w:eastAsia="Times New Roman" w:cs="Calibri"/>
                <w:b/>
                <w:bCs/>
                <w:i/>
                <w:iCs/>
                <w:color w:val="202124"/>
                <w:lang w:val="en-US"/>
              </w:rPr>
            </w:pPr>
            <w:r w:rsidRPr="008C761D">
              <w:rPr>
                <w:rFonts w:eastAsia="Times New Roman" w:cs="Calibri"/>
                <w:b/>
                <w:bCs/>
                <w:i/>
                <w:iCs/>
                <w:color w:val="202124"/>
                <w:lang w:val="en-US"/>
              </w:rPr>
              <w:t>Baseline 2022</w:t>
            </w:r>
          </w:p>
        </w:tc>
        <w:tc>
          <w:tcPr>
            <w:tcW w:w="4608" w:type="dxa"/>
            <w:shd w:val="clear" w:color="auto" w:fill="E8E8E8"/>
          </w:tcPr>
          <w:p w14:paraId="480C2081" w14:textId="77777777" w:rsidR="007541EA" w:rsidRPr="008C761D" w:rsidRDefault="007541EA" w:rsidP="002B77A4">
            <w:pPr>
              <w:spacing w:line="240" w:lineRule="auto"/>
              <w:jc w:val="both"/>
              <w:rPr>
                <w:rFonts w:eastAsia="Times New Roman" w:cs="Calibri"/>
                <w:b/>
                <w:bCs/>
                <w:i/>
                <w:iCs/>
                <w:color w:val="202124"/>
                <w:lang w:val="en-US"/>
              </w:rPr>
            </w:pPr>
            <w:r w:rsidRPr="008C761D">
              <w:rPr>
                <w:rFonts w:eastAsia="Times New Roman" w:cs="Calibri"/>
                <w:b/>
                <w:bCs/>
                <w:i/>
                <w:iCs/>
                <w:color w:val="202124"/>
                <w:lang w:val="en-US"/>
              </w:rPr>
              <w:t>Target 2027</w:t>
            </w:r>
          </w:p>
        </w:tc>
      </w:tr>
      <w:tr w:rsidR="007541EA" w:rsidRPr="008C761D" w14:paraId="0D4AC1CB" w14:textId="77777777" w:rsidTr="002B77A4">
        <w:trPr>
          <w:trHeight w:val="278"/>
        </w:trPr>
        <w:tc>
          <w:tcPr>
            <w:tcW w:w="4608" w:type="dxa"/>
            <w:shd w:val="clear" w:color="auto" w:fill="E8E8E8"/>
          </w:tcPr>
          <w:p w14:paraId="1F5C1D63" w14:textId="77777777" w:rsidR="00083A12" w:rsidRPr="008C761D" w:rsidRDefault="00083A12" w:rsidP="002B77A4">
            <w:pPr>
              <w:spacing w:after="0" w:line="240" w:lineRule="auto"/>
              <w:ind w:firstLine="720"/>
              <w:jc w:val="both"/>
              <w:rPr>
                <w:rFonts w:eastAsia="Times New Roman" w:cs="Calibri"/>
                <w:color w:val="202124"/>
                <w:lang w:val="en-US"/>
              </w:rPr>
            </w:pPr>
            <w:r w:rsidRPr="008C761D">
              <w:rPr>
                <w:rFonts w:eastAsia="Times New Roman" w:cs="Calibri"/>
                <w:color w:val="202124"/>
                <w:lang w:val="en-US"/>
              </w:rPr>
              <w:t>PEFA Score D+</w:t>
            </w:r>
          </w:p>
          <w:p w14:paraId="2BE02626" w14:textId="77777777" w:rsidR="00083A12" w:rsidRPr="008C761D" w:rsidRDefault="00083A12" w:rsidP="002B77A4">
            <w:pPr>
              <w:spacing w:after="0" w:line="240" w:lineRule="auto"/>
              <w:ind w:firstLine="720"/>
              <w:jc w:val="both"/>
              <w:rPr>
                <w:rFonts w:eastAsia="Times New Roman" w:cs="Calibri"/>
                <w:color w:val="202124"/>
                <w:lang w:val="en-US"/>
              </w:rPr>
            </w:pPr>
            <w:r w:rsidRPr="008C761D">
              <w:rPr>
                <w:rFonts w:eastAsia="Times New Roman" w:cs="Calibri"/>
                <w:color w:val="202124"/>
                <w:lang w:val="en-US"/>
              </w:rPr>
              <w:t>C</w:t>
            </w:r>
          </w:p>
          <w:p w14:paraId="512448B6" w14:textId="77777777" w:rsidR="00083A12" w:rsidRPr="008C761D" w:rsidRDefault="00083A12" w:rsidP="002B77A4">
            <w:pPr>
              <w:spacing w:after="0" w:line="240" w:lineRule="auto"/>
              <w:ind w:firstLine="720"/>
              <w:jc w:val="both"/>
              <w:rPr>
                <w:rFonts w:eastAsia="Times New Roman" w:cs="Calibri"/>
                <w:color w:val="202124"/>
                <w:lang w:val="en-US"/>
              </w:rPr>
            </w:pPr>
            <w:r w:rsidRPr="008C761D">
              <w:rPr>
                <w:rFonts w:eastAsia="Times New Roman" w:cs="Calibri"/>
                <w:color w:val="202124"/>
                <w:lang w:val="en-US"/>
              </w:rPr>
              <w:t>D</w:t>
            </w:r>
          </w:p>
          <w:p w14:paraId="78063DD6" w14:textId="77777777" w:rsidR="00083A12" w:rsidRPr="008C761D" w:rsidRDefault="00083A12" w:rsidP="002B77A4">
            <w:pPr>
              <w:spacing w:after="0" w:line="240" w:lineRule="auto"/>
              <w:ind w:firstLine="720"/>
              <w:jc w:val="both"/>
              <w:rPr>
                <w:rFonts w:eastAsia="Times New Roman" w:cs="Calibri"/>
                <w:color w:val="202124"/>
                <w:lang w:val="en-US"/>
              </w:rPr>
            </w:pPr>
            <w:r w:rsidRPr="008C761D">
              <w:rPr>
                <w:rFonts w:eastAsia="Times New Roman" w:cs="Calibri"/>
                <w:color w:val="202124"/>
                <w:lang w:val="en-US"/>
              </w:rPr>
              <w:t>C</w:t>
            </w:r>
          </w:p>
          <w:p w14:paraId="227F4523" w14:textId="77777777" w:rsidR="007541EA" w:rsidRPr="008C761D" w:rsidRDefault="00083A12" w:rsidP="002B77A4">
            <w:pPr>
              <w:spacing w:after="0" w:line="240" w:lineRule="auto"/>
              <w:ind w:firstLine="720"/>
              <w:jc w:val="both"/>
              <w:rPr>
                <w:rFonts w:eastAsia="Times New Roman" w:cs="Calibri"/>
                <w:color w:val="202124"/>
                <w:lang w:val="en-US"/>
              </w:rPr>
            </w:pPr>
            <w:r w:rsidRPr="008C761D">
              <w:rPr>
                <w:rFonts w:eastAsia="Times New Roman" w:cs="Calibri"/>
                <w:color w:val="202124"/>
                <w:lang w:val="en-US"/>
              </w:rPr>
              <w:t>C</w:t>
            </w:r>
          </w:p>
        </w:tc>
        <w:tc>
          <w:tcPr>
            <w:tcW w:w="4608" w:type="dxa"/>
            <w:shd w:val="clear" w:color="auto" w:fill="E8E8E8"/>
          </w:tcPr>
          <w:p w14:paraId="078C1614" w14:textId="77777777" w:rsidR="00083A12" w:rsidRPr="008C761D" w:rsidRDefault="00083A12" w:rsidP="002B77A4">
            <w:pPr>
              <w:spacing w:after="0" w:line="240" w:lineRule="auto"/>
              <w:jc w:val="both"/>
              <w:rPr>
                <w:rFonts w:eastAsia="Times New Roman" w:cs="Calibri"/>
                <w:color w:val="202124"/>
                <w:lang w:val="en-US"/>
              </w:rPr>
            </w:pPr>
            <w:r w:rsidRPr="008C761D">
              <w:rPr>
                <w:rFonts w:eastAsia="Times New Roman" w:cs="Calibri"/>
                <w:color w:val="202124"/>
                <w:lang w:val="en-US"/>
              </w:rPr>
              <w:t>PEFA Score: &gt;C</w:t>
            </w:r>
          </w:p>
          <w:p w14:paraId="24379FE2" w14:textId="77777777" w:rsidR="00083A12" w:rsidRPr="008C761D" w:rsidRDefault="00083A12" w:rsidP="002B77A4">
            <w:pPr>
              <w:spacing w:after="0" w:line="240" w:lineRule="auto"/>
              <w:jc w:val="both"/>
              <w:rPr>
                <w:rFonts w:eastAsia="Times New Roman" w:cs="Calibri"/>
                <w:color w:val="202124"/>
                <w:lang w:val="en-US"/>
              </w:rPr>
            </w:pPr>
            <w:r w:rsidRPr="008C761D">
              <w:rPr>
                <w:rFonts w:eastAsia="Times New Roman" w:cs="Calibri"/>
                <w:color w:val="202124"/>
                <w:lang w:val="en-US"/>
              </w:rPr>
              <w:t>&gt;C</w:t>
            </w:r>
          </w:p>
          <w:p w14:paraId="04FD77CC" w14:textId="77777777" w:rsidR="00083A12" w:rsidRPr="008C761D" w:rsidRDefault="00083A12" w:rsidP="002B77A4">
            <w:pPr>
              <w:spacing w:after="0" w:line="240" w:lineRule="auto"/>
              <w:jc w:val="both"/>
              <w:rPr>
                <w:rFonts w:eastAsia="Times New Roman" w:cs="Calibri"/>
                <w:color w:val="202124"/>
                <w:lang w:val="en-US"/>
              </w:rPr>
            </w:pPr>
            <w:r w:rsidRPr="008C761D">
              <w:rPr>
                <w:rFonts w:eastAsia="Times New Roman" w:cs="Calibri"/>
                <w:color w:val="202124"/>
                <w:lang w:val="en-US"/>
              </w:rPr>
              <w:t>&gt;C</w:t>
            </w:r>
          </w:p>
          <w:p w14:paraId="0AE986A8" w14:textId="77777777" w:rsidR="00083A12" w:rsidRPr="008C761D" w:rsidRDefault="00083A12" w:rsidP="002B77A4">
            <w:pPr>
              <w:spacing w:after="0" w:line="240" w:lineRule="auto"/>
              <w:jc w:val="both"/>
              <w:rPr>
                <w:rFonts w:eastAsia="Times New Roman" w:cs="Calibri"/>
                <w:color w:val="202124"/>
                <w:lang w:val="en-US"/>
              </w:rPr>
            </w:pPr>
            <w:r w:rsidRPr="008C761D">
              <w:rPr>
                <w:rFonts w:eastAsia="Times New Roman" w:cs="Calibri"/>
                <w:color w:val="202124"/>
                <w:lang w:val="en-US"/>
              </w:rPr>
              <w:t>&gt;C</w:t>
            </w:r>
          </w:p>
          <w:p w14:paraId="3BDFA1B0" w14:textId="77777777" w:rsidR="007541EA" w:rsidRPr="008C761D" w:rsidRDefault="00083A12" w:rsidP="002B77A4">
            <w:pPr>
              <w:spacing w:after="0" w:line="240" w:lineRule="auto"/>
              <w:jc w:val="both"/>
              <w:rPr>
                <w:rFonts w:eastAsia="Times New Roman" w:cs="Calibri"/>
                <w:color w:val="202124"/>
                <w:lang w:val="en-US"/>
              </w:rPr>
            </w:pPr>
            <w:r w:rsidRPr="008C761D">
              <w:rPr>
                <w:rFonts w:eastAsia="Times New Roman" w:cs="Calibri"/>
                <w:color w:val="202124"/>
                <w:lang w:val="en-US"/>
              </w:rPr>
              <w:t>&gt;C</w:t>
            </w:r>
          </w:p>
        </w:tc>
      </w:tr>
    </w:tbl>
    <w:p w14:paraId="07F94EF5" w14:textId="77777777" w:rsidR="007541EA" w:rsidRPr="008C761D" w:rsidRDefault="007541EA" w:rsidP="00E84CD0">
      <w:pPr>
        <w:spacing w:line="240" w:lineRule="auto"/>
        <w:jc w:val="both"/>
        <w:rPr>
          <w:rFonts w:cs="Calibri"/>
          <w:b/>
          <w:color w:val="0070C0"/>
          <w:sz w:val="24"/>
          <w:szCs w:val="24"/>
          <w:lang w:val="en-US" w:eastAsia="zh-CN"/>
        </w:rPr>
      </w:pPr>
    </w:p>
    <w:p w14:paraId="5645534B" w14:textId="37E9BAA7" w:rsidR="00376718" w:rsidRPr="008C761D" w:rsidRDefault="00376718" w:rsidP="00E84CD0">
      <w:pPr>
        <w:spacing w:line="240" w:lineRule="auto"/>
        <w:jc w:val="both"/>
        <w:rPr>
          <w:rFonts w:cs="Calibri"/>
          <w:b/>
          <w:color w:val="0070C0"/>
          <w:sz w:val="24"/>
          <w:szCs w:val="24"/>
          <w:lang w:val="en-US" w:eastAsia="zh-CN"/>
        </w:rPr>
      </w:pPr>
      <w:r w:rsidRPr="008C761D">
        <w:rPr>
          <w:rFonts w:cs="Calibri"/>
          <w:b/>
          <w:color w:val="0070C0"/>
          <w:sz w:val="24"/>
          <w:szCs w:val="24"/>
          <w:lang w:val="en-US" w:eastAsia="zh-CN"/>
        </w:rPr>
        <w:t>Measure 1:</w:t>
      </w:r>
      <w:r w:rsidR="0044402B">
        <w:rPr>
          <w:rFonts w:cs="Calibri"/>
          <w:b/>
          <w:color w:val="0070C0"/>
          <w:sz w:val="24"/>
          <w:szCs w:val="24"/>
          <w:lang w:val="en-US" w:eastAsia="zh-CN"/>
        </w:rPr>
        <w:t xml:space="preserve"> </w:t>
      </w:r>
      <w:r w:rsidR="00FC425B" w:rsidRPr="008C761D">
        <w:rPr>
          <w:rFonts w:cs="Calibri"/>
          <w:b/>
          <w:color w:val="0070C0"/>
          <w:sz w:val="24"/>
          <w:szCs w:val="24"/>
          <w:lang w:val="en-US" w:eastAsia="zh-CN"/>
        </w:rPr>
        <w:t>Efficient coordination and development of public investment management processes</w:t>
      </w:r>
    </w:p>
    <w:p w14:paraId="3C994368"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Measure objective</w:t>
      </w:r>
    </w:p>
    <w:p w14:paraId="1A69DCDD" w14:textId="23BB8CC7" w:rsidR="00376718" w:rsidRPr="008C761D" w:rsidRDefault="00FC425B" w:rsidP="00E84CD0">
      <w:pPr>
        <w:spacing w:before="80" w:after="80" w:line="240" w:lineRule="auto"/>
        <w:jc w:val="both"/>
        <w:rPr>
          <w:rFonts w:eastAsia="MS PGothic" w:cs="Calibri"/>
          <w:lang w:val="en-US" w:eastAsia="zh-CN"/>
        </w:rPr>
      </w:pPr>
      <w:r w:rsidRPr="008C761D">
        <w:rPr>
          <w:rFonts w:eastAsia="MS PGothic" w:cs="Calibri"/>
          <w:lang w:val="en-US" w:eastAsia="zh-CN"/>
        </w:rPr>
        <w:t>Established structured and comprehensive approach to decision making for public investment projects</w:t>
      </w:r>
    </w:p>
    <w:p w14:paraId="6A4AC21B"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8C761D" w14:paraId="5C037B4C" w14:textId="77777777" w:rsidTr="00BA5E44">
        <w:tc>
          <w:tcPr>
            <w:tcW w:w="851" w:type="dxa"/>
            <w:shd w:val="clear" w:color="auto" w:fill="DDDDDD"/>
          </w:tcPr>
          <w:p w14:paraId="51056C03" w14:textId="77777777" w:rsidR="00376718" w:rsidRPr="0044402B" w:rsidRDefault="00376718" w:rsidP="00E84CD0">
            <w:pPr>
              <w:spacing w:before="80" w:after="0" w:line="240" w:lineRule="auto"/>
              <w:jc w:val="both"/>
              <w:rPr>
                <w:rFonts w:cs="Calibri"/>
                <w:b/>
                <w:sz w:val="20"/>
                <w:szCs w:val="20"/>
                <w:lang w:val="en-US"/>
              </w:rPr>
            </w:pPr>
            <w:r w:rsidRPr="0044402B">
              <w:rPr>
                <w:rFonts w:cs="Calibri"/>
                <w:b/>
                <w:sz w:val="20"/>
                <w:szCs w:val="20"/>
                <w:lang w:val="en-US"/>
              </w:rPr>
              <w:t>PEFA:</w:t>
            </w:r>
          </w:p>
        </w:tc>
        <w:tc>
          <w:tcPr>
            <w:tcW w:w="7700" w:type="dxa"/>
            <w:shd w:val="clear" w:color="auto" w:fill="DDDDDD"/>
          </w:tcPr>
          <w:p w14:paraId="580D7FA3"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PI -11/ Dimension 11.2: </w:t>
            </w:r>
          </w:p>
          <w:p w14:paraId="18E6742C" w14:textId="77777777" w:rsidR="00376718" w:rsidRPr="008C761D" w:rsidRDefault="00376718" w:rsidP="00E84CD0">
            <w:pPr>
              <w:spacing w:after="160" w:line="240" w:lineRule="auto"/>
              <w:jc w:val="both"/>
              <w:rPr>
                <w:rFonts w:cs="Calibri"/>
                <w:sz w:val="20"/>
                <w:szCs w:val="20"/>
                <w:lang w:val="en-US"/>
              </w:rPr>
            </w:pPr>
            <w:r w:rsidRPr="008C761D">
              <w:rPr>
                <w:rFonts w:cs="Calibri"/>
                <w:sz w:val="20"/>
                <w:szCs w:val="20"/>
                <w:lang w:val="en-US"/>
              </w:rPr>
              <w:t>There are three important shortcomings of the planning system for the purpose of this dimension. First, many priorities in the Government 4-year Working Program were not subjected to technical analysis to promote efficiency and productivity. Second, since the Government 4-year Working Program is not detailed at the project level, there is substantial room for interpretation when selecting projects on the basis of the Working Program.  Third, the General Secretariat does not assess the technical qualities, feasibility, and costing of a proposed project as part of its review.</w:t>
            </w:r>
          </w:p>
        </w:tc>
      </w:tr>
      <w:tr w:rsidR="00376718" w:rsidRPr="008C761D" w14:paraId="6A4A7602" w14:textId="77777777" w:rsidTr="00BA5E44">
        <w:tc>
          <w:tcPr>
            <w:tcW w:w="851" w:type="dxa"/>
            <w:shd w:val="clear" w:color="auto" w:fill="DDDDDD"/>
          </w:tcPr>
          <w:p w14:paraId="0C9DFF1C" w14:textId="77777777" w:rsidR="00376718" w:rsidRPr="008C761D" w:rsidDel="00DF4558" w:rsidRDefault="00376718" w:rsidP="00E84CD0">
            <w:pPr>
              <w:spacing w:before="80" w:after="0" w:line="240" w:lineRule="auto"/>
              <w:jc w:val="both"/>
              <w:rPr>
                <w:rFonts w:cs="Calibri"/>
                <w:sz w:val="20"/>
                <w:szCs w:val="20"/>
                <w:lang w:val="en-US"/>
              </w:rPr>
            </w:pPr>
          </w:p>
        </w:tc>
        <w:tc>
          <w:tcPr>
            <w:tcW w:w="7700" w:type="dxa"/>
            <w:shd w:val="clear" w:color="auto" w:fill="DDDDDD"/>
          </w:tcPr>
          <w:p w14:paraId="24508940"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PI -11/ Dimension 11.3: </w:t>
            </w:r>
          </w:p>
          <w:p w14:paraId="40AE18F1"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In North Macedonia, the budget shows the capital cost of a project, broken down by each year covered by the medium-term, along with a remainder if the project is implemented over more than three years. It is generally understood that construction costs are included in capital costs, but there is ambiguity on other related costs.</w:t>
            </w:r>
          </w:p>
          <w:p w14:paraId="71FFB455"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For externally funded projects, costing methods are established by the funding entity; for domestically funded projects, costing methods are established by each BU independently.</w:t>
            </w:r>
          </w:p>
          <w:p w14:paraId="79B61876"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Recurrent costs associated with major projects are sometimes identified in project documents but not in the budget. </w:t>
            </w:r>
          </w:p>
          <w:p w14:paraId="59D5632C" w14:textId="77777777" w:rsidR="00376718" w:rsidRPr="008C761D" w:rsidDel="00DF4558" w:rsidRDefault="00376718" w:rsidP="00E84CD0">
            <w:pPr>
              <w:spacing w:after="0" w:line="240" w:lineRule="auto"/>
              <w:jc w:val="both"/>
              <w:rPr>
                <w:rFonts w:cs="Calibri"/>
                <w:sz w:val="20"/>
                <w:szCs w:val="20"/>
                <w:lang w:val="en-US"/>
              </w:rPr>
            </w:pPr>
            <w:r w:rsidRPr="008C761D">
              <w:rPr>
                <w:rFonts w:cs="Calibri"/>
                <w:sz w:val="20"/>
                <w:szCs w:val="20"/>
                <w:lang w:val="en-US"/>
              </w:rPr>
              <w:t>Since capital costs of a major project are included in each year of the medium-term budget, but recurrent costs of the project are not included in budget documents, the score for this dimension is C.</w:t>
            </w:r>
          </w:p>
        </w:tc>
      </w:tr>
      <w:tr w:rsidR="00376718" w:rsidRPr="008C761D" w14:paraId="3A25D009" w14:textId="77777777" w:rsidTr="00BA5E44">
        <w:tc>
          <w:tcPr>
            <w:tcW w:w="851" w:type="dxa"/>
            <w:shd w:val="clear" w:color="auto" w:fill="DDDDDD"/>
          </w:tcPr>
          <w:p w14:paraId="459E2190" w14:textId="77777777" w:rsidR="00376718" w:rsidRPr="0044402B" w:rsidRDefault="00376718" w:rsidP="00E84CD0">
            <w:pPr>
              <w:spacing w:before="80" w:after="0" w:line="240" w:lineRule="auto"/>
              <w:jc w:val="both"/>
              <w:rPr>
                <w:rFonts w:cs="Calibri"/>
                <w:b/>
                <w:sz w:val="20"/>
                <w:szCs w:val="20"/>
                <w:lang w:val="en-US"/>
              </w:rPr>
            </w:pPr>
            <w:r w:rsidRPr="0044402B">
              <w:rPr>
                <w:rFonts w:cs="Calibri"/>
                <w:b/>
                <w:sz w:val="20"/>
                <w:szCs w:val="20"/>
                <w:lang w:val="en-US"/>
              </w:rPr>
              <w:t>PIMA:</w:t>
            </w:r>
          </w:p>
        </w:tc>
        <w:tc>
          <w:tcPr>
            <w:tcW w:w="7700" w:type="dxa"/>
            <w:shd w:val="clear" w:color="auto" w:fill="DDDDDD"/>
          </w:tcPr>
          <w:p w14:paraId="5E7A6E4C" w14:textId="3F29FBF5" w:rsidR="00376718" w:rsidRPr="008C761D" w:rsidRDefault="00376718" w:rsidP="00E84CD0">
            <w:pPr>
              <w:spacing w:after="160" w:line="240" w:lineRule="auto"/>
              <w:jc w:val="both"/>
              <w:rPr>
                <w:rFonts w:cs="Calibri"/>
                <w:sz w:val="20"/>
                <w:szCs w:val="20"/>
                <w:lang w:val="en-US"/>
              </w:rPr>
            </w:pPr>
            <w:r w:rsidRPr="008C761D">
              <w:rPr>
                <w:rFonts w:cs="Calibri"/>
                <w:sz w:val="20"/>
                <w:szCs w:val="20"/>
                <w:lang w:val="en-US"/>
              </w:rPr>
              <w:t>Fragmentation affects all stages of the PIM cycle.</w:t>
            </w:r>
            <w:r w:rsidR="00F50612">
              <w:rPr>
                <w:rFonts w:cs="Calibri"/>
                <w:sz w:val="20"/>
                <w:szCs w:val="20"/>
                <w:lang w:val="en-US"/>
              </w:rPr>
              <w:t xml:space="preserve"> </w:t>
            </w:r>
            <w:r w:rsidRPr="008C761D">
              <w:rPr>
                <w:rFonts w:cs="Calibri"/>
                <w:sz w:val="20"/>
                <w:szCs w:val="20"/>
                <w:lang w:val="en-US"/>
              </w:rPr>
              <w:t>At the planning stage, strategic planning does not clearly identify public investment priorities at a consolidated national level and does not provide a solid base for the budget process. A multiplicity of documents (e.g., sectoral strategies, government work plan) point to infrastructure development needs in key economic and social sectors with varying levels of detail and time horizons. Yet, there is no consolidated national investment strategy or plan, including costing of major infrastructure projects, regardless of levels of government or financing sources. There is currently no department, unit or team in North Macedonia responsible for coordinating or managing and fostering development of PIM processes.</w:t>
            </w:r>
          </w:p>
          <w:p w14:paraId="19E64369" w14:textId="77777777" w:rsidR="00376718" w:rsidRPr="008C761D" w:rsidRDefault="00376718" w:rsidP="00E84CD0">
            <w:pPr>
              <w:autoSpaceDE w:val="0"/>
              <w:autoSpaceDN w:val="0"/>
              <w:adjustRightInd w:val="0"/>
              <w:spacing w:after="0" w:line="240" w:lineRule="auto"/>
              <w:jc w:val="both"/>
              <w:rPr>
                <w:rFonts w:cs="Calibri"/>
                <w:sz w:val="20"/>
                <w:szCs w:val="20"/>
                <w:lang w:val="en-US"/>
              </w:rPr>
            </w:pPr>
            <w:r w:rsidRPr="008C761D">
              <w:rPr>
                <w:rFonts w:cs="Calibri"/>
                <w:sz w:val="20"/>
                <w:szCs w:val="20"/>
                <w:lang w:val="en-US"/>
              </w:rPr>
              <w:t>At the MoF the roles and responsibilities regarding public investment do not cover all required functions for efficient capital investment management.</w:t>
            </w:r>
          </w:p>
          <w:p w14:paraId="31B4D8E7" w14:textId="77777777" w:rsidR="00376718" w:rsidRPr="008C761D" w:rsidRDefault="00376718" w:rsidP="00E84CD0">
            <w:pPr>
              <w:autoSpaceDE w:val="0"/>
              <w:autoSpaceDN w:val="0"/>
              <w:adjustRightInd w:val="0"/>
              <w:spacing w:after="0" w:line="240" w:lineRule="auto"/>
              <w:jc w:val="both"/>
              <w:rPr>
                <w:rFonts w:cs="Calibri"/>
                <w:sz w:val="20"/>
                <w:szCs w:val="20"/>
                <w:lang w:val="en-US"/>
              </w:rPr>
            </w:pPr>
          </w:p>
          <w:p w14:paraId="01F1F3E2" w14:textId="77777777" w:rsidR="00376718" w:rsidRPr="008C761D" w:rsidRDefault="00376718" w:rsidP="00E84CD0">
            <w:pPr>
              <w:autoSpaceDE w:val="0"/>
              <w:autoSpaceDN w:val="0"/>
              <w:adjustRightInd w:val="0"/>
              <w:spacing w:after="0" w:line="240" w:lineRule="auto"/>
              <w:jc w:val="both"/>
              <w:rPr>
                <w:rFonts w:cs="Calibri"/>
                <w:sz w:val="20"/>
                <w:szCs w:val="20"/>
                <w:lang w:val="en-US"/>
              </w:rPr>
            </w:pPr>
          </w:p>
        </w:tc>
      </w:tr>
    </w:tbl>
    <w:p w14:paraId="57AAC62F"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 / Background</w:t>
      </w:r>
    </w:p>
    <w:p w14:paraId="4D81CC8B" w14:textId="77777777" w:rsidR="003E70C1"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 xml:space="preserve">Based on recommendations provided in the PIMA Report (2020), the Government adopted the Action Plan on implementing the recommendations under the Public Investment Management Assessment (PIM Action Plan), to overcome the weaknesses detected and to improve the efficiency of allocation of public resources for infrastructure projects and the management of their implementation. PIM Action Plan envisages measures for strengthening the public investment management framework, by integrating public investment management processes so that infrastructure projects are selected on the basis of their own merit as projects, rather than by the way they are procured or financed. </w:t>
      </w:r>
    </w:p>
    <w:p w14:paraId="0790D7AD"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In order to implement the PIM Action Plan, the MoF established a working group for implementation of the PIM Action Plan, with representatives of various institutions (ministries, Public Enterprises, JSC, regulatory bodies, etc.), coordinated by the Ministry of Finance.</w:t>
      </w:r>
    </w:p>
    <w:p w14:paraId="5AAEBFE5" w14:textId="68F3FEE3"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 xml:space="preserve">Efforts to improve PIM are integrated with the new Organic Budget Law and the PPP legal and regulatory framework, which support the role of MoF as gatekeeper of public finances throughout </w:t>
      </w:r>
      <w:r w:rsidRPr="008C761D">
        <w:rPr>
          <w:rFonts w:cs="Calibri"/>
          <w:iCs/>
          <w:color w:val="000000"/>
          <w:lang w:val="en-US"/>
        </w:rPr>
        <w:lastRenderedPageBreak/>
        <w:t>the public investment cycle. The new OBL</w:t>
      </w:r>
      <w:r w:rsidR="00F50612">
        <w:rPr>
          <w:rFonts w:cs="Calibri"/>
          <w:iCs/>
          <w:color w:val="000000"/>
          <w:lang w:val="en-US"/>
        </w:rPr>
        <w:t xml:space="preserve"> adopted in September 2022, by </w:t>
      </w:r>
      <w:r w:rsidRPr="008C761D">
        <w:rPr>
          <w:rFonts w:cs="Calibri"/>
          <w:iCs/>
          <w:color w:val="000000"/>
          <w:lang w:val="en-US"/>
        </w:rPr>
        <w:t>the Parliament, provides better support to PIM by including specific articles on strategic planning (Article 13), fiscal strategy with a horizon of 5 years (Articles 17 and 18), medium-term priorities and procedure for selection of new projects (Article 20) and project and multiyear part of the Budget (Article 25), among others. Similarly, the development of the new Integrated Finan</w:t>
      </w:r>
      <w:r w:rsidR="00F50612">
        <w:rPr>
          <w:rFonts w:cs="Calibri"/>
          <w:iCs/>
          <w:color w:val="000000"/>
          <w:lang w:val="en-US"/>
        </w:rPr>
        <w:t xml:space="preserve">cial Management System (IFMIS) </w:t>
      </w:r>
      <w:r w:rsidRPr="008C761D">
        <w:rPr>
          <w:rFonts w:cs="Calibri"/>
          <w:iCs/>
          <w:color w:val="000000"/>
          <w:lang w:val="en-US"/>
        </w:rPr>
        <w:t>considers PIM information requirements.</w:t>
      </w:r>
    </w:p>
    <w:p w14:paraId="7D0488EF"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In order to perform the functions related to the management of public investments, the Ministry of Finance has established a new Public Investments Management (PIM) Department with the new acts for the organization and systematization of jobs adopted at the end of December 2022.</w:t>
      </w:r>
    </w:p>
    <w:p w14:paraId="32062360"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The role of the PIM Department in the Ministry of Finance is to perform duties pertaining to public infrastructure project appraisal, primarily from the point of view of the fiscal impact, the risks and sustainability, giving opinions and recommendations on the projects, preparing summary list of proposed and appraised new public infrastructure projects, consolidating the list of prioritised public infrastructure projects, monitoring of projects, as well as developing and updating methodologies for project appraisal and review of preinvestment studies.</w:t>
      </w:r>
    </w:p>
    <w:p w14:paraId="3087D8BE"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 xml:space="preserve">The staffing process in the PIM sector started at the beginning of 2023. The total number of employees in the PIM sector is 14, and at the moment the PIM sector consists of 6(six) employees. </w:t>
      </w:r>
    </w:p>
    <w:p w14:paraId="6692B3B5"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 xml:space="preserve">The PIM Department shall prepare new PIM Decree on managing public investment projects, as a by- law stemming from the new OBL (article 20), in order to establish a structured and comprehensive approach to decision making for the proposed public investment projects. </w:t>
      </w:r>
    </w:p>
    <w:p w14:paraId="250519EC" w14:textId="77777777" w:rsidR="00BE0692" w:rsidRPr="008C761D" w:rsidRDefault="00BE0692" w:rsidP="00BE0692">
      <w:pPr>
        <w:spacing w:before="80" w:after="80" w:line="240" w:lineRule="auto"/>
        <w:jc w:val="both"/>
        <w:rPr>
          <w:rFonts w:cs="Calibri"/>
          <w:iCs/>
          <w:color w:val="000000"/>
          <w:lang w:val="en-US"/>
        </w:rPr>
      </w:pPr>
      <w:r w:rsidRPr="008C761D">
        <w:rPr>
          <w:rFonts w:cs="Calibri"/>
          <w:iCs/>
          <w:color w:val="000000"/>
          <w:lang w:val="en-US"/>
        </w:rPr>
        <w:t>The Decree will be applicable to all budget users, municipalities and other public entities (public enterprises, trade companies owned by the Government).</w:t>
      </w:r>
    </w:p>
    <w:p w14:paraId="4FC02D2E" w14:textId="77777777" w:rsidR="00BE0692" w:rsidRPr="008C761D" w:rsidRDefault="00BE0692" w:rsidP="00BE0692">
      <w:pPr>
        <w:spacing w:before="80" w:after="80" w:line="240" w:lineRule="auto"/>
        <w:jc w:val="both"/>
        <w:rPr>
          <w:rFonts w:eastAsia="MS PGothic" w:cs="Calibri"/>
          <w:b/>
          <w:bCs/>
          <w:i/>
          <w:iCs/>
          <w:color w:val="4F81BD"/>
          <w:lang w:val="en-US" w:eastAsia="zh-CN"/>
        </w:rPr>
      </w:pPr>
    </w:p>
    <w:p w14:paraId="6FC6E31A" w14:textId="1CAA73B5" w:rsidR="007541EA" w:rsidRDefault="00BE0692" w:rsidP="0084759C">
      <w:pPr>
        <w:autoSpaceDE w:val="0"/>
        <w:autoSpaceDN w:val="0"/>
        <w:adjustRightInd w:val="0"/>
        <w:spacing w:after="0" w:line="240" w:lineRule="auto"/>
        <w:ind w:left="-180" w:firstLine="180"/>
        <w:contextualSpacing/>
        <w:jc w:val="both"/>
        <w:rPr>
          <w:rFonts w:eastAsia="SimSun" w:cs="Calibri"/>
          <w:b/>
          <w:color w:val="0070C0"/>
          <w:lang w:val="en-US"/>
        </w:rPr>
      </w:pPr>
      <w:r w:rsidRPr="0044402B">
        <w:rPr>
          <w:rFonts w:eastAsia="SimSun" w:cs="Calibri"/>
          <w:b/>
          <w:color w:val="0070C0"/>
          <w:lang w:val="en-US"/>
        </w:rPr>
        <w:t>Activity 1: Strengthen the supporting legal framework for PIM</w:t>
      </w:r>
    </w:p>
    <w:p w14:paraId="5225B4D4" w14:textId="77777777" w:rsidR="0044402B" w:rsidRPr="0044402B" w:rsidRDefault="0044402B" w:rsidP="0084759C">
      <w:pPr>
        <w:autoSpaceDE w:val="0"/>
        <w:autoSpaceDN w:val="0"/>
        <w:adjustRightInd w:val="0"/>
        <w:spacing w:after="0" w:line="240" w:lineRule="auto"/>
        <w:ind w:left="-180" w:firstLine="180"/>
        <w:contextualSpacing/>
        <w:jc w:val="both"/>
        <w:rPr>
          <w:rFonts w:eastAsia="SimSun" w:cs="Calibri"/>
          <w:b/>
          <w:color w:val="0070C0"/>
          <w:sz w:val="10"/>
          <w:szCs w:val="10"/>
          <w:lang w:val="en-US"/>
        </w:rPr>
      </w:pPr>
    </w:p>
    <w:tbl>
      <w:tblPr>
        <w:tblW w:w="9090" w:type="dxa"/>
        <w:tblInd w:w="18" w:type="dxa"/>
        <w:tblLook w:val="01E0" w:firstRow="1" w:lastRow="1" w:firstColumn="1" w:lastColumn="1" w:noHBand="0" w:noVBand="0"/>
      </w:tblPr>
      <w:tblGrid>
        <w:gridCol w:w="9090"/>
      </w:tblGrid>
      <w:tr w:rsidR="00BE0692" w:rsidRPr="008C761D" w14:paraId="65C1782C" w14:textId="77777777" w:rsidTr="0084759C">
        <w:tc>
          <w:tcPr>
            <w:tcW w:w="9090" w:type="dxa"/>
            <w:shd w:val="clear" w:color="auto" w:fill="auto"/>
          </w:tcPr>
          <w:p w14:paraId="3C034D83" w14:textId="77777777" w:rsidR="00BE0692" w:rsidRPr="008C761D" w:rsidRDefault="00BE0692" w:rsidP="0084759C">
            <w:pPr>
              <w:spacing w:before="80" w:after="80" w:line="240" w:lineRule="auto"/>
              <w:ind w:hanging="18"/>
              <w:jc w:val="both"/>
              <w:rPr>
                <w:rFonts w:eastAsia="SimSun" w:cs="Calibri"/>
                <w:lang w:val="en-US" w:eastAsia="zh-CN"/>
              </w:rPr>
            </w:pPr>
            <w:r w:rsidRPr="008C761D">
              <w:rPr>
                <w:rFonts w:cs="Calibri"/>
                <w:iCs/>
                <w:color w:val="000000"/>
                <w:lang w:val="en-US"/>
              </w:rPr>
              <w:t>The PIM Department (PIMD) of the MoF shall prepare a new PIM decree that shall regulate the manner of defining, preparing reviewing, evaluating, prioritizing and selecting new public investment projects, monitoring and reporting on the implementation and ex-post review of public investment projects as well as the roles and responsibilities of the entities involved in each of the stages of the PIM process.</w:t>
            </w:r>
          </w:p>
        </w:tc>
      </w:tr>
      <w:tr w:rsidR="00BE0692" w:rsidRPr="008C761D" w14:paraId="1B80DBC7" w14:textId="77777777" w:rsidTr="0084759C">
        <w:tc>
          <w:tcPr>
            <w:tcW w:w="9090" w:type="dxa"/>
            <w:shd w:val="clear" w:color="auto" w:fill="auto"/>
          </w:tcPr>
          <w:p w14:paraId="4A2C2B2B" w14:textId="0BF9F8B6" w:rsidR="00BE0692" w:rsidRPr="008C761D" w:rsidRDefault="00BE0692" w:rsidP="00BE0692">
            <w:pPr>
              <w:autoSpaceDE w:val="0"/>
              <w:autoSpaceDN w:val="0"/>
              <w:adjustRightInd w:val="0"/>
              <w:spacing w:after="0" w:line="240" w:lineRule="auto"/>
              <w:contextualSpacing/>
              <w:jc w:val="both"/>
              <w:rPr>
                <w:rFonts w:eastAsia="SimSun" w:cs="Calibri"/>
                <w:lang w:val="en-US" w:eastAsia="zh-CN"/>
              </w:rPr>
            </w:pPr>
            <w:r w:rsidRPr="008C761D">
              <w:rPr>
                <w:lang w:val="en-US"/>
              </w:rPr>
              <w:t>The</w:t>
            </w:r>
            <w:r w:rsidR="00F50612">
              <w:rPr>
                <w:lang w:val="en-US"/>
              </w:rPr>
              <w:t xml:space="preserve"> </w:t>
            </w:r>
            <w:r w:rsidRPr="008C761D">
              <w:rPr>
                <w:lang w:val="en-US"/>
              </w:rPr>
              <w:t>decree</w:t>
            </w:r>
            <w:r w:rsidR="00F50612">
              <w:rPr>
                <w:lang w:val="en-US"/>
              </w:rPr>
              <w:t xml:space="preserve"> </w:t>
            </w:r>
            <w:r w:rsidRPr="008C761D">
              <w:rPr>
                <w:lang w:val="en-US"/>
              </w:rPr>
              <w:t>shall</w:t>
            </w:r>
            <w:r w:rsidR="00F50612">
              <w:rPr>
                <w:lang w:val="en-US"/>
              </w:rPr>
              <w:t xml:space="preserve"> </w:t>
            </w:r>
            <w:r w:rsidRPr="008C761D">
              <w:rPr>
                <w:lang w:val="en-US"/>
              </w:rPr>
              <w:t>be</w:t>
            </w:r>
            <w:r w:rsidR="00F50612">
              <w:rPr>
                <w:lang w:val="en-US"/>
              </w:rPr>
              <w:t xml:space="preserve"> </w:t>
            </w:r>
            <w:r w:rsidRPr="008C761D">
              <w:rPr>
                <w:lang w:val="en-US"/>
              </w:rPr>
              <w:t>adopted</w:t>
            </w:r>
            <w:r w:rsidR="00F50612">
              <w:rPr>
                <w:lang w:val="en-US"/>
              </w:rPr>
              <w:t xml:space="preserve"> </w:t>
            </w:r>
            <w:r w:rsidRPr="008C761D">
              <w:rPr>
                <w:lang w:val="en-US"/>
              </w:rPr>
              <w:t>by</w:t>
            </w:r>
            <w:r w:rsidR="00F50612">
              <w:rPr>
                <w:lang w:val="en-US"/>
              </w:rPr>
              <w:t xml:space="preserve"> </w:t>
            </w:r>
            <w:r w:rsidRPr="008C761D">
              <w:rPr>
                <w:lang w:val="en-US"/>
              </w:rPr>
              <w:t>the</w:t>
            </w:r>
            <w:r w:rsidR="00F50612">
              <w:rPr>
                <w:lang w:val="en-US"/>
              </w:rPr>
              <w:t xml:space="preserve"> </w:t>
            </w:r>
            <w:r w:rsidRPr="008C761D">
              <w:rPr>
                <w:lang w:val="en-US"/>
              </w:rPr>
              <w:t>Government. Also, the</w:t>
            </w:r>
            <w:r w:rsidR="00F50612">
              <w:rPr>
                <w:lang w:val="en-US"/>
              </w:rPr>
              <w:t xml:space="preserve"> </w:t>
            </w:r>
            <w:r w:rsidRPr="008C761D">
              <w:rPr>
                <w:lang w:val="en-US"/>
              </w:rPr>
              <w:t>MoF</w:t>
            </w:r>
            <w:r w:rsidR="00F50612">
              <w:rPr>
                <w:lang w:val="en-US"/>
              </w:rPr>
              <w:t xml:space="preserve"> </w:t>
            </w:r>
            <w:r w:rsidRPr="008C761D">
              <w:rPr>
                <w:lang w:val="en-US"/>
              </w:rPr>
              <w:t>will</w:t>
            </w:r>
            <w:r w:rsidR="00F50612">
              <w:rPr>
                <w:lang w:val="en-US"/>
              </w:rPr>
              <w:t xml:space="preserve"> </w:t>
            </w:r>
            <w:r w:rsidRPr="008C761D">
              <w:rPr>
                <w:lang w:val="en-US"/>
              </w:rPr>
              <w:t>prepare a manual</w:t>
            </w:r>
            <w:r w:rsidR="00F50612">
              <w:rPr>
                <w:lang w:val="en-US"/>
              </w:rPr>
              <w:t xml:space="preserve"> </w:t>
            </w:r>
            <w:r w:rsidRPr="008C761D">
              <w:rPr>
                <w:lang w:val="en-US"/>
              </w:rPr>
              <w:t>for PIM processes</w:t>
            </w:r>
            <w:r w:rsidR="00F50612">
              <w:rPr>
                <w:lang w:val="en-US"/>
              </w:rPr>
              <w:t xml:space="preserve"> </w:t>
            </w:r>
            <w:r w:rsidRPr="008C761D">
              <w:rPr>
                <w:lang w:val="en-US"/>
              </w:rPr>
              <w:t>to</w:t>
            </w:r>
            <w:r w:rsidR="00F50612">
              <w:rPr>
                <w:lang w:val="en-US"/>
              </w:rPr>
              <w:t xml:space="preserve"> </w:t>
            </w:r>
            <w:r w:rsidRPr="008C761D">
              <w:rPr>
                <w:lang w:val="en-US"/>
              </w:rPr>
              <w:t>serve</w:t>
            </w:r>
            <w:r w:rsidR="00F50612">
              <w:rPr>
                <w:lang w:val="en-US"/>
              </w:rPr>
              <w:t xml:space="preserve"> </w:t>
            </w:r>
            <w:r w:rsidRPr="008C761D">
              <w:rPr>
                <w:lang w:val="en-US"/>
              </w:rPr>
              <w:t>as a guiding</w:t>
            </w:r>
            <w:r w:rsidR="00F50612">
              <w:rPr>
                <w:lang w:val="en-US"/>
              </w:rPr>
              <w:t xml:space="preserve"> </w:t>
            </w:r>
            <w:r w:rsidRPr="008C761D">
              <w:rPr>
                <w:lang w:val="en-US"/>
              </w:rPr>
              <w:t>and</w:t>
            </w:r>
            <w:r w:rsidR="00F50612">
              <w:rPr>
                <w:lang w:val="en-US"/>
              </w:rPr>
              <w:t xml:space="preserve"> </w:t>
            </w:r>
            <w:r w:rsidRPr="008C761D">
              <w:rPr>
                <w:lang w:val="en-US"/>
              </w:rPr>
              <w:t>explanatory</w:t>
            </w:r>
            <w:r w:rsidR="00F50612">
              <w:rPr>
                <w:lang w:val="en-US"/>
              </w:rPr>
              <w:t xml:space="preserve"> </w:t>
            </w:r>
            <w:r w:rsidRPr="008C761D">
              <w:rPr>
                <w:lang w:val="en-US"/>
              </w:rPr>
              <w:t>material</w:t>
            </w:r>
            <w:r w:rsidR="00F50612">
              <w:rPr>
                <w:lang w:val="en-US"/>
              </w:rPr>
              <w:t xml:space="preserve"> </w:t>
            </w:r>
            <w:r w:rsidRPr="008C761D">
              <w:rPr>
                <w:lang w:val="en-US"/>
              </w:rPr>
              <w:t>for</w:t>
            </w:r>
            <w:r w:rsidR="00F50612">
              <w:rPr>
                <w:lang w:val="en-US"/>
              </w:rPr>
              <w:t xml:space="preserve"> </w:t>
            </w:r>
            <w:r w:rsidRPr="008C761D">
              <w:rPr>
                <w:lang w:val="en-US"/>
              </w:rPr>
              <w:t>project</w:t>
            </w:r>
            <w:r w:rsidR="00F50612">
              <w:rPr>
                <w:lang w:val="en-US"/>
              </w:rPr>
              <w:t xml:space="preserve"> </w:t>
            </w:r>
            <w:r w:rsidRPr="008C761D">
              <w:rPr>
                <w:lang w:val="en-US"/>
              </w:rPr>
              <w:t>proposers</w:t>
            </w:r>
            <w:r w:rsidR="00F50612">
              <w:rPr>
                <w:lang w:val="en-US"/>
              </w:rPr>
              <w:t xml:space="preserve"> </w:t>
            </w:r>
            <w:r w:rsidRPr="008C761D">
              <w:rPr>
                <w:lang w:val="en-US"/>
              </w:rPr>
              <w:t>and</w:t>
            </w:r>
            <w:r w:rsidR="00F50612">
              <w:rPr>
                <w:lang w:val="en-US"/>
              </w:rPr>
              <w:t xml:space="preserve"> </w:t>
            </w:r>
            <w:r w:rsidRPr="008C761D">
              <w:rPr>
                <w:lang w:val="en-US"/>
              </w:rPr>
              <w:t>decision</w:t>
            </w:r>
            <w:r w:rsidR="00F50612">
              <w:rPr>
                <w:lang w:val="en-US"/>
              </w:rPr>
              <w:t xml:space="preserve"> </w:t>
            </w:r>
            <w:r w:rsidRPr="008C761D">
              <w:rPr>
                <w:lang w:val="en-US"/>
              </w:rPr>
              <w:t xml:space="preserve">makers. </w:t>
            </w:r>
          </w:p>
        </w:tc>
      </w:tr>
      <w:tr w:rsidR="00BE0692" w:rsidRPr="008C761D" w14:paraId="6946AEF3" w14:textId="77777777" w:rsidTr="0084759C">
        <w:tc>
          <w:tcPr>
            <w:tcW w:w="9090" w:type="dxa"/>
            <w:shd w:val="clear" w:color="auto" w:fill="auto"/>
          </w:tcPr>
          <w:p w14:paraId="397C1BE3" w14:textId="543B11D9" w:rsidR="00BE0692" w:rsidRPr="008C761D" w:rsidRDefault="006F5904" w:rsidP="00BE0692">
            <w:pPr>
              <w:autoSpaceDE w:val="0"/>
              <w:autoSpaceDN w:val="0"/>
              <w:adjustRightInd w:val="0"/>
              <w:spacing w:after="0" w:line="240" w:lineRule="auto"/>
              <w:contextualSpacing/>
              <w:jc w:val="both"/>
              <w:rPr>
                <w:rFonts w:eastAsia="SimSun" w:cs="Calibri"/>
                <w:lang w:val="en-US" w:eastAsia="zh-CN"/>
              </w:rPr>
            </w:pPr>
            <w:r w:rsidRPr="008C761D">
              <w:rPr>
                <w:lang w:val="en-US"/>
              </w:rPr>
              <w:t>The PIM Department (PIMD) of the MoF shall prepare a new PIM decree that shall regulate the manner of defining, preparing reviewing, evaluating, prioritizing and selecting new public investment projects, monitoring and reporting on the implementation and ex-post review of public investment projects as well as the roles and responsibilities of the entities involved in each of the stages of the PIM process.</w:t>
            </w:r>
          </w:p>
        </w:tc>
      </w:tr>
      <w:tr w:rsidR="00BE0692" w:rsidRPr="008C761D" w14:paraId="1D1300C6" w14:textId="77777777" w:rsidTr="0084759C">
        <w:tc>
          <w:tcPr>
            <w:tcW w:w="9090" w:type="dxa"/>
            <w:shd w:val="clear" w:color="auto" w:fill="auto"/>
          </w:tcPr>
          <w:p w14:paraId="2BCC80E6" w14:textId="77777777" w:rsidR="006F5904" w:rsidRPr="008C761D" w:rsidRDefault="006F5904" w:rsidP="006F5904">
            <w:pPr>
              <w:autoSpaceDE w:val="0"/>
              <w:autoSpaceDN w:val="0"/>
              <w:adjustRightInd w:val="0"/>
              <w:spacing w:after="0" w:line="240" w:lineRule="auto"/>
              <w:contextualSpacing/>
              <w:jc w:val="both"/>
              <w:rPr>
                <w:lang w:val="en-US"/>
              </w:rPr>
            </w:pPr>
            <w:r w:rsidRPr="008C761D">
              <w:rPr>
                <w:lang w:val="en-US"/>
              </w:rPr>
              <w:t xml:space="preserve">The decree shall be adopted by the Government. Also, the MoF will prepare a manual for PIM processes to serve as a guiding and explanatory material for project proposers and decision makers. </w:t>
            </w:r>
          </w:p>
          <w:p w14:paraId="7CC3DF42" w14:textId="77777777" w:rsidR="0084759C" w:rsidRPr="008C761D" w:rsidRDefault="0084759C" w:rsidP="006F5904">
            <w:pPr>
              <w:autoSpaceDE w:val="0"/>
              <w:autoSpaceDN w:val="0"/>
              <w:adjustRightInd w:val="0"/>
              <w:spacing w:after="0" w:line="240" w:lineRule="auto"/>
              <w:contextualSpacing/>
              <w:jc w:val="both"/>
              <w:rPr>
                <w:rFonts w:eastAsia="SimSun" w:cs="Calibri"/>
                <w:b/>
                <w:color w:val="4472C4"/>
                <w:lang w:val="en-US"/>
              </w:rPr>
            </w:pPr>
          </w:p>
          <w:p w14:paraId="5BDF29D7" w14:textId="66595297" w:rsidR="006F5904" w:rsidRPr="0044402B" w:rsidRDefault="006F5904" w:rsidP="00C640AE">
            <w:pPr>
              <w:autoSpaceDE w:val="0"/>
              <w:autoSpaceDN w:val="0"/>
              <w:adjustRightInd w:val="0"/>
              <w:spacing w:after="0" w:line="240" w:lineRule="auto"/>
              <w:ind w:left="-285" w:firstLine="284"/>
              <w:contextualSpacing/>
              <w:jc w:val="both"/>
              <w:rPr>
                <w:color w:val="0070C0"/>
                <w:lang w:val="en-US"/>
              </w:rPr>
            </w:pPr>
            <w:r w:rsidRPr="0044402B">
              <w:rPr>
                <w:rFonts w:eastAsia="SimSun" w:cs="Calibri"/>
                <w:b/>
                <w:color w:val="0070C0"/>
                <w:lang w:val="en-US"/>
              </w:rPr>
              <w:t>Activity 2: Strengthen the institutional capacity of the MoF in the PIM system</w:t>
            </w:r>
          </w:p>
          <w:p w14:paraId="3554AFA5" w14:textId="77777777" w:rsidR="00BE0692" w:rsidRPr="008C761D" w:rsidRDefault="00BE0692" w:rsidP="00BE0692">
            <w:pPr>
              <w:autoSpaceDE w:val="0"/>
              <w:autoSpaceDN w:val="0"/>
              <w:adjustRightInd w:val="0"/>
              <w:spacing w:after="0" w:line="240" w:lineRule="auto"/>
              <w:contextualSpacing/>
              <w:jc w:val="both"/>
              <w:rPr>
                <w:rFonts w:eastAsia="SimSun" w:cs="Calibri"/>
                <w:b/>
                <w:color w:val="4472C4"/>
                <w:lang w:val="en-US"/>
              </w:rPr>
            </w:pPr>
          </w:p>
          <w:p w14:paraId="6B28F384" w14:textId="0158E54F" w:rsidR="00BE0692" w:rsidRPr="008C761D" w:rsidRDefault="00BE0692" w:rsidP="00BE0692">
            <w:pPr>
              <w:autoSpaceDE w:val="0"/>
              <w:autoSpaceDN w:val="0"/>
              <w:adjustRightInd w:val="0"/>
              <w:spacing w:after="0" w:line="240" w:lineRule="auto"/>
              <w:contextualSpacing/>
              <w:jc w:val="both"/>
              <w:rPr>
                <w:rFonts w:eastAsia="SimSun" w:cs="Calibri"/>
                <w:lang w:val="en-US" w:eastAsia="zh-CN"/>
              </w:rPr>
            </w:pPr>
            <w:r w:rsidRPr="008C761D">
              <w:rPr>
                <w:rFonts w:eastAsia="SimSun" w:cs="Calibri"/>
                <w:lang w:val="en-US" w:eastAsia="zh-CN"/>
              </w:rPr>
              <w:t>The MoF needs to continue the process of staffing and capacity development of the newly established PIM Department to ensure its gatekeeping role for the capital budgeting of public investment projects.</w:t>
            </w:r>
          </w:p>
        </w:tc>
      </w:tr>
    </w:tbl>
    <w:p w14:paraId="7D117309" w14:textId="77777777" w:rsidR="00376718" w:rsidRPr="008C761D" w:rsidRDefault="00376718" w:rsidP="00E84CD0">
      <w:pPr>
        <w:spacing w:after="120" w:line="240" w:lineRule="auto"/>
        <w:contextualSpacing/>
        <w:jc w:val="both"/>
        <w:rPr>
          <w:rFonts w:eastAsia="SimSun" w:cs="Calibri"/>
          <w:lang w:val="en-US" w:eastAsia="zh-CN"/>
        </w:rPr>
      </w:pPr>
    </w:p>
    <w:p w14:paraId="21770892"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376718" w:rsidRPr="008C761D" w14:paraId="6282756E" w14:textId="77777777" w:rsidTr="00BA5E44">
        <w:tc>
          <w:tcPr>
            <w:tcW w:w="3119" w:type="dxa"/>
            <w:tcBorders>
              <w:top w:val="nil"/>
              <w:bottom w:val="single" w:sz="4" w:space="0" w:color="FFFFFF"/>
            </w:tcBorders>
            <w:shd w:val="clear" w:color="auto" w:fill="2F5496"/>
          </w:tcPr>
          <w:p w14:paraId="6E909CE2" w14:textId="77777777" w:rsidR="00376718" w:rsidRPr="008C761D" w:rsidRDefault="00376718"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645" w:type="dxa"/>
            <w:tcBorders>
              <w:top w:val="nil"/>
              <w:bottom w:val="single" w:sz="4" w:space="0" w:color="FFFFFF"/>
            </w:tcBorders>
            <w:shd w:val="clear" w:color="auto" w:fill="D9E2F3"/>
          </w:tcPr>
          <w:p w14:paraId="3CDF6DC2" w14:textId="77777777"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BE0692" w:rsidRPr="008C761D">
              <w:rPr>
                <w:rFonts w:cs="Calibri"/>
                <w:sz w:val="20"/>
                <w:szCs w:val="20"/>
                <w:lang w:val="en-US"/>
              </w:rPr>
              <w:t>7</w:t>
            </w:r>
          </w:p>
        </w:tc>
      </w:tr>
      <w:tr w:rsidR="00376718" w:rsidRPr="008C761D" w14:paraId="38C9BC90" w14:textId="77777777" w:rsidTr="00BA5E44">
        <w:tc>
          <w:tcPr>
            <w:tcW w:w="3119" w:type="dxa"/>
            <w:tcBorders>
              <w:top w:val="single" w:sz="4" w:space="0" w:color="FFFFFF"/>
              <w:bottom w:val="single" w:sz="4" w:space="0" w:color="FFFFFF"/>
            </w:tcBorders>
            <w:shd w:val="clear" w:color="auto" w:fill="2F5496"/>
          </w:tcPr>
          <w:p w14:paraId="41DFE184" w14:textId="77777777" w:rsidR="00376718" w:rsidRPr="008C761D" w:rsidRDefault="00376718"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lastRenderedPageBreak/>
              <w:t>Deliverables:</w:t>
            </w:r>
          </w:p>
        </w:tc>
        <w:tc>
          <w:tcPr>
            <w:tcW w:w="5645" w:type="dxa"/>
            <w:tcBorders>
              <w:top w:val="single" w:sz="4" w:space="0" w:color="FFFFFF"/>
              <w:bottom w:val="single" w:sz="4" w:space="0" w:color="FFFFFF"/>
            </w:tcBorders>
            <w:shd w:val="clear" w:color="auto" w:fill="D9E2F3"/>
          </w:tcPr>
          <w:p w14:paraId="44DB55A7" w14:textId="77777777" w:rsidR="00BE0692" w:rsidRPr="008C761D" w:rsidRDefault="00BE0692" w:rsidP="0044402B">
            <w:pPr>
              <w:numPr>
                <w:ilvl w:val="0"/>
                <w:numId w:val="66"/>
              </w:numPr>
              <w:spacing w:after="160" w:line="240" w:lineRule="auto"/>
              <w:ind w:left="212" w:hanging="180"/>
              <w:jc w:val="both"/>
              <w:rPr>
                <w:rFonts w:cs="Calibri"/>
                <w:sz w:val="20"/>
                <w:szCs w:val="20"/>
                <w:lang w:val="en-US"/>
              </w:rPr>
            </w:pPr>
            <w:r w:rsidRPr="008C761D">
              <w:rPr>
                <w:rFonts w:cs="Calibri"/>
                <w:sz w:val="20"/>
                <w:szCs w:val="20"/>
                <w:lang w:val="en-US"/>
              </w:rPr>
              <w:t>Decree on managing public investment projects</w:t>
            </w:r>
          </w:p>
          <w:p w14:paraId="2D71B332" w14:textId="77777777" w:rsidR="00BE0692" w:rsidRPr="008C761D" w:rsidRDefault="00BE0692" w:rsidP="0044402B">
            <w:pPr>
              <w:numPr>
                <w:ilvl w:val="0"/>
                <w:numId w:val="66"/>
              </w:numPr>
              <w:spacing w:after="160" w:line="240" w:lineRule="auto"/>
              <w:ind w:left="212" w:hanging="180"/>
              <w:jc w:val="both"/>
              <w:rPr>
                <w:rFonts w:cs="Calibri"/>
                <w:sz w:val="20"/>
                <w:szCs w:val="20"/>
                <w:lang w:val="en-US"/>
              </w:rPr>
            </w:pPr>
            <w:r w:rsidRPr="008C761D">
              <w:rPr>
                <w:rFonts w:cs="Calibri"/>
                <w:sz w:val="20"/>
                <w:szCs w:val="20"/>
                <w:lang w:val="en-US"/>
              </w:rPr>
              <w:t>Manual for PIM processes</w:t>
            </w:r>
          </w:p>
          <w:p w14:paraId="7DF46299" w14:textId="77777777" w:rsidR="00BE0692" w:rsidRPr="008C761D" w:rsidRDefault="00BE0692" w:rsidP="0044402B">
            <w:pPr>
              <w:numPr>
                <w:ilvl w:val="0"/>
                <w:numId w:val="66"/>
              </w:numPr>
              <w:spacing w:after="160" w:line="240" w:lineRule="auto"/>
              <w:ind w:left="212" w:hanging="180"/>
              <w:jc w:val="both"/>
              <w:rPr>
                <w:rFonts w:cs="Calibri"/>
                <w:sz w:val="20"/>
                <w:szCs w:val="20"/>
                <w:lang w:val="en-US"/>
              </w:rPr>
            </w:pPr>
            <w:r w:rsidRPr="008C761D">
              <w:rPr>
                <w:rFonts w:cs="Calibri"/>
                <w:sz w:val="20"/>
                <w:szCs w:val="20"/>
                <w:lang w:val="en-US"/>
              </w:rPr>
              <w:t>Adequate staffing of the PIMD of the MoF</w:t>
            </w:r>
          </w:p>
          <w:p w14:paraId="237774D4" w14:textId="77777777" w:rsidR="00376718" w:rsidRPr="008C761D" w:rsidRDefault="00BE0692" w:rsidP="0044402B">
            <w:pPr>
              <w:numPr>
                <w:ilvl w:val="0"/>
                <w:numId w:val="66"/>
              </w:numPr>
              <w:spacing w:after="160" w:line="240" w:lineRule="auto"/>
              <w:ind w:left="212" w:hanging="180"/>
              <w:jc w:val="both"/>
              <w:rPr>
                <w:rFonts w:cs="Calibri"/>
                <w:sz w:val="20"/>
                <w:szCs w:val="20"/>
                <w:lang w:val="en-US"/>
              </w:rPr>
            </w:pPr>
            <w:r w:rsidRPr="008C761D">
              <w:rPr>
                <w:rFonts w:cs="Calibri"/>
                <w:sz w:val="20"/>
                <w:szCs w:val="20"/>
                <w:lang w:val="en-US"/>
              </w:rPr>
              <w:t>Capacity development of the PIMD staff</w:t>
            </w:r>
          </w:p>
        </w:tc>
      </w:tr>
      <w:tr w:rsidR="00376718" w:rsidRPr="008C761D" w14:paraId="5BCFD0D8" w14:textId="77777777" w:rsidTr="00BA5E44">
        <w:tc>
          <w:tcPr>
            <w:tcW w:w="3119" w:type="dxa"/>
            <w:tcBorders>
              <w:top w:val="single" w:sz="4" w:space="0" w:color="FFFFFF"/>
              <w:bottom w:val="single" w:sz="4" w:space="0" w:color="FFFFFF"/>
            </w:tcBorders>
            <w:shd w:val="clear" w:color="auto" w:fill="2F5496"/>
          </w:tcPr>
          <w:p w14:paraId="2E53A818"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5645" w:type="dxa"/>
            <w:tcBorders>
              <w:top w:val="single" w:sz="4" w:space="0" w:color="FFFFFF"/>
              <w:bottom w:val="single" w:sz="4" w:space="0" w:color="FFFFFF"/>
            </w:tcBorders>
            <w:shd w:val="clear" w:color="auto" w:fill="D9E2F3"/>
          </w:tcPr>
          <w:p w14:paraId="5A647B02" w14:textId="43591623"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 xml:space="preserve">EUR </w:t>
            </w:r>
            <w:r w:rsidR="00BE0692" w:rsidRPr="008C761D">
              <w:rPr>
                <w:rFonts w:cs="Calibri"/>
                <w:sz w:val="20"/>
                <w:szCs w:val="20"/>
                <w:lang w:val="en-US"/>
              </w:rPr>
              <w:t>4</w:t>
            </w:r>
            <w:r w:rsidR="00FC425B" w:rsidRPr="008C761D">
              <w:rPr>
                <w:rFonts w:cs="Calibri"/>
                <w:sz w:val="20"/>
                <w:szCs w:val="20"/>
                <w:lang w:val="en-US"/>
              </w:rPr>
              <w:t>00</w:t>
            </w:r>
            <w:r w:rsidRPr="008C761D">
              <w:rPr>
                <w:rFonts w:cs="Calibri"/>
                <w:sz w:val="20"/>
                <w:szCs w:val="20"/>
                <w:lang w:val="en-US"/>
              </w:rPr>
              <w:t>,000</w:t>
            </w:r>
          </w:p>
        </w:tc>
      </w:tr>
      <w:tr w:rsidR="00376718" w:rsidRPr="008C761D" w14:paraId="02D0F2A9" w14:textId="77777777" w:rsidTr="00BA5E44">
        <w:tc>
          <w:tcPr>
            <w:tcW w:w="3119" w:type="dxa"/>
            <w:tcBorders>
              <w:top w:val="single" w:sz="4" w:space="0" w:color="FFFFFF"/>
              <w:bottom w:val="single" w:sz="4" w:space="0" w:color="FFFFFF"/>
            </w:tcBorders>
            <w:shd w:val="clear" w:color="auto" w:fill="2F5496"/>
          </w:tcPr>
          <w:p w14:paraId="4E8BD57F"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5645" w:type="dxa"/>
            <w:tcBorders>
              <w:top w:val="single" w:sz="4" w:space="0" w:color="FFFFFF"/>
              <w:bottom w:val="single" w:sz="4" w:space="0" w:color="FFFFFF"/>
            </w:tcBorders>
            <w:shd w:val="clear" w:color="auto" w:fill="D9E2F3"/>
          </w:tcPr>
          <w:p w14:paraId="658A399C" w14:textId="2F9638B7" w:rsidR="00376718" w:rsidRPr="008C761D" w:rsidRDefault="00FA0745" w:rsidP="00E84CD0">
            <w:pPr>
              <w:spacing w:after="160" w:line="240" w:lineRule="auto"/>
              <w:jc w:val="both"/>
              <w:rPr>
                <w:rFonts w:cs="Calibri"/>
                <w:sz w:val="20"/>
                <w:szCs w:val="20"/>
                <w:lang w:val="en-US"/>
              </w:rPr>
            </w:pPr>
            <w:r w:rsidRPr="00FA0745">
              <w:rPr>
                <w:rFonts w:cs="Calibri"/>
                <w:sz w:val="20"/>
                <w:szCs w:val="20"/>
                <w:lang w:val="en-US"/>
              </w:rPr>
              <w:t>MoF – PIM Department</w:t>
            </w:r>
            <w:r w:rsidR="00376718" w:rsidRPr="008C761D">
              <w:rPr>
                <w:rFonts w:cs="Calibri"/>
                <w:sz w:val="20"/>
                <w:szCs w:val="20"/>
                <w:lang w:val="en-US"/>
              </w:rPr>
              <w:t xml:space="preserve">, BUs/SoEs/LSGUs </w:t>
            </w:r>
          </w:p>
        </w:tc>
      </w:tr>
      <w:tr w:rsidR="00376718" w:rsidRPr="008C761D" w14:paraId="36DE80AE" w14:textId="77777777" w:rsidTr="00BA5E44">
        <w:tc>
          <w:tcPr>
            <w:tcW w:w="3119" w:type="dxa"/>
            <w:tcBorders>
              <w:top w:val="single" w:sz="4" w:space="0" w:color="FFFFFF"/>
              <w:bottom w:val="nil"/>
            </w:tcBorders>
            <w:shd w:val="clear" w:color="auto" w:fill="2F5496"/>
          </w:tcPr>
          <w:p w14:paraId="24FA00D5"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25FEB124" w14:textId="77777777" w:rsidR="00376718" w:rsidRPr="008C761D" w:rsidRDefault="00BE0692" w:rsidP="0044402B">
            <w:pPr>
              <w:numPr>
                <w:ilvl w:val="0"/>
                <w:numId w:val="66"/>
              </w:numPr>
              <w:spacing w:after="160" w:line="240" w:lineRule="auto"/>
              <w:ind w:left="212" w:hanging="180"/>
              <w:jc w:val="both"/>
              <w:rPr>
                <w:rFonts w:cs="Calibri"/>
                <w:sz w:val="20"/>
                <w:szCs w:val="20"/>
                <w:lang w:val="en-US"/>
              </w:rPr>
            </w:pPr>
            <w:r w:rsidRPr="008C761D">
              <w:rPr>
                <w:rFonts w:cs="Calibri"/>
                <w:sz w:val="20"/>
                <w:szCs w:val="20"/>
                <w:lang w:val="en-US"/>
              </w:rPr>
              <w:t xml:space="preserve">Lack of political will to support reforms, insufficient staff </w:t>
            </w:r>
            <w:proofErr w:type="gramStart"/>
            <w:r w:rsidRPr="008C761D">
              <w:rPr>
                <w:rFonts w:cs="Calibri"/>
                <w:sz w:val="20"/>
                <w:szCs w:val="20"/>
                <w:lang w:val="en-US"/>
              </w:rPr>
              <w:t>and  lack</w:t>
            </w:r>
            <w:proofErr w:type="gramEnd"/>
            <w:r w:rsidRPr="008C761D">
              <w:rPr>
                <w:rFonts w:cs="Calibri"/>
                <w:sz w:val="20"/>
                <w:szCs w:val="20"/>
                <w:lang w:val="en-US"/>
              </w:rPr>
              <w:t xml:space="preserve"> of capacities, poor coordination between institutions.</w:t>
            </w:r>
          </w:p>
        </w:tc>
      </w:tr>
    </w:tbl>
    <w:p w14:paraId="10FB5B72" w14:textId="77777777" w:rsidR="00376718" w:rsidRPr="008C761D" w:rsidRDefault="00376718" w:rsidP="00E84CD0">
      <w:pPr>
        <w:spacing w:after="160" w:line="240" w:lineRule="auto"/>
        <w:jc w:val="both"/>
        <w:rPr>
          <w:rFonts w:cs="Calibri"/>
          <w:lang w:val="en-US"/>
        </w:rPr>
      </w:pPr>
    </w:p>
    <w:p w14:paraId="15EFDBCA" w14:textId="23C66E78" w:rsidR="00BE0692" w:rsidRPr="008C761D" w:rsidRDefault="00BE0692" w:rsidP="00E84CD0">
      <w:pPr>
        <w:keepNext/>
        <w:keepLines/>
        <w:spacing w:before="160" w:after="60" w:line="240" w:lineRule="auto"/>
        <w:jc w:val="both"/>
        <w:outlineLvl w:val="3"/>
        <w:rPr>
          <w:rFonts w:cs="Calibri"/>
          <w:b/>
          <w:color w:val="0070C0"/>
          <w:sz w:val="24"/>
          <w:szCs w:val="24"/>
          <w:lang w:val="en-US" w:eastAsia="zh-CN"/>
        </w:rPr>
      </w:pPr>
      <w:r w:rsidRPr="008C761D">
        <w:rPr>
          <w:rFonts w:cs="Calibri"/>
          <w:b/>
          <w:color w:val="0070C0"/>
          <w:sz w:val="24"/>
          <w:szCs w:val="24"/>
          <w:lang w:val="en-US" w:eastAsia="zh-CN"/>
        </w:rPr>
        <w:t>Measure 2:</w:t>
      </w:r>
      <w:r w:rsidR="0084759C">
        <w:rPr>
          <w:rFonts w:cs="Calibri"/>
          <w:b/>
          <w:color w:val="0070C0"/>
          <w:sz w:val="24"/>
          <w:szCs w:val="24"/>
          <w:lang w:val="en-US" w:eastAsia="zh-CN"/>
        </w:rPr>
        <w:t xml:space="preserve"> </w:t>
      </w:r>
      <w:r w:rsidRPr="008C761D">
        <w:rPr>
          <w:rFonts w:cs="Calibri"/>
          <w:b/>
          <w:color w:val="0070C0"/>
          <w:sz w:val="24"/>
          <w:szCs w:val="24"/>
          <w:lang w:val="en-US" w:eastAsia="zh-CN"/>
        </w:rPr>
        <w:t>Established single pipeline of appraised capital public investment projects</w:t>
      </w:r>
    </w:p>
    <w:p w14:paraId="2DCF90C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0EF1E535" w14:textId="77777777" w:rsidR="00376718" w:rsidRPr="008C761D" w:rsidRDefault="00376718" w:rsidP="00E84CD0">
      <w:pPr>
        <w:spacing w:before="80" w:after="80" w:line="240" w:lineRule="auto"/>
        <w:jc w:val="both"/>
        <w:rPr>
          <w:rFonts w:eastAsia="MS PGothic" w:cs="Calibri"/>
          <w:lang w:val="en-US" w:eastAsia="zh-CN"/>
        </w:rPr>
      </w:pPr>
      <w:r w:rsidRPr="008C761D">
        <w:rPr>
          <w:rFonts w:eastAsia="MS PGothic" w:cs="Calibri"/>
          <w:lang w:val="en-US" w:eastAsia="zh-CN"/>
        </w:rPr>
        <w:t>Capital spending is allocated to the most productive sectors and projects by a comprehensive, unified, and medium-term perspective to capital budgeting, as well as objective criteria and competitive procedures for selecting particular investment projects.</w:t>
      </w:r>
    </w:p>
    <w:p w14:paraId="70F2DD98" w14:textId="77777777" w:rsidR="00376718" w:rsidRPr="008C761D" w:rsidRDefault="00376718" w:rsidP="00E84CD0">
      <w:pPr>
        <w:spacing w:before="80" w:after="80" w:line="240" w:lineRule="auto"/>
        <w:jc w:val="both"/>
        <w:rPr>
          <w:rFonts w:eastAsia="MS PGothic" w:cs="Calibri"/>
          <w:color w:val="FF0000"/>
          <w:lang w:val="en-US" w:eastAsia="zh-CN"/>
        </w:rPr>
      </w:pPr>
    </w:p>
    <w:p w14:paraId="302C0B0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8C761D" w:rsidDel="005B290B" w14:paraId="70249A93" w14:textId="77777777" w:rsidTr="00BA5E44">
        <w:tc>
          <w:tcPr>
            <w:tcW w:w="851" w:type="dxa"/>
            <w:shd w:val="clear" w:color="auto" w:fill="DDDDDD"/>
          </w:tcPr>
          <w:p w14:paraId="24AFDA4B" w14:textId="77777777" w:rsidR="00376718" w:rsidRPr="008C761D" w:rsidRDefault="00376718" w:rsidP="00E84CD0">
            <w:pPr>
              <w:spacing w:before="80" w:after="0" w:line="240" w:lineRule="auto"/>
              <w:jc w:val="both"/>
              <w:rPr>
                <w:rFonts w:cs="Calibri"/>
                <w:sz w:val="20"/>
                <w:szCs w:val="20"/>
                <w:lang w:val="en-US"/>
              </w:rPr>
            </w:pPr>
            <w:r w:rsidRPr="008C761D">
              <w:rPr>
                <w:rFonts w:cs="Calibri"/>
                <w:sz w:val="20"/>
                <w:szCs w:val="20"/>
                <w:lang w:val="en-US"/>
              </w:rPr>
              <w:t>PEFA:</w:t>
            </w:r>
          </w:p>
        </w:tc>
        <w:tc>
          <w:tcPr>
            <w:tcW w:w="7700" w:type="dxa"/>
            <w:shd w:val="clear" w:color="auto" w:fill="DDDDDD"/>
          </w:tcPr>
          <w:p w14:paraId="0956456B"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PI -11/ Dimension 11.2: </w:t>
            </w:r>
          </w:p>
          <w:p w14:paraId="4DB1C900" w14:textId="77777777" w:rsidR="00376718" w:rsidRPr="008C761D" w:rsidRDefault="00376718" w:rsidP="00E84CD0">
            <w:pPr>
              <w:spacing w:after="160" w:line="240" w:lineRule="auto"/>
              <w:jc w:val="both"/>
              <w:rPr>
                <w:rFonts w:eastAsia="Arial" w:cs="Calibri"/>
                <w:sz w:val="20"/>
                <w:szCs w:val="20"/>
                <w:lang w:val="en-US"/>
              </w:rPr>
            </w:pPr>
            <w:r w:rsidRPr="008C761D">
              <w:rPr>
                <w:rFonts w:cs="Calibri"/>
                <w:sz w:val="20"/>
                <w:szCs w:val="20"/>
                <w:lang w:val="en-US"/>
              </w:rPr>
              <w:t>There are no published standard criteria for project selection. For externally funded projects, selection criteria are established by the external funding entity. That said, the Single Project Pipeline (SPP), coordinated by the Secretariat for European Affairs and covering all externally funded projects, uses selection criteria published under the “Support to Western Balkans Infrastructure Investment Projects in the period 2014-2020” project.  For domestically funded projects, selection criteria are established by each BU independently, some of whom follow the SPP selection criteria.</w:t>
            </w:r>
          </w:p>
          <w:p w14:paraId="3878E881"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Prioritization of projects for inclusion in the budget is determined most directly by the General Secretariat of the Government. The focus of the prioritization is compliance with the Government 4-year Working Program, and is communicated through the 3-year strategic plan prepared by each BU in parallel with the budget (see PI-16.3 for a more detailed explanation of the planning system).</w:t>
            </w:r>
          </w:p>
          <w:p w14:paraId="117C7F19" w14:textId="77777777" w:rsidR="00376718" w:rsidRPr="008C761D" w:rsidRDefault="00376718" w:rsidP="00E84CD0">
            <w:pPr>
              <w:spacing w:after="0" w:line="240" w:lineRule="auto"/>
              <w:jc w:val="both"/>
              <w:rPr>
                <w:rFonts w:cs="Calibri"/>
                <w:sz w:val="20"/>
                <w:szCs w:val="20"/>
                <w:lang w:val="en-US"/>
              </w:rPr>
            </w:pPr>
            <w:r w:rsidRPr="008C761D">
              <w:rPr>
                <w:rFonts w:cs="Calibri"/>
                <w:b/>
                <w:bCs/>
                <w:sz w:val="20"/>
                <w:szCs w:val="20"/>
                <w:lang w:val="en-US"/>
              </w:rPr>
              <w:t>Since major projects are prioritized by a central entity but not on the basis of measurable criteria for selection that are rigorous and focus on economic efficiency and productivity, the score for this dimension is D.</w:t>
            </w:r>
          </w:p>
        </w:tc>
      </w:tr>
      <w:tr w:rsidR="00376718" w:rsidRPr="008C761D" w:rsidDel="005B290B" w14:paraId="616161BA" w14:textId="77777777" w:rsidTr="00BA5E44">
        <w:trPr>
          <w:trHeight w:val="2913"/>
        </w:trPr>
        <w:tc>
          <w:tcPr>
            <w:tcW w:w="851" w:type="dxa"/>
            <w:shd w:val="clear" w:color="auto" w:fill="DDDDDD"/>
          </w:tcPr>
          <w:p w14:paraId="474AF7F5" w14:textId="77777777" w:rsidR="00376718" w:rsidRPr="008C761D" w:rsidRDefault="00376718" w:rsidP="00E84CD0">
            <w:pPr>
              <w:spacing w:before="80" w:after="0" w:line="240" w:lineRule="auto"/>
              <w:jc w:val="both"/>
              <w:rPr>
                <w:rFonts w:cs="Calibri"/>
                <w:sz w:val="20"/>
                <w:szCs w:val="20"/>
                <w:lang w:val="en-US"/>
              </w:rPr>
            </w:pPr>
          </w:p>
        </w:tc>
        <w:tc>
          <w:tcPr>
            <w:tcW w:w="7700" w:type="dxa"/>
            <w:shd w:val="clear" w:color="auto" w:fill="DDDDDD"/>
          </w:tcPr>
          <w:p w14:paraId="221743E7"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PI -11/ Dimension 11.3: </w:t>
            </w:r>
          </w:p>
          <w:p w14:paraId="7194BCD9"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In North Macedonia, the budget shows the capital cost of a project, broken down by each year covered by the medium-term, along with a remainder if the project is implemented over more than three years.  It is generally understood that construction costs are included in capital costs, but there is ambiguity on other related costs.</w:t>
            </w:r>
          </w:p>
          <w:p w14:paraId="721DB90E"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For externally funded projects, costing methods are established by the funding entity; for domestically funded projects, costing methods are established by each BU independently.</w:t>
            </w:r>
          </w:p>
          <w:p w14:paraId="79514166"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 xml:space="preserve">Recurrent costs associated with major projects are sometimes identified in project documents but not in the budget. </w:t>
            </w:r>
          </w:p>
          <w:p w14:paraId="3D46D4E0" w14:textId="77777777" w:rsidR="00376718" w:rsidRPr="008C761D" w:rsidRDefault="00376718" w:rsidP="00E84CD0">
            <w:pPr>
              <w:spacing w:after="0" w:line="240" w:lineRule="auto"/>
              <w:jc w:val="both"/>
              <w:rPr>
                <w:rFonts w:cs="Calibri"/>
                <w:sz w:val="20"/>
                <w:szCs w:val="20"/>
                <w:lang w:val="en-US"/>
              </w:rPr>
            </w:pPr>
            <w:r w:rsidRPr="008C761D">
              <w:rPr>
                <w:rFonts w:cs="Calibri"/>
                <w:b/>
                <w:sz w:val="20"/>
                <w:szCs w:val="20"/>
                <w:lang w:val="en-US"/>
              </w:rPr>
              <w:t>Since capital costs of a major project are included in each year of the medium-term budget, but recurrent costs of the project are not included in budget documents, the score for this dimension is C.</w:t>
            </w:r>
          </w:p>
        </w:tc>
      </w:tr>
      <w:tr w:rsidR="00376718" w:rsidRPr="008C761D" w14:paraId="26FDADA8" w14:textId="77777777" w:rsidTr="00BA5E44">
        <w:tc>
          <w:tcPr>
            <w:tcW w:w="851" w:type="dxa"/>
            <w:shd w:val="clear" w:color="auto" w:fill="DDDDDD"/>
          </w:tcPr>
          <w:p w14:paraId="6FEEF9EE" w14:textId="77777777" w:rsidR="00376718" w:rsidRPr="008C761D" w:rsidRDefault="00376718" w:rsidP="00E84CD0">
            <w:pPr>
              <w:spacing w:before="80" w:after="0" w:line="240" w:lineRule="auto"/>
              <w:jc w:val="both"/>
              <w:rPr>
                <w:rFonts w:cs="Calibri"/>
                <w:sz w:val="20"/>
                <w:szCs w:val="20"/>
                <w:lang w:val="en-US"/>
              </w:rPr>
            </w:pPr>
            <w:r w:rsidRPr="008C761D">
              <w:rPr>
                <w:rFonts w:cs="Calibri"/>
                <w:sz w:val="20"/>
                <w:szCs w:val="20"/>
                <w:lang w:val="en-US"/>
              </w:rPr>
              <w:t>PIMA:</w:t>
            </w:r>
          </w:p>
        </w:tc>
        <w:tc>
          <w:tcPr>
            <w:tcW w:w="7700" w:type="dxa"/>
            <w:shd w:val="clear" w:color="auto" w:fill="DDDDDD"/>
          </w:tcPr>
          <w:p w14:paraId="3DF705BD" w14:textId="77777777" w:rsidR="00376718" w:rsidRPr="008C761D" w:rsidRDefault="00376718" w:rsidP="00E84CD0">
            <w:pPr>
              <w:spacing w:after="0" w:line="240" w:lineRule="auto"/>
              <w:jc w:val="both"/>
              <w:rPr>
                <w:rFonts w:cs="Calibri"/>
                <w:bCs/>
                <w:sz w:val="20"/>
                <w:szCs w:val="20"/>
                <w:lang w:val="en-US"/>
              </w:rPr>
            </w:pPr>
            <w:r w:rsidRPr="008C761D">
              <w:rPr>
                <w:rFonts w:cs="Calibri"/>
                <w:bCs/>
                <w:sz w:val="20"/>
                <w:szCs w:val="20"/>
                <w:lang w:val="en-US"/>
              </w:rPr>
              <w:t xml:space="preserve">Fragmentation affects all stages of the PIM cycle. </w:t>
            </w:r>
            <w:r w:rsidRPr="008C761D">
              <w:rPr>
                <w:rFonts w:cs="Calibri"/>
                <w:sz w:val="20"/>
                <w:szCs w:val="20"/>
                <w:lang w:val="en-US"/>
              </w:rPr>
              <w:t xml:space="preserve">At the allocation stage, there is no single pipeline of appraised capital projects ready to be prioritized and to compete on a level playing field for budgetary resources. Multiple project pipelines coexist depending on sources of financing and economic sectors. Project selection and prioritization is not done using standard and comparable methodologies across sectors, and there is no standard </w:t>
            </w:r>
            <w:r w:rsidRPr="008C761D">
              <w:rPr>
                <w:rFonts w:cs="Calibri"/>
                <w:sz w:val="20"/>
                <w:szCs w:val="20"/>
                <w:lang w:val="en-US"/>
              </w:rPr>
              <w:lastRenderedPageBreak/>
              <w:t>methodology for determining maintenance needs.</w:t>
            </w:r>
          </w:p>
          <w:p w14:paraId="48A3FB40" w14:textId="77777777" w:rsidR="00376718" w:rsidRPr="008C761D" w:rsidRDefault="00376718" w:rsidP="00E84CD0">
            <w:pPr>
              <w:autoSpaceDE w:val="0"/>
              <w:autoSpaceDN w:val="0"/>
              <w:adjustRightInd w:val="0"/>
              <w:spacing w:after="0" w:line="240" w:lineRule="auto"/>
              <w:jc w:val="both"/>
              <w:rPr>
                <w:rFonts w:cs="Calibri"/>
                <w:sz w:val="20"/>
                <w:szCs w:val="20"/>
                <w:lang w:val="en-US"/>
              </w:rPr>
            </w:pPr>
            <w:r w:rsidRPr="008C761D">
              <w:rPr>
                <w:rFonts w:cs="Calibri"/>
                <w:sz w:val="20"/>
                <w:szCs w:val="20"/>
                <w:lang w:val="en-US"/>
              </w:rPr>
              <w:t>Staff capacity in budget users regarding financial and economic project appraisal is insufficient for effective preparation, appraisal and selection of capital investment projects.</w:t>
            </w:r>
          </w:p>
          <w:p w14:paraId="55EAAD0D" w14:textId="77777777" w:rsidR="00376718" w:rsidRPr="008C761D" w:rsidRDefault="00376718" w:rsidP="00E84CD0">
            <w:pPr>
              <w:spacing w:after="0" w:line="240" w:lineRule="auto"/>
              <w:jc w:val="both"/>
              <w:rPr>
                <w:rFonts w:cs="Calibri"/>
                <w:sz w:val="20"/>
                <w:szCs w:val="20"/>
                <w:lang w:val="en-US"/>
              </w:rPr>
            </w:pPr>
          </w:p>
        </w:tc>
      </w:tr>
    </w:tbl>
    <w:p w14:paraId="6CFBC904"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Context / Background</w:t>
      </w:r>
    </w:p>
    <w:p w14:paraId="125B8722" w14:textId="77777777" w:rsidR="00376718" w:rsidRPr="008C761D" w:rsidRDefault="00376718" w:rsidP="00E84CD0">
      <w:pPr>
        <w:spacing w:after="160" w:line="240" w:lineRule="auto"/>
        <w:jc w:val="both"/>
        <w:rPr>
          <w:rFonts w:cs="Calibri"/>
          <w:lang w:val="en-US"/>
        </w:rPr>
      </w:pPr>
      <w:r w:rsidRPr="008C761D">
        <w:rPr>
          <w:rFonts w:cs="Calibri"/>
          <w:lang w:val="en-US"/>
        </w:rPr>
        <w:t>New Organic Budget Law (adopted by the Parliament) stipulates that a methodology for d</w:t>
      </w:r>
      <w:r w:rsidRPr="008C761D">
        <w:rPr>
          <w:rFonts w:eastAsia="MS PGothic" w:cs="Calibri"/>
          <w:lang w:val="en-US" w:eastAsia="zh-CN"/>
        </w:rPr>
        <w:t>efining, preparing, reviewing, appraising and prioritizing new infrastructure projects</w:t>
      </w:r>
      <w:r w:rsidRPr="008C761D">
        <w:rPr>
          <w:rFonts w:cs="Calibri"/>
          <w:lang w:val="en-US"/>
        </w:rPr>
        <w:t xml:space="preserve"> should be adopted by the Government (Article 20)</w:t>
      </w:r>
      <w:r w:rsidRPr="008C761D">
        <w:rPr>
          <w:rFonts w:eastAsia="MS PGothic" w:cs="Calibri"/>
          <w:lang w:val="en-US" w:eastAsia="zh-CN"/>
        </w:rPr>
        <w:t xml:space="preserve">, specifying that the budget users, as part of the </w:t>
      </w:r>
      <w:r w:rsidRPr="008C761D">
        <w:rPr>
          <w:rFonts w:cs="Calibri"/>
          <w:lang w:val="en-US"/>
        </w:rPr>
        <w:t>b</w:t>
      </w:r>
      <w:r w:rsidRPr="008C761D">
        <w:rPr>
          <w:rFonts w:eastAsia="MS PGothic" w:cs="Calibri"/>
          <w:lang w:val="en-US" w:eastAsia="zh-CN"/>
        </w:rPr>
        <w:t>udget preparation process, have to submit pre-feasibility or feasibility study to MoF supporting all new major investment proposals, as well as that MoF will prepare an opinion to the Government (cross-sectoral working group/committee) on the basis of the results from the studies, prior to considering a certain project for financing from the Budget or any other source.</w:t>
      </w:r>
    </w:p>
    <w:p w14:paraId="5C5BCD63" w14:textId="77777777" w:rsidR="00376718" w:rsidRPr="008C761D" w:rsidRDefault="00376718" w:rsidP="00E84CD0">
      <w:pPr>
        <w:spacing w:after="160" w:line="240" w:lineRule="auto"/>
        <w:jc w:val="both"/>
        <w:rPr>
          <w:rFonts w:cs="Calibri"/>
          <w:lang w:val="en-US"/>
        </w:rPr>
      </w:pPr>
      <w:r w:rsidRPr="008C761D">
        <w:rPr>
          <w:rFonts w:eastAsia="MS PGothic" w:cs="Calibri"/>
          <w:lang w:val="en-US" w:eastAsia="zh-CN"/>
        </w:rPr>
        <w:t xml:space="preserve">There is a need for a capacity building for strengthening staff skills, mainly in MoF on project appraisal and on review of preinvestment studies, but also in budget users/SoEs/LSGUson project formulation and appraisal to increase their ability as counterpart of pre-investment studies done by consultants and first reviewers of studies. In accordance with international good practices, strengthening capacity will require a continuous training program due to the high turnover rate that is common in the public sector. </w:t>
      </w:r>
    </w:p>
    <w:p w14:paraId="4D0E9F1A" w14:textId="25287D21" w:rsidR="007541EA" w:rsidRPr="00F50612" w:rsidRDefault="00F50612" w:rsidP="00F50612">
      <w:pPr>
        <w:spacing w:before="80" w:after="80" w:line="240" w:lineRule="auto"/>
        <w:jc w:val="both"/>
        <w:rPr>
          <w:rFonts w:eastAsia="MS PGothic" w:cs="Calibri"/>
          <w:lang w:val="en-US" w:eastAsia="zh-CN"/>
        </w:rPr>
      </w:pPr>
      <w:r>
        <w:rPr>
          <w:rFonts w:eastAsia="MS PGothic" w:cs="Calibri"/>
          <w:lang w:val="en-US" w:eastAsia="zh-CN"/>
        </w:rPr>
        <w:t xml:space="preserve">The </w:t>
      </w:r>
      <w:r w:rsidR="00056B8A" w:rsidRPr="008C761D">
        <w:rPr>
          <w:rFonts w:eastAsia="MS PGothic" w:cs="Calibri"/>
          <w:lang w:val="en-US" w:eastAsia="zh-CN"/>
        </w:rPr>
        <w:t>OBL (Article 20 - Medium-Term Priorities and Procedure for Selection of New Initiatives - Projects and Activities) stipulates that the new evaluated public investment projects should be further considered and prioritized by the National Investment Committee (NIC) or Municipal Council committee and finally decided by the Government and/or a Municipal Council respectively. By determining priority and selection, a systematic ranking and selection of projects that have successfully passed the appraisal and independent review stages is carried out. The selection and prioritisation of these projects shall be done based on predefined criteria and the projects for which budget funds are allocated shall be selected and further implemented, ensuring optimal allocation of the available funding. Thus, a single pipeline of evaluated and accepted capital public investment projects shall be created</w:t>
      </w:r>
      <w:r>
        <w:rPr>
          <w:rFonts w:eastAsia="MS PGothic" w:cs="Calibri"/>
          <w:lang w:val="en-US" w:eastAsia="zh-CN"/>
        </w:rPr>
        <w:t xml:space="preserve">, and administered by the MoF. </w:t>
      </w:r>
    </w:p>
    <w:p w14:paraId="44FA9431" w14:textId="77777777" w:rsidR="00056B8A" w:rsidRPr="002E26BE" w:rsidRDefault="00056B8A" w:rsidP="00056B8A">
      <w:pPr>
        <w:rPr>
          <w:rFonts w:eastAsia="MS PGothic" w:cs="Calibri"/>
          <w:b/>
          <w:bCs/>
          <w:iCs/>
          <w:color w:val="0070C0"/>
          <w:lang w:val="en-US" w:eastAsia="zh-CN"/>
        </w:rPr>
      </w:pPr>
      <w:r w:rsidRPr="002E26BE">
        <w:rPr>
          <w:rFonts w:eastAsia="MS PGothic" w:cs="Calibri"/>
          <w:b/>
          <w:bCs/>
          <w:iCs/>
          <w:color w:val="0070C0"/>
          <w:lang w:val="en-US" w:eastAsia="zh-CN"/>
        </w:rPr>
        <w:t>Activity 1: Develop general public investment project appraisal methodology</w:t>
      </w:r>
    </w:p>
    <w:p w14:paraId="5C13FD48" w14:textId="5CBAAFA1" w:rsidR="00056B8A" w:rsidRPr="008C761D" w:rsidRDefault="00056B8A" w:rsidP="00056B8A">
      <w:pPr>
        <w:jc w:val="both"/>
        <w:rPr>
          <w:rFonts w:eastAsia="MS PGothic" w:cs="Calibri"/>
          <w:bCs/>
          <w:iCs/>
          <w:lang w:val="en-US" w:eastAsia="zh-CN"/>
        </w:rPr>
      </w:pPr>
      <w:r w:rsidRPr="008C761D">
        <w:rPr>
          <w:rFonts w:eastAsia="MS PGothic" w:cs="Calibri"/>
          <w:bCs/>
          <w:iCs/>
          <w:lang w:val="en-US" w:eastAsia="zh-CN"/>
        </w:rPr>
        <w:t>The MoF will prepare a general appraisal methodology for public investment projects for all projects regardless of sources of funding, based on best international practices.</w:t>
      </w:r>
      <w:r w:rsidR="00F50612">
        <w:rPr>
          <w:rFonts w:eastAsia="MS PGothic" w:cs="Calibri"/>
          <w:bCs/>
          <w:iCs/>
          <w:lang w:val="en-US" w:eastAsia="zh-CN"/>
        </w:rPr>
        <w:t xml:space="preserve"> </w:t>
      </w:r>
      <w:r w:rsidRPr="008C761D">
        <w:rPr>
          <w:rFonts w:eastAsia="MS PGothic" w:cs="Calibri"/>
          <w:bCs/>
          <w:iCs/>
          <w:lang w:val="en-US" w:eastAsia="zh-CN"/>
        </w:rPr>
        <w:t>The methodology shall be adopted by the Government and applied by all public entities.</w:t>
      </w:r>
    </w:p>
    <w:p w14:paraId="05E89910" w14:textId="77777777" w:rsidR="00056B8A" w:rsidRPr="002E26BE" w:rsidRDefault="00056B8A" w:rsidP="00056B8A">
      <w:pPr>
        <w:rPr>
          <w:rFonts w:eastAsia="MS PGothic" w:cs="Calibri"/>
          <w:b/>
          <w:bCs/>
          <w:iCs/>
          <w:color w:val="0070C0"/>
          <w:lang w:val="en-US" w:eastAsia="zh-CN"/>
        </w:rPr>
      </w:pPr>
      <w:r w:rsidRPr="002E26BE">
        <w:rPr>
          <w:rFonts w:eastAsia="MS PGothic" w:cs="Calibri"/>
          <w:b/>
          <w:bCs/>
          <w:iCs/>
          <w:color w:val="0070C0"/>
          <w:lang w:val="en-US" w:eastAsia="zh-CN"/>
        </w:rPr>
        <w:t>Activity 2: Establish standard criteria for project selection/prioritization</w:t>
      </w:r>
    </w:p>
    <w:p w14:paraId="4744AF7D" w14:textId="264FFBC5" w:rsidR="00056B8A" w:rsidRPr="008C761D" w:rsidRDefault="00056B8A" w:rsidP="00056B8A">
      <w:pPr>
        <w:jc w:val="both"/>
        <w:rPr>
          <w:rFonts w:eastAsia="MS PGothic" w:cs="Calibri"/>
          <w:bCs/>
          <w:iCs/>
          <w:lang w:val="en-US" w:eastAsia="zh-CN"/>
        </w:rPr>
      </w:pPr>
      <w:r w:rsidRPr="008C761D">
        <w:rPr>
          <w:rFonts w:eastAsia="MS PGothic" w:cs="Calibri"/>
          <w:bCs/>
          <w:iCs/>
          <w:lang w:val="en-US" w:eastAsia="zh-CN"/>
        </w:rPr>
        <w:t>The MoF shall propose criteria for prioritization of the public investment projects which include profitability (cost effectiveness), social and environmental impact and strategic importance of the projects, to be</w:t>
      </w:r>
      <w:r w:rsidR="00F50612">
        <w:rPr>
          <w:rFonts w:eastAsia="MS PGothic" w:cs="Calibri"/>
          <w:bCs/>
          <w:iCs/>
          <w:lang w:val="en-US" w:eastAsia="zh-CN"/>
        </w:rPr>
        <w:t xml:space="preserve"> </w:t>
      </w:r>
      <w:r w:rsidRPr="008C761D">
        <w:rPr>
          <w:rFonts w:eastAsia="MS PGothic" w:cs="Calibri"/>
          <w:bCs/>
          <w:iCs/>
          <w:lang w:val="en-US" w:eastAsia="zh-CN"/>
        </w:rPr>
        <w:t>adopted by the Government and will apply to all sectors.</w:t>
      </w:r>
      <w:r w:rsidR="00F50612">
        <w:rPr>
          <w:rFonts w:eastAsia="MS PGothic" w:cs="Calibri"/>
          <w:bCs/>
          <w:iCs/>
          <w:lang w:val="en-US" w:eastAsia="zh-CN"/>
        </w:rPr>
        <w:t xml:space="preserve"> </w:t>
      </w:r>
      <w:r w:rsidRPr="008C761D">
        <w:rPr>
          <w:rFonts w:eastAsia="MS PGothic" w:cs="Calibri"/>
          <w:bCs/>
          <w:iCs/>
          <w:lang w:val="en-US" w:eastAsia="zh-CN"/>
        </w:rPr>
        <w:t>These criteria will be used for creation of a single pipeline of appraised capital projects, covering all sectors and all funding sources.</w:t>
      </w:r>
    </w:p>
    <w:p w14:paraId="310D1C7D" w14:textId="47206251" w:rsidR="00056B8A" w:rsidRPr="002E26BE" w:rsidRDefault="00056B8A" w:rsidP="00F50612">
      <w:pPr>
        <w:jc w:val="both"/>
        <w:rPr>
          <w:rFonts w:eastAsia="MS PGothic" w:cs="Calibri"/>
          <w:b/>
          <w:bCs/>
          <w:iCs/>
          <w:color w:val="0070C0"/>
          <w:lang w:val="en-US" w:eastAsia="zh-CN"/>
        </w:rPr>
      </w:pPr>
      <w:r w:rsidRPr="002E26BE">
        <w:rPr>
          <w:rFonts w:eastAsia="MS PGothic" w:cs="Calibri"/>
          <w:b/>
          <w:bCs/>
          <w:iCs/>
          <w:color w:val="0070C0"/>
          <w:lang w:val="en-US" w:eastAsia="zh-CN"/>
        </w:rPr>
        <w:t>Activity 3: Provide training to MoF professionals on project appraisal and review of preinvestment</w:t>
      </w:r>
      <w:r w:rsidR="00F50612" w:rsidRPr="002E26BE">
        <w:rPr>
          <w:rFonts w:eastAsia="MS PGothic" w:cs="Calibri"/>
          <w:b/>
          <w:bCs/>
          <w:iCs/>
          <w:color w:val="0070C0"/>
          <w:lang w:val="en-US" w:eastAsia="zh-CN"/>
        </w:rPr>
        <w:t xml:space="preserve"> </w:t>
      </w:r>
      <w:r w:rsidRPr="002E26BE">
        <w:rPr>
          <w:rFonts w:eastAsia="MS PGothic" w:cs="Calibri"/>
          <w:b/>
          <w:bCs/>
          <w:iCs/>
          <w:color w:val="0070C0"/>
          <w:lang w:val="en-US" w:eastAsia="zh-CN"/>
        </w:rPr>
        <w:t>studies</w:t>
      </w:r>
    </w:p>
    <w:p w14:paraId="5F0AA539" w14:textId="77777777" w:rsidR="00056B8A" w:rsidRPr="008C761D" w:rsidRDefault="00056B8A" w:rsidP="00056B8A">
      <w:pPr>
        <w:jc w:val="both"/>
        <w:rPr>
          <w:rFonts w:eastAsia="MS PGothic" w:cs="Calibri"/>
          <w:bCs/>
          <w:iCs/>
          <w:lang w:val="en-US" w:eastAsia="zh-CN"/>
        </w:rPr>
      </w:pPr>
      <w:r w:rsidRPr="008C761D">
        <w:rPr>
          <w:rFonts w:eastAsia="MS PGothic" w:cs="Calibri"/>
          <w:bCs/>
          <w:iCs/>
          <w:lang w:val="en-US" w:eastAsia="zh-CN"/>
        </w:rPr>
        <w:t>Capacity development for strengthening PIM Department staff skills on project appraisal and review of preinvestment studies so that it can perform its function related to the independent review of public investment projects.</w:t>
      </w:r>
    </w:p>
    <w:p w14:paraId="3671764A" w14:textId="77777777" w:rsidR="00056B8A" w:rsidRPr="002E26BE" w:rsidRDefault="00056B8A" w:rsidP="00056B8A">
      <w:pPr>
        <w:rPr>
          <w:rFonts w:eastAsia="MS PGothic" w:cs="Calibri"/>
          <w:b/>
          <w:bCs/>
          <w:iCs/>
          <w:color w:val="0070C0"/>
          <w:lang w:val="en-US" w:eastAsia="zh-CN"/>
        </w:rPr>
      </w:pPr>
      <w:r w:rsidRPr="002E26BE">
        <w:rPr>
          <w:rFonts w:eastAsia="MS PGothic" w:cs="Calibri"/>
          <w:b/>
          <w:bCs/>
          <w:iCs/>
          <w:color w:val="0070C0"/>
          <w:lang w:val="en-US" w:eastAsia="zh-CN"/>
        </w:rPr>
        <w:lastRenderedPageBreak/>
        <w:t>Activity 4: Provide training to budget users/SoEs/LSGUs professionals on project formulation, appraisal and selection</w:t>
      </w:r>
    </w:p>
    <w:p w14:paraId="39D3D504" w14:textId="77777777" w:rsidR="00056B8A" w:rsidRPr="008C761D" w:rsidRDefault="00056B8A" w:rsidP="00440CD6">
      <w:pPr>
        <w:jc w:val="both"/>
        <w:rPr>
          <w:rFonts w:eastAsia="MS PGothic" w:cs="Calibri"/>
          <w:bCs/>
          <w:iCs/>
          <w:lang w:val="en-US" w:eastAsia="zh-CN"/>
        </w:rPr>
      </w:pPr>
      <w:r w:rsidRPr="008C761D">
        <w:rPr>
          <w:rFonts w:eastAsia="MS PGothic" w:cs="Calibri"/>
          <w:bCs/>
          <w:iCs/>
          <w:lang w:val="en-US" w:eastAsia="zh-CN"/>
        </w:rPr>
        <w:t>Training of budget users/SoEs/LSGUs on project formulation and appraisal of pre-investment studies shall be carried out to increase their capacity to review pre-investment studies done by consultants.</w:t>
      </w:r>
    </w:p>
    <w:tbl>
      <w:tblPr>
        <w:tblW w:w="10072" w:type="dxa"/>
        <w:tblInd w:w="548" w:type="dxa"/>
        <w:tblLook w:val="01E0" w:firstRow="1" w:lastRow="1" w:firstColumn="1" w:lastColumn="1" w:noHBand="0" w:noVBand="0"/>
      </w:tblPr>
      <w:tblGrid>
        <w:gridCol w:w="1540"/>
        <w:gridCol w:w="8532"/>
      </w:tblGrid>
      <w:tr w:rsidR="00376718" w:rsidRPr="008C761D" w14:paraId="14561E40" w14:textId="77777777" w:rsidTr="00376718">
        <w:tc>
          <w:tcPr>
            <w:tcW w:w="1540" w:type="dxa"/>
            <w:shd w:val="clear" w:color="auto" w:fill="auto"/>
          </w:tcPr>
          <w:p w14:paraId="0E9FD605" w14:textId="77777777" w:rsidR="00376718" w:rsidRPr="008C761D" w:rsidRDefault="00376718" w:rsidP="00056B8A">
            <w:pPr>
              <w:spacing w:after="0" w:line="240" w:lineRule="auto"/>
              <w:rPr>
                <w:rFonts w:cs="Calibri"/>
                <w:lang w:val="en-US"/>
              </w:rPr>
            </w:pPr>
          </w:p>
        </w:tc>
        <w:tc>
          <w:tcPr>
            <w:tcW w:w="8532" w:type="dxa"/>
            <w:shd w:val="clear" w:color="auto" w:fill="auto"/>
          </w:tcPr>
          <w:p w14:paraId="24E22FF2" w14:textId="77777777" w:rsidR="00376718" w:rsidRPr="008C761D" w:rsidRDefault="00376718" w:rsidP="00E84CD0">
            <w:pPr>
              <w:autoSpaceDE w:val="0"/>
              <w:autoSpaceDN w:val="0"/>
              <w:adjustRightInd w:val="0"/>
              <w:spacing w:after="0" w:line="240" w:lineRule="auto"/>
              <w:ind w:left="360"/>
              <w:jc w:val="both"/>
              <w:rPr>
                <w:rFonts w:eastAsia="SimSun" w:cs="Calibri"/>
                <w:lang w:val="en-US"/>
              </w:rPr>
            </w:pPr>
          </w:p>
        </w:tc>
      </w:tr>
    </w:tbl>
    <w:p w14:paraId="46D32DBB"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718"/>
        <w:gridCol w:w="5719"/>
      </w:tblGrid>
      <w:tr w:rsidR="00376718" w:rsidRPr="008C761D" w14:paraId="13BFF720" w14:textId="77777777" w:rsidTr="002E26BE">
        <w:tc>
          <w:tcPr>
            <w:tcW w:w="2718" w:type="dxa"/>
            <w:tcBorders>
              <w:top w:val="nil"/>
              <w:bottom w:val="single" w:sz="4" w:space="0" w:color="FFFFFF"/>
            </w:tcBorders>
            <w:shd w:val="clear" w:color="auto" w:fill="2F5496"/>
          </w:tcPr>
          <w:p w14:paraId="2E8E266B" w14:textId="77777777" w:rsidR="00376718" w:rsidRPr="008C761D" w:rsidRDefault="00376718"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719" w:type="dxa"/>
            <w:tcBorders>
              <w:top w:val="nil"/>
              <w:bottom w:val="single" w:sz="4" w:space="0" w:color="FFFFFF"/>
            </w:tcBorders>
            <w:shd w:val="clear" w:color="auto" w:fill="D9E2F3"/>
          </w:tcPr>
          <w:p w14:paraId="1E64954A" w14:textId="77777777"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440CD6" w:rsidRPr="008C761D">
              <w:rPr>
                <w:rFonts w:cs="Calibri"/>
                <w:sz w:val="20"/>
                <w:szCs w:val="20"/>
                <w:lang w:val="en-US"/>
              </w:rPr>
              <w:t>7</w:t>
            </w:r>
          </w:p>
        </w:tc>
      </w:tr>
      <w:tr w:rsidR="00376718" w:rsidRPr="008C761D" w14:paraId="1B519C7B" w14:textId="77777777" w:rsidTr="002E26BE">
        <w:tc>
          <w:tcPr>
            <w:tcW w:w="2718" w:type="dxa"/>
            <w:tcBorders>
              <w:top w:val="single" w:sz="4" w:space="0" w:color="FFFFFF"/>
              <w:bottom w:val="single" w:sz="4" w:space="0" w:color="FFFFFF"/>
            </w:tcBorders>
            <w:shd w:val="clear" w:color="auto" w:fill="2F5496"/>
          </w:tcPr>
          <w:p w14:paraId="467845CA" w14:textId="77777777" w:rsidR="00376718" w:rsidRPr="008C761D" w:rsidRDefault="00376718"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5719" w:type="dxa"/>
            <w:tcBorders>
              <w:top w:val="single" w:sz="4" w:space="0" w:color="FFFFFF"/>
              <w:bottom w:val="single" w:sz="4" w:space="0" w:color="FFFFFF"/>
            </w:tcBorders>
            <w:shd w:val="clear" w:color="auto" w:fill="D9E2F3"/>
          </w:tcPr>
          <w:p w14:paraId="0F1A34F2" w14:textId="77777777" w:rsidR="00440CD6" w:rsidRPr="008C761D" w:rsidRDefault="00440CD6" w:rsidP="002E26BE">
            <w:pPr>
              <w:numPr>
                <w:ilvl w:val="0"/>
                <w:numId w:val="67"/>
              </w:numPr>
              <w:spacing w:after="160" w:line="240" w:lineRule="auto"/>
              <w:ind w:left="162" w:right="127" w:hanging="238"/>
              <w:jc w:val="both"/>
              <w:rPr>
                <w:rFonts w:cs="Calibri"/>
                <w:sz w:val="20"/>
                <w:szCs w:val="20"/>
                <w:lang w:val="en-US"/>
              </w:rPr>
            </w:pPr>
            <w:r w:rsidRPr="008C761D">
              <w:rPr>
                <w:rFonts w:cs="Calibri"/>
                <w:sz w:val="20"/>
                <w:szCs w:val="20"/>
                <w:lang w:val="en-US"/>
              </w:rPr>
              <w:t>General public investment project appraisal methodology;</w:t>
            </w:r>
          </w:p>
          <w:p w14:paraId="7B6DE43A" w14:textId="77777777" w:rsidR="00440CD6" w:rsidRPr="008C761D" w:rsidRDefault="00440CD6" w:rsidP="002E26BE">
            <w:pPr>
              <w:numPr>
                <w:ilvl w:val="0"/>
                <w:numId w:val="67"/>
              </w:numPr>
              <w:spacing w:after="160" w:line="240" w:lineRule="auto"/>
              <w:ind w:left="162" w:right="127" w:hanging="238"/>
              <w:jc w:val="both"/>
              <w:rPr>
                <w:rFonts w:cs="Calibri"/>
                <w:sz w:val="20"/>
                <w:szCs w:val="20"/>
                <w:lang w:val="en-US"/>
              </w:rPr>
            </w:pPr>
            <w:r w:rsidRPr="008C761D">
              <w:rPr>
                <w:rFonts w:cs="Calibri"/>
                <w:sz w:val="20"/>
                <w:szCs w:val="20"/>
                <w:lang w:val="en-US"/>
              </w:rPr>
              <w:t>Standard criteria for project selection;</w:t>
            </w:r>
          </w:p>
          <w:p w14:paraId="41D98DBD" w14:textId="77777777" w:rsidR="00440CD6" w:rsidRPr="008C761D" w:rsidRDefault="00440CD6" w:rsidP="002E26BE">
            <w:pPr>
              <w:numPr>
                <w:ilvl w:val="0"/>
                <w:numId w:val="67"/>
              </w:numPr>
              <w:spacing w:after="160" w:line="240" w:lineRule="auto"/>
              <w:ind w:left="162" w:right="127" w:hanging="238"/>
              <w:jc w:val="both"/>
              <w:rPr>
                <w:rFonts w:cs="Calibri"/>
                <w:sz w:val="20"/>
                <w:szCs w:val="20"/>
                <w:lang w:val="en-US"/>
              </w:rPr>
            </w:pPr>
            <w:r w:rsidRPr="008C761D">
              <w:rPr>
                <w:rFonts w:cs="Calibri"/>
                <w:sz w:val="20"/>
                <w:szCs w:val="20"/>
                <w:lang w:val="en-US"/>
              </w:rPr>
              <w:t>Training of staff;</w:t>
            </w:r>
          </w:p>
          <w:p w14:paraId="521F717D" w14:textId="77777777" w:rsidR="00376718" w:rsidRPr="008C761D" w:rsidRDefault="00440CD6" w:rsidP="002E26BE">
            <w:pPr>
              <w:numPr>
                <w:ilvl w:val="0"/>
                <w:numId w:val="67"/>
              </w:numPr>
              <w:spacing w:after="160" w:line="240" w:lineRule="auto"/>
              <w:ind w:left="162" w:right="127" w:hanging="238"/>
              <w:jc w:val="both"/>
              <w:rPr>
                <w:rFonts w:cs="Calibri"/>
                <w:sz w:val="20"/>
                <w:szCs w:val="20"/>
                <w:lang w:val="en-US"/>
              </w:rPr>
            </w:pPr>
            <w:r w:rsidRPr="008C761D">
              <w:rPr>
                <w:rFonts w:cs="Calibri"/>
                <w:sz w:val="20"/>
                <w:szCs w:val="20"/>
                <w:lang w:val="en-US"/>
              </w:rPr>
              <w:t>Single project pipeline of appraised projects.</w:t>
            </w:r>
          </w:p>
        </w:tc>
      </w:tr>
      <w:tr w:rsidR="00376718" w:rsidRPr="008C761D" w14:paraId="6253473C" w14:textId="77777777" w:rsidTr="002E26BE">
        <w:tc>
          <w:tcPr>
            <w:tcW w:w="2718" w:type="dxa"/>
            <w:tcBorders>
              <w:top w:val="single" w:sz="4" w:space="0" w:color="FFFFFF"/>
              <w:bottom w:val="single" w:sz="4" w:space="0" w:color="FFFFFF"/>
            </w:tcBorders>
            <w:shd w:val="clear" w:color="auto" w:fill="2F5496"/>
          </w:tcPr>
          <w:p w14:paraId="24ECECE2"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5719" w:type="dxa"/>
            <w:tcBorders>
              <w:top w:val="single" w:sz="4" w:space="0" w:color="FFFFFF"/>
              <w:bottom w:val="single" w:sz="4" w:space="0" w:color="FFFFFF"/>
            </w:tcBorders>
            <w:shd w:val="clear" w:color="auto" w:fill="D9E2F3"/>
          </w:tcPr>
          <w:p w14:paraId="3048578B" w14:textId="4BB31AD3"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 xml:space="preserve">EUR </w:t>
            </w:r>
            <w:r w:rsidR="00FC425B" w:rsidRPr="008C761D">
              <w:rPr>
                <w:rFonts w:cs="Calibri"/>
                <w:sz w:val="20"/>
                <w:szCs w:val="20"/>
                <w:lang w:val="en-US"/>
              </w:rPr>
              <w:t>140</w:t>
            </w:r>
            <w:r w:rsidRPr="008C761D">
              <w:rPr>
                <w:rFonts w:cs="Calibri"/>
                <w:sz w:val="20"/>
                <w:szCs w:val="20"/>
                <w:lang w:val="en-US"/>
              </w:rPr>
              <w:t>,000</w:t>
            </w:r>
          </w:p>
        </w:tc>
      </w:tr>
      <w:tr w:rsidR="00376718" w:rsidRPr="008C761D" w14:paraId="70A2149A" w14:textId="77777777" w:rsidTr="002E26BE">
        <w:tc>
          <w:tcPr>
            <w:tcW w:w="2718" w:type="dxa"/>
            <w:tcBorders>
              <w:top w:val="single" w:sz="4" w:space="0" w:color="FFFFFF"/>
              <w:bottom w:val="single" w:sz="4" w:space="0" w:color="FFFFFF"/>
            </w:tcBorders>
            <w:shd w:val="clear" w:color="auto" w:fill="2F5496"/>
          </w:tcPr>
          <w:p w14:paraId="2FE0BD89"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5719" w:type="dxa"/>
            <w:tcBorders>
              <w:top w:val="single" w:sz="4" w:space="0" w:color="FFFFFF"/>
              <w:bottom w:val="single" w:sz="4" w:space="0" w:color="FFFFFF"/>
            </w:tcBorders>
            <w:shd w:val="clear" w:color="auto" w:fill="D9E2F3"/>
          </w:tcPr>
          <w:p w14:paraId="5BD40A75" w14:textId="0B051BDB" w:rsidR="00376718" w:rsidRPr="008C761D" w:rsidRDefault="00FA0745" w:rsidP="00E84CD0">
            <w:pPr>
              <w:spacing w:after="160" w:line="240" w:lineRule="auto"/>
              <w:jc w:val="both"/>
              <w:rPr>
                <w:rFonts w:cs="Calibri"/>
                <w:sz w:val="20"/>
                <w:szCs w:val="20"/>
                <w:lang w:val="en-US"/>
              </w:rPr>
            </w:pPr>
            <w:r w:rsidRPr="00FA0745">
              <w:rPr>
                <w:rFonts w:cs="Calibri"/>
                <w:sz w:val="20"/>
                <w:szCs w:val="20"/>
                <w:lang w:val="en-US"/>
              </w:rPr>
              <w:t>MoF – PIM Department</w:t>
            </w:r>
            <w:r w:rsidR="00376718" w:rsidRPr="008C761D">
              <w:rPr>
                <w:rFonts w:cs="Calibri"/>
                <w:sz w:val="20"/>
                <w:szCs w:val="20"/>
                <w:lang w:val="en-US"/>
              </w:rPr>
              <w:t>, budget users/SoEs/LSGUs, Government Cabinet, Municipal Council</w:t>
            </w:r>
          </w:p>
        </w:tc>
      </w:tr>
      <w:tr w:rsidR="00376718" w:rsidRPr="008C761D" w14:paraId="1CF6ED31" w14:textId="77777777" w:rsidTr="002E26BE">
        <w:tc>
          <w:tcPr>
            <w:tcW w:w="2718" w:type="dxa"/>
            <w:tcBorders>
              <w:top w:val="single" w:sz="4" w:space="0" w:color="FFFFFF"/>
              <w:bottom w:val="nil"/>
            </w:tcBorders>
            <w:shd w:val="clear" w:color="auto" w:fill="2F5496"/>
          </w:tcPr>
          <w:p w14:paraId="14FD3994"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719" w:type="dxa"/>
            <w:tcBorders>
              <w:top w:val="single" w:sz="4" w:space="0" w:color="FFFFFF"/>
              <w:bottom w:val="nil"/>
            </w:tcBorders>
            <w:shd w:val="clear" w:color="auto" w:fill="D9E2F3"/>
          </w:tcPr>
          <w:p w14:paraId="5196B051" w14:textId="77777777" w:rsidR="00376718" w:rsidRPr="008C761D" w:rsidRDefault="00376718" w:rsidP="002E26BE">
            <w:pPr>
              <w:numPr>
                <w:ilvl w:val="0"/>
                <w:numId w:val="67"/>
              </w:numPr>
              <w:spacing w:after="160" w:line="240" w:lineRule="auto"/>
              <w:ind w:left="162" w:hanging="162"/>
              <w:jc w:val="both"/>
              <w:rPr>
                <w:rFonts w:cs="Calibri"/>
                <w:sz w:val="20"/>
                <w:szCs w:val="20"/>
                <w:lang w:val="en-US"/>
              </w:rPr>
            </w:pPr>
            <w:r w:rsidRPr="008C761D">
              <w:rPr>
                <w:rFonts w:cs="Calibri"/>
                <w:sz w:val="20"/>
                <w:szCs w:val="20"/>
                <w:lang w:val="en-US"/>
              </w:rPr>
              <w:t>Insufficient staff, lack of capacities, lack of coordination between institutions and lack of data.</w:t>
            </w:r>
          </w:p>
        </w:tc>
      </w:tr>
    </w:tbl>
    <w:p w14:paraId="47F63B81" w14:textId="77777777" w:rsidR="00860277" w:rsidRPr="008C761D" w:rsidRDefault="00860277" w:rsidP="00E84CD0">
      <w:pPr>
        <w:spacing w:after="160" w:line="240" w:lineRule="auto"/>
        <w:jc w:val="both"/>
        <w:rPr>
          <w:rFonts w:cs="Calibri"/>
          <w:lang w:val="en-US"/>
        </w:rPr>
      </w:pPr>
    </w:p>
    <w:p w14:paraId="4C55A160" w14:textId="42A8ACF3" w:rsidR="00376718" w:rsidRPr="008C761D" w:rsidRDefault="00376718" w:rsidP="00E84CD0">
      <w:pPr>
        <w:spacing w:line="240" w:lineRule="auto"/>
        <w:jc w:val="both"/>
        <w:rPr>
          <w:rFonts w:cs="Calibri"/>
          <w:b/>
          <w:color w:val="0070C0"/>
          <w:sz w:val="24"/>
          <w:szCs w:val="24"/>
          <w:lang w:val="en-US" w:eastAsia="zh-CN"/>
        </w:rPr>
      </w:pPr>
      <w:r w:rsidRPr="008C761D">
        <w:rPr>
          <w:rFonts w:cs="Calibri"/>
          <w:b/>
          <w:color w:val="0070C0"/>
          <w:sz w:val="24"/>
          <w:szCs w:val="24"/>
          <w:lang w:val="en-US" w:eastAsia="zh-CN"/>
        </w:rPr>
        <w:t>Measure 3:</w:t>
      </w:r>
      <w:r w:rsidR="002E26BE">
        <w:rPr>
          <w:rFonts w:cs="Calibri"/>
          <w:b/>
          <w:color w:val="0070C0"/>
          <w:sz w:val="24"/>
          <w:szCs w:val="24"/>
          <w:lang w:val="en-US" w:eastAsia="zh-CN"/>
        </w:rPr>
        <w:t xml:space="preserve"> </w:t>
      </w:r>
      <w:r w:rsidRPr="008C761D">
        <w:rPr>
          <w:rFonts w:cs="Calibri"/>
          <w:b/>
          <w:color w:val="0070C0"/>
          <w:sz w:val="24"/>
          <w:szCs w:val="24"/>
          <w:lang w:val="en-US" w:eastAsia="zh-CN"/>
        </w:rPr>
        <w:t>Efficient and effective monitoring of capital investments</w:t>
      </w:r>
    </w:p>
    <w:p w14:paraId="0C1CADBB"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434187D8" w14:textId="77777777" w:rsidR="00376718" w:rsidRPr="008C761D" w:rsidRDefault="00376718" w:rsidP="00E84CD0">
      <w:pPr>
        <w:spacing w:after="160" w:line="240" w:lineRule="auto"/>
        <w:jc w:val="both"/>
        <w:rPr>
          <w:rFonts w:cs="Calibri"/>
          <w:lang w:val="en-US"/>
        </w:rPr>
      </w:pPr>
      <w:r w:rsidRPr="008C761D">
        <w:rPr>
          <w:rFonts w:cs="Calibri"/>
          <w:lang w:val="en-US"/>
        </w:rPr>
        <w:t xml:space="preserve">Improved project monitoring and reporting arrangements for major public investment projects thus ensuring value for money. </w:t>
      </w:r>
    </w:p>
    <w:p w14:paraId="44054A0D"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8C761D" w14:paraId="764ECEB8" w14:textId="77777777" w:rsidTr="00BA5E44">
        <w:tc>
          <w:tcPr>
            <w:tcW w:w="851" w:type="dxa"/>
            <w:shd w:val="clear" w:color="auto" w:fill="DDDDDD"/>
          </w:tcPr>
          <w:p w14:paraId="19F6B3BC" w14:textId="77777777" w:rsidR="00376718" w:rsidRPr="002E26BE" w:rsidRDefault="00376718" w:rsidP="00E84CD0">
            <w:pPr>
              <w:spacing w:before="80" w:after="0" w:line="240" w:lineRule="auto"/>
              <w:jc w:val="both"/>
              <w:rPr>
                <w:rFonts w:cs="Calibri"/>
                <w:b/>
                <w:sz w:val="20"/>
                <w:szCs w:val="20"/>
                <w:lang w:val="en-US"/>
              </w:rPr>
            </w:pPr>
            <w:r w:rsidRPr="002E26BE">
              <w:rPr>
                <w:rFonts w:cs="Calibri"/>
                <w:b/>
                <w:sz w:val="20"/>
                <w:szCs w:val="20"/>
                <w:lang w:val="en-US"/>
              </w:rPr>
              <w:t>PEFA:</w:t>
            </w:r>
          </w:p>
        </w:tc>
        <w:tc>
          <w:tcPr>
            <w:tcW w:w="7700" w:type="dxa"/>
            <w:shd w:val="clear" w:color="auto" w:fill="DDDDDD"/>
          </w:tcPr>
          <w:p w14:paraId="2859F310"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Dimension 11.4:</w:t>
            </w:r>
          </w:p>
          <w:p w14:paraId="1DCE7665"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Standards or rules governing project monitoring and reporting vary based on funding source. There is no legal framework for monitoring project implementation. For externally funded projects, there is a high level of compliance with the funding entity’s standards and procedures. For domestically funded projects, there are no standards, and there is no central oversight entity.</w:t>
            </w:r>
          </w:p>
          <w:p w14:paraId="14A0C268" w14:textId="77777777" w:rsidR="00376718" w:rsidRPr="008C761D" w:rsidRDefault="00376718" w:rsidP="00E84CD0">
            <w:pPr>
              <w:spacing w:after="0" w:line="240" w:lineRule="auto"/>
              <w:jc w:val="both"/>
              <w:rPr>
                <w:rFonts w:cs="Calibri"/>
                <w:sz w:val="20"/>
                <w:szCs w:val="20"/>
                <w:lang w:val="en-US"/>
              </w:rPr>
            </w:pPr>
            <w:r w:rsidRPr="008C761D">
              <w:rPr>
                <w:rFonts w:cs="Calibri"/>
                <w:b/>
                <w:sz w:val="20"/>
                <w:szCs w:val="20"/>
                <w:lang w:val="en-US"/>
              </w:rPr>
              <w:t>Since the total cost and physical progress of major investment projects are monitored by the implementing government unit, but there are no standard procedures for project implementation and published annual reports address financial implementation status only, the score for this dimension is C.</w:t>
            </w:r>
          </w:p>
        </w:tc>
      </w:tr>
      <w:tr w:rsidR="00376718" w:rsidRPr="008C761D" w14:paraId="2E476AC9" w14:textId="77777777" w:rsidTr="00BA5E44">
        <w:tc>
          <w:tcPr>
            <w:tcW w:w="851" w:type="dxa"/>
            <w:shd w:val="clear" w:color="auto" w:fill="DDDDDD"/>
          </w:tcPr>
          <w:p w14:paraId="485D58DD" w14:textId="77777777" w:rsidR="00376718" w:rsidRPr="002E26BE" w:rsidRDefault="00376718" w:rsidP="00E84CD0">
            <w:pPr>
              <w:spacing w:before="80" w:after="0" w:line="240" w:lineRule="auto"/>
              <w:jc w:val="both"/>
              <w:rPr>
                <w:rFonts w:cs="Calibri"/>
                <w:b/>
                <w:sz w:val="20"/>
                <w:szCs w:val="20"/>
                <w:lang w:val="en-US"/>
              </w:rPr>
            </w:pPr>
            <w:r w:rsidRPr="002E26BE">
              <w:rPr>
                <w:rFonts w:cs="Calibri"/>
                <w:b/>
                <w:sz w:val="20"/>
                <w:szCs w:val="20"/>
                <w:lang w:val="en-US"/>
              </w:rPr>
              <w:t>PIMA:</w:t>
            </w:r>
          </w:p>
        </w:tc>
        <w:tc>
          <w:tcPr>
            <w:tcW w:w="7700" w:type="dxa"/>
            <w:shd w:val="clear" w:color="auto" w:fill="DDDDDD"/>
          </w:tcPr>
          <w:p w14:paraId="4026DF0A" w14:textId="77777777" w:rsidR="00376718" w:rsidRPr="008C761D" w:rsidRDefault="00376718" w:rsidP="00E84CD0">
            <w:pPr>
              <w:spacing w:after="0" w:line="240" w:lineRule="auto"/>
              <w:jc w:val="both"/>
              <w:rPr>
                <w:rFonts w:cs="Calibri"/>
                <w:sz w:val="20"/>
                <w:szCs w:val="20"/>
                <w:lang w:val="en-US"/>
              </w:rPr>
            </w:pPr>
            <w:r w:rsidRPr="008C761D">
              <w:rPr>
                <w:rFonts w:cs="Calibri"/>
                <w:sz w:val="20"/>
                <w:szCs w:val="20"/>
                <w:lang w:val="en-US"/>
              </w:rPr>
              <w:t>At the implementation stage, there is no central oversight over the entire public investment portfolio. Infrastructure projects are managed individually, but neither a sectoral nor a national oversight function is performed within the public sector preventing the Ministry of Finance, or the government, to clearly identify costs overruns and projects delays, to take corrective actions on a timely manner, and to learn from implementation experience.</w:t>
            </w:r>
          </w:p>
        </w:tc>
      </w:tr>
    </w:tbl>
    <w:p w14:paraId="7CF17DFE"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 / Background</w:t>
      </w:r>
    </w:p>
    <w:p w14:paraId="577B68B1" w14:textId="77777777" w:rsidR="00440CD6" w:rsidRPr="008C761D" w:rsidRDefault="00440CD6" w:rsidP="00F50612">
      <w:pPr>
        <w:autoSpaceDE w:val="0"/>
        <w:autoSpaceDN w:val="0"/>
        <w:adjustRightInd w:val="0"/>
        <w:spacing w:after="120" w:line="240" w:lineRule="auto"/>
        <w:contextualSpacing/>
        <w:jc w:val="both"/>
        <w:rPr>
          <w:rFonts w:eastAsia="MS PGothic" w:cs="Calibri"/>
          <w:lang w:val="en-US" w:eastAsia="zh-CN"/>
        </w:rPr>
      </w:pPr>
      <w:r w:rsidRPr="008C761D">
        <w:rPr>
          <w:rFonts w:eastAsia="MS PGothic" w:cs="Calibri"/>
          <w:lang w:val="en-US" w:eastAsia="zh-CN"/>
        </w:rPr>
        <w:t>Effective project management is of paramount importance to ensure the successful delivery of public investment projects, which are then subject to ex-post review. The results of ex-post reviews provide invaluable insights that are useful for further planning of future projects and decision-making, and also contribute to their continuous improvement.</w:t>
      </w:r>
    </w:p>
    <w:p w14:paraId="346C2C09" w14:textId="77777777" w:rsidR="00440CD6" w:rsidRPr="008C761D" w:rsidRDefault="00440CD6" w:rsidP="00F50612">
      <w:pPr>
        <w:autoSpaceDE w:val="0"/>
        <w:autoSpaceDN w:val="0"/>
        <w:adjustRightInd w:val="0"/>
        <w:spacing w:after="120" w:line="240" w:lineRule="auto"/>
        <w:contextualSpacing/>
        <w:jc w:val="both"/>
        <w:rPr>
          <w:rFonts w:eastAsia="MS PGothic" w:cs="Calibri"/>
          <w:lang w:val="en-US" w:eastAsia="zh-CN"/>
        </w:rPr>
      </w:pPr>
      <w:r w:rsidRPr="008C761D">
        <w:rPr>
          <w:rFonts w:eastAsia="MS PGothic" w:cs="Calibri"/>
          <w:lang w:val="en-US" w:eastAsia="zh-CN"/>
        </w:rPr>
        <w:lastRenderedPageBreak/>
        <w:t>The diligent monitoring and periodic reporting requirements ensure that the government and funding body remains informed about the progress of funded projects, promoting transparency, accountability, and timely interventions, if necessary, to ensure successful project implementation.</w:t>
      </w:r>
    </w:p>
    <w:p w14:paraId="34E23807" w14:textId="77777777" w:rsidR="00440CD6" w:rsidRPr="008C761D" w:rsidRDefault="00440CD6" w:rsidP="00F50612">
      <w:pPr>
        <w:autoSpaceDE w:val="0"/>
        <w:autoSpaceDN w:val="0"/>
        <w:adjustRightInd w:val="0"/>
        <w:spacing w:after="120" w:line="240" w:lineRule="auto"/>
        <w:contextualSpacing/>
        <w:jc w:val="both"/>
        <w:rPr>
          <w:rFonts w:eastAsia="MS PGothic" w:cs="Calibri"/>
          <w:lang w:val="en-US" w:eastAsia="zh-CN"/>
        </w:rPr>
      </w:pPr>
      <w:r w:rsidRPr="008C761D">
        <w:rPr>
          <w:rFonts w:eastAsia="MS PGothic" w:cs="Calibri"/>
          <w:lang w:val="en-US" w:eastAsia="zh-CN"/>
        </w:rPr>
        <w:t>The Government should introduce risk-based centralized monitoring, involving high-level monitoring by MoF for most projects and closer scrutiny of projects with higher delivery risk. Upon securing financing for a project, the responsibility for its implementation falls on the project implementers. These entities are not only accountable for executing the project, but also for closely monitoring both its financial and physical progress throughout the implementation phase. This dual oversight ensures that the project stays on track and adheres to budgetary and timeline expectations. In addition to continuous monitoring, it should be a mandatory requirement for these entities to compile and submit progress reports to the MoF. These reports serve as crucial documentation of the project's development and are instrumental in maintaining transparency and accountability.</w:t>
      </w:r>
    </w:p>
    <w:p w14:paraId="658C2774" w14:textId="77777777" w:rsidR="00440CD6" w:rsidRPr="008C761D" w:rsidRDefault="00440CD6" w:rsidP="00F50612">
      <w:pPr>
        <w:autoSpaceDE w:val="0"/>
        <w:autoSpaceDN w:val="0"/>
        <w:adjustRightInd w:val="0"/>
        <w:spacing w:after="120" w:line="240" w:lineRule="auto"/>
        <w:contextualSpacing/>
        <w:jc w:val="both"/>
        <w:rPr>
          <w:rFonts w:eastAsia="MS PGothic" w:cs="Calibri"/>
          <w:lang w:val="en-US" w:eastAsia="zh-CN"/>
        </w:rPr>
      </w:pPr>
      <w:r w:rsidRPr="008C761D">
        <w:rPr>
          <w:rFonts w:eastAsia="MS PGothic" w:cs="Calibri"/>
          <w:lang w:val="en-US" w:eastAsia="zh-CN"/>
        </w:rPr>
        <w:t>Furthermore, the MoF needs to create a database for public investment projects to manage public investment project data from inception to monitoring (including impacts related to climate change on infrastructure).</w:t>
      </w:r>
    </w:p>
    <w:p w14:paraId="4CD26ED9" w14:textId="77777777" w:rsidR="00440CD6" w:rsidRPr="008C761D" w:rsidRDefault="00440CD6" w:rsidP="00440CD6">
      <w:pPr>
        <w:autoSpaceDE w:val="0"/>
        <w:autoSpaceDN w:val="0"/>
        <w:adjustRightInd w:val="0"/>
        <w:spacing w:after="120" w:line="240" w:lineRule="auto"/>
        <w:contextualSpacing/>
        <w:jc w:val="both"/>
        <w:rPr>
          <w:rFonts w:eastAsia="MS PGothic" w:cs="Calibri"/>
          <w:b/>
          <w:bCs/>
          <w:i/>
          <w:iCs/>
          <w:color w:val="4F81BD"/>
          <w:lang w:val="en-US" w:eastAsia="zh-CN"/>
        </w:rPr>
      </w:pPr>
    </w:p>
    <w:p w14:paraId="190E31F1" w14:textId="310A860B" w:rsidR="0084759C" w:rsidRPr="00FA0745" w:rsidRDefault="00440CD6" w:rsidP="00440CD6">
      <w:pPr>
        <w:autoSpaceDE w:val="0"/>
        <w:autoSpaceDN w:val="0"/>
        <w:adjustRightInd w:val="0"/>
        <w:spacing w:after="0"/>
        <w:jc w:val="both"/>
        <w:rPr>
          <w:rFonts w:eastAsia="MS PGothic" w:cs="Calibri"/>
          <w:b/>
          <w:bCs/>
          <w:iCs/>
          <w:color w:val="0070C0"/>
          <w:lang w:val="en-US" w:eastAsia="zh-CN"/>
        </w:rPr>
      </w:pPr>
      <w:r w:rsidRPr="002E26BE">
        <w:rPr>
          <w:rFonts w:eastAsia="MS PGothic" w:cs="Calibri"/>
          <w:b/>
          <w:bCs/>
          <w:iCs/>
          <w:color w:val="0070C0"/>
          <w:lang w:val="en-US" w:eastAsia="zh-CN"/>
        </w:rPr>
        <w:t>Activity 1: Introduce procedures for risk-based centralized monitoring</w:t>
      </w:r>
    </w:p>
    <w:p w14:paraId="35EB3BCB" w14:textId="77777777" w:rsidR="00440CD6" w:rsidRPr="008C761D" w:rsidRDefault="00440CD6" w:rsidP="0084759C">
      <w:pPr>
        <w:autoSpaceDE w:val="0"/>
        <w:autoSpaceDN w:val="0"/>
        <w:adjustRightInd w:val="0"/>
        <w:spacing w:before="240" w:after="0" w:line="240" w:lineRule="auto"/>
        <w:jc w:val="both"/>
        <w:rPr>
          <w:rFonts w:cs="Calibri"/>
          <w:lang w:val="en-US"/>
        </w:rPr>
      </w:pPr>
      <w:r w:rsidRPr="008C761D">
        <w:rPr>
          <w:rFonts w:cs="Calibri"/>
          <w:lang w:val="en-US"/>
        </w:rPr>
        <w:t xml:space="preserve">Specific procedures for monitoring of implementation of public investment projects shall be set by the Government with the new PIM decree and PIM process manual. </w:t>
      </w:r>
    </w:p>
    <w:p w14:paraId="1C61B470" w14:textId="77777777" w:rsidR="00440CD6" w:rsidRPr="008C761D" w:rsidRDefault="00440CD6" w:rsidP="0084759C">
      <w:pPr>
        <w:spacing w:before="240" w:after="0" w:line="240" w:lineRule="auto"/>
        <w:jc w:val="both"/>
        <w:rPr>
          <w:lang w:val="en-US"/>
        </w:rPr>
      </w:pPr>
      <w:r w:rsidRPr="008C761D">
        <w:rPr>
          <w:rFonts w:cs="Arial"/>
          <w:lang w:val="en-US"/>
        </w:rPr>
        <w:t xml:space="preserve">After starting the public investment project, the project implementor shall monitor the physical and financial implementation and shall submit progress reports about the project to the Ministry of Finance. </w:t>
      </w:r>
      <w:r w:rsidRPr="008C761D">
        <w:rPr>
          <w:lang w:val="en-US"/>
        </w:rPr>
        <w:t>They are expected to cover a comprehensive overview of the project's status, detailing the milestones achieved, financial expenditures, any deviations from the original plan, and an assessment of any challenges encountered.</w:t>
      </w:r>
    </w:p>
    <w:p w14:paraId="20F84188" w14:textId="620303AF" w:rsidR="00356610" w:rsidRDefault="00440CD6" w:rsidP="00356610">
      <w:pPr>
        <w:spacing w:before="240" w:after="0" w:line="240" w:lineRule="auto"/>
        <w:jc w:val="both"/>
        <w:rPr>
          <w:rFonts w:cs="Arial"/>
          <w:lang w:val="en-US"/>
        </w:rPr>
      </w:pPr>
      <w:r w:rsidRPr="008C761D">
        <w:rPr>
          <w:rFonts w:cs="Arial"/>
          <w:lang w:val="en-US"/>
        </w:rPr>
        <w:t>The Ministry of Finance shall prepare progress reports for the public investment projects’ portfolio based on the data provided by project implementers and inform the Government. Also, the Ministry of Finance shall set rules for fundamental review of problem projects which experience deviation from the initial project implementation plan.</w:t>
      </w:r>
    </w:p>
    <w:p w14:paraId="1467A9F7" w14:textId="77777777" w:rsidR="00356610" w:rsidRDefault="00356610" w:rsidP="00440CD6">
      <w:pPr>
        <w:autoSpaceDE w:val="0"/>
        <w:autoSpaceDN w:val="0"/>
        <w:adjustRightInd w:val="0"/>
        <w:spacing w:after="0"/>
        <w:jc w:val="both"/>
        <w:rPr>
          <w:rFonts w:eastAsia="MS PGothic" w:cs="Calibri"/>
          <w:b/>
          <w:bCs/>
          <w:iCs/>
          <w:color w:val="4F81BD"/>
          <w:lang w:val="en-US" w:eastAsia="zh-CN"/>
        </w:rPr>
      </w:pPr>
    </w:p>
    <w:p w14:paraId="26D3F582" w14:textId="5BFFBF24" w:rsidR="000D68DB" w:rsidRDefault="00440CD6" w:rsidP="00440CD6">
      <w:pPr>
        <w:autoSpaceDE w:val="0"/>
        <w:autoSpaceDN w:val="0"/>
        <w:adjustRightInd w:val="0"/>
        <w:spacing w:after="0"/>
        <w:jc w:val="both"/>
        <w:rPr>
          <w:rFonts w:eastAsia="MS PGothic" w:cs="Calibri"/>
          <w:b/>
          <w:bCs/>
          <w:iCs/>
          <w:color w:val="0070C0"/>
          <w:lang w:val="en-US" w:eastAsia="zh-CN"/>
        </w:rPr>
      </w:pPr>
      <w:r w:rsidRPr="002E26BE">
        <w:rPr>
          <w:rFonts w:eastAsia="MS PGothic" w:cs="Calibri"/>
          <w:b/>
          <w:bCs/>
          <w:iCs/>
          <w:color w:val="0070C0"/>
          <w:lang w:val="en-US" w:eastAsia="zh-CN"/>
        </w:rPr>
        <w:t>Activity 2: Introduce a formal requirement for ex-post review of completed projects</w:t>
      </w:r>
    </w:p>
    <w:p w14:paraId="7D54B240" w14:textId="77777777" w:rsidR="002E26BE" w:rsidRPr="002E26BE" w:rsidRDefault="002E26BE" w:rsidP="00440CD6">
      <w:pPr>
        <w:autoSpaceDE w:val="0"/>
        <w:autoSpaceDN w:val="0"/>
        <w:adjustRightInd w:val="0"/>
        <w:spacing w:after="0"/>
        <w:jc w:val="both"/>
        <w:rPr>
          <w:rFonts w:eastAsia="MS PGothic" w:cs="Calibri"/>
          <w:b/>
          <w:bCs/>
          <w:iCs/>
          <w:color w:val="0070C0"/>
          <w:sz w:val="10"/>
          <w:szCs w:val="10"/>
          <w:lang w:val="en-US" w:eastAsia="zh-CN"/>
        </w:rPr>
      </w:pPr>
    </w:p>
    <w:p w14:paraId="12345234" w14:textId="77777777" w:rsidR="00440CD6" w:rsidRPr="008C761D" w:rsidRDefault="00440CD6" w:rsidP="00F50612">
      <w:pPr>
        <w:autoSpaceDE w:val="0"/>
        <w:autoSpaceDN w:val="0"/>
        <w:adjustRightInd w:val="0"/>
        <w:spacing w:after="0" w:line="240" w:lineRule="auto"/>
        <w:jc w:val="both"/>
        <w:rPr>
          <w:rFonts w:cs="Calibri"/>
          <w:lang w:val="en-US"/>
        </w:rPr>
      </w:pPr>
      <w:r w:rsidRPr="008C761D">
        <w:rPr>
          <w:rFonts w:cs="Calibri"/>
          <w:lang w:val="en-US"/>
        </w:rPr>
        <w:t>Following completion of all works associated with the project e.g. after project becomes operational, the project implementer shall submit to the MoF a final report, summarizing the entire project's implementation. This report will serve as the concluding chapter of the project's documentation, offering insights into the project's achievements, lessons learned, and a comprehensive overview of the final outcomes.</w:t>
      </w:r>
    </w:p>
    <w:p w14:paraId="7C42484A" w14:textId="77777777" w:rsidR="00440CD6" w:rsidRPr="008C761D" w:rsidRDefault="00440CD6" w:rsidP="00440CD6">
      <w:pPr>
        <w:autoSpaceDE w:val="0"/>
        <w:autoSpaceDN w:val="0"/>
        <w:adjustRightInd w:val="0"/>
        <w:spacing w:after="0"/>
        <w:jc w:val="both"/>
        <w:rPr>
          <w:rFonts w:cs="Calibri"/>
          <w:lang w:val="en-US"/>
        </w:rPr>
      </w:pPr>
    </w:p>
    <w:p w14:paraId="15DC2FF4" w14:textId="320490B9" w:rsidR="00440CD6" w:rsidRPr="002E26BE" w:rsidRDefault="00440CD6" w:rsidP="00440CD6">
      <w:pPr>
        <w:autoSpaceDE w:val="0"/>
        <w:autoSpaceDN w:val="0"/>
        <w:adjustRightInd w:val="0"/>
        <w:spacing w:after="0"/>
        <w:jc w:val="both"/>
        <w:rPr>
          <w:rFonts w:eastAsia="MS PGothic" w:cs="Calibri"/>
          <w:b/>
          <w:bCs/>
          <w:iCs/>
          <w:color w:val="0070C0"/>
          <w:lang w:val="en-US" w:eastAsia="zh-CN"/>
        </w:rPr>
      </w:pPr>
      <w:r w:rsidRPr="002E26BE">
        <w:rPr>
          <w:rFonts w:eastAsia="MS PGothic" w:cs="Calibri"/>
          <w:b/>
          <w:bCs/>
          <w:iCs/>
          <w:color w:val="0070C0"/>
          <w:lang w:val="en-US" w:eastAsia="zh-CN"/>
        </w:rPr>
        <w:t>Activity 3: Develop a short-term IT solution for PIM</w:t>
      </w:r>
    </w:p>
    <w:p w14:paraId="7430CFB6" w14:textId="77777777" w:rsidR="000D68DB" w:rsidRPr="002E26BE" w:rsidRDefault="000D68DB" w:rsidP="00440CD6">
      <w:pPr>
        <w:autoSpaceDE w:val="0"/>
        <w:autoSpaceDN w:val="0"/>
        <w:adjustRightInd w:val="0"/>
        <w:spacing w:after="0"/>
        <w:jc w:val="both"/>
        <w:rPr>
          <w:rFonts w:eastAsia="MS PGothic" w:cs="Calibri"/>
          <w:b/>
          <w:bCs/>
          <w:iCs/>
          <w:color w:val="4F81BD"/>
          <w:sz w:val="10"/>
          <w:szCs w:val="10"/>
          <w:lang w:val="en-US" w:eastAsia="zh-CN"/>
        </w:rPr>
      </w:pPr>
    </w:p>
    <w:p w14:paraId="3B285ADD" w14:textId="77777777" w:rsidR="00440CD6" w:rsidRPr="008C761D" w:rsidRDefault="00440CD6" w:rsidP="00F50612">
      <w:pPr>
        <w:autoSpaceDE w:val="0"/>
        <w:autoSpaceDN w:val="0"/>
        <w:adjustRightInd w:val="0"/>
        <w:spacing w:after="0" w:line="240" w:lineRule="auto"/>
        <w:jc w:val="both"/>
        <w:rPr>
          <w:rFonts w:cs="Calibri"/>
          <w:lang w:val="en-US"/>
        </w:rPr>
      </w:pPr>
      <w:r w:rsidRPr="008C761D">
        <w:rPr>
          <w:rFonts w:cs="Calibri"/>
          <w:lang w:val="en-US"/>
        </w:rPr>
        <w:t>The PIM module to be developed under the IFMIS is expected to support the PIM functions related to monitoring. In order to bridge the period until the new IFMIS PIM module becomes operational, the MoF shall develop a short - term IT solution for public investment management (PIMIS) to collect and store basic information on public investment projects. It will support the creation of a database to manage project data from inception to monitoring (including impacts related to cli</w:t>
      </w:r>
      <w:r w:rsidR="005A6AD5" w:rsidRPr="008C761D">
        <w:rPr>
          <w:rFonts w:cs="Calibri"/>
          <w:lang w:val="en-US"/>
        </w:rPr>
        <w:t>mate change on infrastructure).</w:t>
      </w:r>
    </w:p>
    <w:p w14:paraId="1632A51B" w14:textId="77777777" w:rsidR="00440CD6" w:rsidRPr="008C761D" w:rsidRDefault="00440CD6" w:rsidP="00440CD6">
      <w:pPr>
        <w:autoSpaceDE w:val="0"/>
        <w:autoSpaceDN w:val="0"/>
        <w:adjustRightInd w:val="0"/>
        <w:spacing w:after="120" w:line="240" w:lineRule="auto"/>
        <w:contextualSpacing/>
        <w:jc w:val="both"/>
        <w:rPr>
          <w:rFonts w:eastAsia="MS PGothic" w:cs="Calibri"/>
          <w:lang w:val="en-US" w:eastAsia="zh-CN"/>
        </w:rPr>
      </w:pPr>
    </w:p>
    <w:p w14:paraId="2FF4C7F7" w14:textId="77777777" w:rsidR="00376718" w:rsidRPr="008C761D" w:rsidRDefault="00376718"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376718" w:rsidRPr="008C761D" w14:paraId="3A0BB51A" w14:textId="77777777" w:rsidTr="00BA5E44">
        <w:tc>
          <w:tcPr>
            <w:tcW w:w="3119" w:type="dxa"/>
            <w:tcBorders>
              <w:top w:val="nil"/>
              <w:bottom w:val="single" w:sz="4" w:space="0" w:color="FFFFFF"/>
            </w:tcBorders>
            <w:shd w:val="clear" w:color="auto" w:fill="2F5496"/>
          </w:tcPr>
          <w:p w14:paraId="5CA80953" w14:textId="77777777" w:rsidR="00376718" w:rsidRPr="008C761D" w:rsidRDefault="00376718"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645" w:type="dxa"/>
            <w:tcBorders>
              <w:top w:val="nil"/>
              <w:bottom w:val="single" w:sz="4" w:space="0" w:color="FFFFFF"/>
            </w:tcBorders>
            <w:shd w:val="clear" w:color="auto" w:fill="D9E2F3"/>
          </w:tcPr>
          <w:p w14:paraId="357A90A4" w14:textId="77777777"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440CD6" w:rsidRPr="008C761D">
              <w:rPr>
                <w:rFonts w:cs="Calibri"/>
                <w:sz w:val="20"/>
                <w:szCs w:val="20"/>
                <w:lang w:val="en-US"/>
              </w:rPr>
              <w:t>7</w:t>
            </w:r>
          </w:p>
        </w:tc>
      </w:tr>
      <w:tr w:rsidR="00376718" w:rsidRPr="008C761D" w14:paraId="1B44B63B" w14:textId="77777777" w:rsidTr="00BA5E44">
        <w:tc>
          <w:tcPr>
            <w:tcW w:w="3119" w:type="dxa"/>
            <w:tcBorders>
              <w:top w:val="single" w:sz="4" w:space="0" w:color="FFFFFF"/>
              <w:bottom w:val="single" w:sz="4" w:space="0" w:color="FFFFFF"/>
            </w:tcBorders>
            <w:shd w:val="clear" w:color="auto" w:fill="2F5496"/>
          </w:tcPr>
          <w:p w14:paraId="6E2F71E5" w14:textId="77777777" w:rsidR="00376718" w:rsidRPr="008C761D" w:rsidRDefault="00376718"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2D315B06" w14:textId="46F81915" w:rsidR="00440CD6" w:rsidRPr="002E26BE" w:rsidRDefault="00440CD6" w:rsidP="002E26BE">
            <w:pPr>
              <w:pStyle w:val="ListParagraph"/>
              <w:numPr>
                <w:ilvl w:val="0"/>
                <w:numId w:val="47"/>
              </w:numPr>
              <w:tabs>
                <w:tab w:val="left" w:pos="122"/>
              </w:tabs>
              <w:spacing w:after="0" w:line="240" w:lineRule="auto"/>
              <w:ind w:hanging="720"/>
              <w:rPr>
                <w:rFonts w:cs="Calibri"/>
                <w:sz w:val="20"/>
                <w:szCs w:val="20"/>
                <w:lang w:val="en-US"/>
              </w:rPr>
            </w:pPr>
            <w:r w:rsidRPr="002E26BE">
              <w:rPr>
                <w:rFonts w:cs="Calibri"/>
                <w:sz w:val="20"/>
                <w:szCs w:val="20"/>
                <w:lang w:val="en-US"/>
              </w:rPr>
              <w:t>Procedure for monitoring and ex-post review of projects;</w:t>
            </w:r>
          </w:p>
          <w:p w14:paraId="597DC055" w14:textId="37C835E0" w:rsidR="00440CD6" w:rsidRPr="002E26BE" w:rsidRDefault="00440CD6" w:rsidP="002E26BE">
            <w:pPr>
              <w:pStyle w:val="ListParagraph"/>
              <w:numPr>
                <w:ilvl w:val="0"/>
                <w:numId w:val="47"/>
              </w:numPr>
              <w:tabs>
                <w:tab w:val="left" w:pos="122"/>
                <w:tab w:val="left" w:pos="212"/>
              </w:tabs>
              <w:spacing w:after="0" w:line="240" w:lineRule="auto"/>
              <w:ind w:hanging="720"/>
              <w:rPr>
                <w:rFonts w:cs="Calibri"/>
                <w:sz w:val="20"/>
                <w:szCs w:val="20"/>
                <w:lang w:val="en-US"/>
              </w:rPr>
            </w:pPr>
            <w:r w:rsidRPr="002E26BE">
              <w:rPr>
                <w:rFonts w:cs="Calibri"/>
                <w:sz w:val="20"/>
                <w:szCs w:val="20"/>
                <w:lang w:val="en-US"/>
              </w:rPr>
              <w:lastRenderedPageBreak/>
              <w:t>Monitoring reports on the national investment portfolio;</w:t>
            </w:r>
          </w:p>
          <w:p w14:paraId="48485DD6" w14:textId="6E103AD6" w:rsidR="00376718" w:rsidRPr="002E26BE" w:rsidRDefault="00440CD6" w:rsidP="002E26BE">
            <w:pPr>
              <w:pStyle w:val="ListParagraph"/>
              <w:numPr>
                <w:ilvl w:val="0"/>
                <w:numId w:val="47"/>
              </w:numPr>
              <w:tabs>
                <w:tab w:val="left" w:pos="122"/>
                <w:tab w:val="left" w:pos="212"/>
                <w:tab w:val="left" w:pos="567"/>
              </w:tabs>
              <w:spacing w:after="0" w:line="240" w:lineRule="auto"/>
              <w:ind w:hanging="720"/>
              <w:rPr>
                <w:rFonts w:cs="Calibri"/>
                <w:sz w:val="20"/>
                <w:szCs w:val="20"/>
                <w:lang w:val="en-US"/>
              </w:rPr>
            </w:pPr>
            <w:r w:rsidRPr="002E26BE">
              <w:rPr>
                <w:rFonts w:cs="Calibri"/>
                <w:sz w:val="20"/>
                <w:szCs w:val="20"/>
                <w:lang w:val="en-US"/>
              </w:rPr>
              <w:t>Short-term IT solution for PIM (PIMIS).</w:t>
            </w:r>
          </w:p>
        </w:tc>
      </w:tr>
      <w:tr w:rsidR="00376718" w:rsidRPr="008C761D" w14:paraId="26F70EF9" w14:textId="77777777" w:rsidTr="00BA5E44">
        <w:tc>
          <w:tcPr>
            <w:tcW w:w="3119" w:type="dxa"/>
            <w:tcBorders>
              <w:top w:val="single" w:sz="4" w:space="0" w:color="FFFFFF"/>
              <w:bottom w:val="single" w:sz="4" w:space="0" w:color="FFFFFF"/>
            </w:tcBorders>
            <w:shd w:val="clear" w:color="auto" w:fill="2F5496"/>
          </w:tcPr>
          <w:p w14:paraId="360FC6F5"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lastRenderedPageBreak/>
              <w:t>Cost implications:</w:t>
            </w:r>
          </w:p>
        </w:tc>
        <w:tc>
          <w:tcPr>
            <w:tcW w:w="5645" w:type="dxa"/>
            <w:tcBorders>
              <w:top w:val="single" w:sz="4" w:space="0" w:color="FFFFFF"/>
              <w:bottom w:val="single" w:sz="4" w:space="0" w:color="FFFFFF"/>
            </w:tcBorders>
            <w:shd w:val="clear" w:color="auto" w:fill="D9E2F3"/>
          </w:tcPr>
          <w:p w14:paraId="16507076" w14:textId="77777777" w:rsidR="00376718" w:rsidRPr="008C761D" w:rsidRDefault="00376718" w:rsidP="00E84CD0">
            <w:pPr>
              <w:tabs>
                <w:tab w:val="left" w:pos="1526"/>
              </w:tabs>
              <w:spacing w:after="0" w:line="240" w:lineRule="auto"/>
              <w:jc w:val="both"/>
              <w:rPr>
                <w:rFonts w:cs="Calibri"/>
                <w:sz w:val="20"/>
                <w:szCs w:val="20"/>
                <w:lang w:val="en-US"/>
              </w:rPr>
            </w:pPr>
            <w:r w:rsidRPr="008C761D">
              <w:rPr>
                <w:rFonts w:cs="Calibri"/>
                <w:sz w:val="20"/>
                <w:szCs w:val="20"/>
                <w:lang w:val="en-US"/>
              </w:rPr>
              <w:t>EUR 1</w:t>
            </w:r>
            <w:r w:rsidR="00440CD6" w:rsidRPr="008C761D">
              <w:rPr>
                <w:rFonts w:cs="Calibri"/>
                <w:sz w:val="20"/>
                <w:szCs w:val="20"/>
                <w:lang w:val="en-US"/>
              </w:rPr>
              <w:t>3</w:t>
            </w:r>
            <w:r w:rsidRPr="008C761D">
              <w:rPr>
                <w:rFonts w:cs="Calibri"/>
                <w:sz w:val="20"/>
                <w:szCs w:val="20"/>
                <w:lang w:val="en-US"/>
              </w:rPr>
              <w:t>5,000</w:t>
            </w:r>
          </w:p>
        </w:tc>
      </w:tr>
      <w:tr w:rsidR="00376718" w:rsidRPr="008C761D" w14:paraId="49733E32" w14:textId="77777777" w:rsidTr="00BA5E44">
        <w:tc>
          <w:tcPr>
            <w:tcW w:w="3119" w:type="dxa"/>
            <w:tcBorders>
              <w:top w:val="single" w:sz="4" w:space="0" w:color="FFFFFF"/>
              <w:bottom w:val="single" w:sz="4" w:space="0" w:color="FFFFFF"/>
            </w:tcBorders>
            <w:shd w:val="clear" w:color="auto" w:fill="2F5496"/>
          </w:tcPr>
          <w:p w14:paraId="6F063175"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5645" w:type="dxa"/>
            <w:tcBorders>
              <w:top w:val="single" w:sz="4" w:space="0" w:color="FFFFFF"/>
              <w:bottom w:val="single" w:sz="4" w:space="0" w:color="FFFFFF"/>
            </w:tcBorders>
            <w:shd w:val="clear" w:color="auto" w:fill="D9E2F3"/>
          </w:tcPr>
          <w:p w14:paraId="5BA44EE3" w14:textId="726B30F3" w:rsidR="00376718" w:rsidRPr="008C761D" w:rsidRDefault="00D3676F" w:rsidP="00E84CD0">
            <w:pPr>
              <w:spacing w:after="160" w:line="240" w:lineRule="auto"/>
              <w:jc w:val="both"/>
              <w:rPr>
                <w:rFonts w:cs="Calibri"/>
                <w:sz w:val="20"/>
                <w:szCs w:val="20"/>
                <w:lang w:val="en-US"/>
              </w:rPr>
            </w:pPr>
            <w:r w:rsidRPr="00D3676F">
              <w:rPr>
                <w:rFonts w:cs="Calibri"/>
                <w:sz w:val="20"/>
                <w:szCs w:val="20"/>
                <w:lang w:val="en-US"/>
              </w:rPr>
              <w:t>MoF – PIM Department</w:t>
            </w:r>
            <w:r w:rsidR="00376718" w:rsidRPr="008C761D">
              <w:rPr>
                <w:rFonts w:cs="Calibri"/>
                <w:sz w:val="20"/>
                <w:szCs w:val="20"/>
                <w:lang w:val="en-US"/>
              </w:rPr>
              <w:t>, budget users/SoEs/LSGUs</w:t>
            </w:r>
          </w:p>
        </w:tc>
      </w:tr>
      <w:tr w:rsidR="00376718" w:rsidRPr="008C761D" w14:paraId="3DED8BE4" w14:textId="77777777" w:rsidTr="00BA5E44">
        <w:tc>
          <w:tcPr>
            <w:tcW w:w="3119" w:type="dxa"/>
            <w:tcBorders>
              <w:top w:val="single" w:sz="4" w:space="0" w:color="FFFFFF"/>
              <w:bottom w:val="nil"/>
            </w:tcBorders>
            <w:shd w:val="clear" w:color="auto" w:fill="2F5496"/>
          </w:tcPr>
          <w:p w14:paraId="6525D4EF" w14:textId="77777777" w:rsidR="00376718" w:rsidRPr="008C761D" w:rsidRDefault="00376718"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7766CDAE" w14:textId="222B0661" w:rsidR="00376718" w:rsidRPr="008C761D" w:rsidRDefault="00376718" w:rsidP="002E26BE">
            <w:pPr>
              <w:pStyle w:val="ListParagraph"/>
              <w:numPr>
                <w:ilvl w:val="0"/>
                <w:numId w:val="47"/>
              </w:numPr>
              <w:tabs>
                <w:tab w:val="left" w:pos="122"/>
                <w:tab w:val="left" w:pos="212"/>
              </w:tabs>
              <w:spacing w:after="0" w:line="240" w:lineRule="auto"/>
              <w:ind w:left="122" w:hanging="122"/>
              <w:rPr>
                <w:rFonts w:cs="Calibri"/>
                <w:sz w:val="20"/>
                <w:szCs w:val="20"/>
                <w:lang w:val="en-US"/>
              </w:rPr>
            </w:pPr>
            <w:r w:rsidRPr="008C761D">
              <w:rPr>
                <w:rFonts w:cs="Calibri"/>
                <w:sz w:val="20"/>
                <w:szCs w:val="20"/>
                <w:lang w:val="en-US"/>
              </w:rPr>
              <w:t>Insufficient staff, lack of capacities, lack of data, lack of</w:t>
            </w:r>
            <w:r w:rsidR="002E26BE">
              <w:rPr>
                <w:rFonts w:cs="Calibri"/>
                <w:sz w:val="20"/>
                <w:szCs w:val="20"/>
                <w:lang w:val="en-US"/>
              </w:rPr>
              <w:t xml:space="preserve"> </w:t>
            </w:r>
            <w:r w:rsidRPr="008C761D">
              <w:rPr>
                <w:rFonts w:cs="Calibri"/>
                <w:sz w:val="20"/>
                <w:szCs w:val="20"/>
                <w:lang w:val="en-US"/>
              </w:rPr>
              <w:t>coordination between institutions.</w:t>
            </w:r>
          </w:p>
        </w:tc>
      </w:tr>
    </w:tbl>
    <w:p w14:paraId="469CB3A7" w14:textId="77777777" w:rsidR="00BB100C" w:rsidRPr="002E26BE" w:rsidRDefault="00BB100C" w:rsidP="0004768C">
      <w:pPr>
        <w:pStyle w:val="Heading1"/>
        <w:rPr>
          <w:rFonts w:ascii="Calibri" w:hAnsi="Calibri" w:cs="Calibri"/>
          <w:color w:val="0070C0"/>
          <w:sz w:val="28"/>
          <w:szCs w:val="28"/>
          <w:lang w:val="en-US"/>
        </w:rPr>
      </w:pPr>
      <w:bookmarkStart w:id="40" w:name="_Toc160611820"/>
      <w:r w:rsidRPr="002E26BE">
        <w:rPr>
          <w:rFonts w:ascii="Calibri" w:hAnsi="Calibri" w:cs="Calibri"/>
          <w:color w:val="0070C0"/>
          <w:sz w:val="28"/>
          <w:szCs w:val="28"/>
          <w:lang w:val="en-US"/>
        </w:rPr>
        <w:t>Priority 3: Strengthen the accounting of budgets and budget users</w:t>
      </w:r>
      <w:bookmarkEnd w:id="40"/>
    </w:p>
    <w:p w14:paraId="04A4F6CC"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479C9D84" w14:textId="77777777" w:rsidR="00BB100C" w:rsidRPr="008C761D" w:rsidRDefault="00BB100C" w:rsidP="00BB100C">
      <w:pPr>
        <w:spacing w:before="80" w:after="80" w:line="240" w:lineRule="auto"/>
        <w:jc w:val="both"/>
        <w:rPr>
          <w:rFonts w:eastAsia="Times New Roman" w:cs="Calibri"/>
          <w:color w:val="202124"/>
          <w:lang w:val="en-US"/>
        </w:rPr>
      </w:pPr>
      <w:r w:rsidRPr="008C761D">
        <w:rPr>
          <w:rFonts w:eastAsia="Times New Roman" w:cs="Calibri"/>
          <w:color w:val="000000"/>
          <w:lang w:val="en-US" w:eastAsia="en-GB"/>
        </w:rPr>
        <w:t>I</w:t>
      </w:r>
      <w:r w:rsidRPr="008C761D">
        <w:rPr>
          <w:rFonts w:eastAsia="Times New Roman" w:cs="Calibri"/>
          <w:color w:val="202124"/>
          <w:lang w:val="en-US"/>
        </w:rPr>
        <w:t>mproving the budget institutions’ financial reporting and realistic presentation of assumed and outstanding liabilities of budget institutions.</w:t>
      </w:r>
    </w:p>
    <w:p w14:paraId="5E53ADA3" w14:textId="77777777" w:rsidR="00BB100C" w:rsidRPr="008C761D" w:rsidRDefault="00BB100C" w:rsidP="00BB100C">
      <w:pPr>
        <w:spacing w:before="80" w:after="80" w:line="240" w:lineRule="auto"/>
        <w:jc w:val="both"/>
        <w:rPr>
          <w:rFonts w:eastAsia="Times New Roman" w:cs="Calibri"/>
          <w:color w:val="202124"/>
          <w:lang w:val="en-US"/>
        </w:rPr>
      </w:pPr>
      <w:r w:rsidRPr="008C761D">
        <w:rPr>
          <w:rFonts w:eastAsia="Times New Roman" w:cs="Calibri"/>
          <w:color w:val="202124"/>
          <w:lang w:val="en-US"/>
        </w:rPr>
        <w:t>The objective of this priority will be achieved through the following measures and activities:</w:t>
      </w:r>
    </w:p>
    <w:tbl>
      <w:tblPr>
        <w:tblW w:w="8140" w:type="dxa"/>
        <w:tblInd w:w="548" w:type="dxa"/>
        <w:tblLook w:val="01E0" w:firstRow="1" w:lastRow="1" w:firstColumn="1" w:lastColumn="1" w:noHBand="0" w:noVBand="0"/>
      </w:tblPr>
      <w:tblGrid>
        <w:gridCol w:w="1714"/>
        <w:gridCol w:w="6426"/>
      </w:tblGrid>
      <w:tr w:rsidR="00BB100C" w:rsidRPr="008C761D" w14:paraId="51E31145" w14:textId="77777777" w:rsidTr="000147DA">
        <w:tc>
          <w:tcPr>
            <w:tcW w:w="1714" w:type="dxa"/>
            <w:shd w:val="clear" w:color="auto" w:fill="auto"/>
          </w:tcPr>
          <w:p w14:paraId="4B393A81" w14:textId="77777777" w:rsidR="00BB100C" w:rsidRPr="008C761D" w:rsidRDefault="00BB100C" w:rsidP="000D68DB">
            <w:pPr>
              <w:spacing w:after="0"/>
              <w:jc w:val="both"/>
              <w:rPr>
                <w:rFonts w:eastAsia="Times New Roman" w:cs="Calibri"/>
                <w:color w:val="202124"/>
                <w:lang w:val="en-US"/>
              </w:rPr>
            </w:pPr>
            <w:r w:rsidRPr="008C761D">
              <w:rPr>
                <w:rFonts w:eastAsia="Times New Roman" w:cs="Calibri"/>
                <w:b/>
                <w:color w:val="202124"/>
                <w:lang w:val="en-US"/>
              </w:rPr>
              <w:t>Measure 1:</w:t>
            </w:r>
          </w:p>
        </w:tc>
        <w:tc>
          <w:tcPr>
            <w:tcW w:w="6426" w:type="dxa"/>
            <w:shd w:val="clear" w:color="auto" w:fill="auto"/>
          </w:tcPr>
          <w:p w14:paraId="3BB6FE55" w14:textId="27A3F5D0" w:rsidR="00BB100C" w:rsidRDefault="00BB100C" w:rsidP="000D68DB">
            <w:pPr>
              <w:tabs>
                <w:tab w:val="left" w:pos="1250"/>
              </w:tabs>
              <w:spacing w:after="0"/>
              <w:jc w:val="both"/>
              <w:rPr>
                <w:rFonts w:cs="Calibri"/>
                <w:b/>
                <w:bCs/>
                <w:iCs/>
                <w:lang w:val="en-US"/>
              </w:rPr>
            </w:pPr>
            <w:r w:rsidRPr="008C761D">
              <w:rPr>
                <w:rFonts w:eastAsia="Times New Roman" w:cs="Calibri"/>
                <w:b/>
                <w:lang w:val="en-US"/>
              </w:rPr>
              <w:t>S</w:t>
            </w:r>
            <w:r w:rsidRPr="008C761D">
              <w:rPr>
                <w:rFonts w:cs="Calibri"/>
                <w:b/>
                <w:bCs/>
                <w:iCs/>
                <w:lang w:val="en-US"/>
              </w:rPr>
              <w:t>trengthening the accounting system by applying new accounting practices</w:t>
            </w:r>
            <w:r w:rsidR="0089258D">
              <w:rPr>
                <w:rFonts w:cs="Calibri"/>
                <w:b/>
                <w:bCs/>
                <w:iCs/>
                <w:lang w:val="en-US"/>
              </w:rPr>
              <w:t xml:space="preserve"> and c</w:t>
            </w:r>
            <w:r w:rsidR="0089258D" w:rsidRPr="008C761D">
              <w:rPr>
                <w:rFonts w:cs="Calibri"/>
                <w:b/>
                <w:bCs/>
                <w:iCs/>
                <w:lang w:val="en-US"/>
              </w:rPr>
              <w:t>apacity building of public sector accountants</w:t>
            </w:r>
          </w:p>
          <w:p w14:paraId="6D863D1A" w14:textId="13624328" w:rsidR="002E26BE" w:rsidRPr="002E26BE" w:rsidRDefault="002E26BE" w:rsidP="000D68DB">
            <w:pPr>
              <w:tabs>
                <w:tab w:val="left" w:pos="1250"/>
              </w:tabs>
              <w:spacing w:after="0"/>
              <w:jc w:val="both"/>
              <w:rPr>
                <w:rFonts w:eastAsia="Times New Roman" w:cs="Calibri"/>
                <w:color w:val="202124"/>
                <w:sz w:val="10"/>
                <w:szCs w:val="10"/>
                <w:lang w:val="en-US"/>
              </w:rPr>
            </w:pPr>
          </w:p>
        </w:tc>
      </w:tr>
      <w:tr w:rsidR="00BB100C" w:rsidRPr="008C761D" w14:paraId="7DDBFFB8" w14:textId="77777777" w:rsidTr="000147DA">
        <w:tc>
          <w:tcPr>
            <w:tcW w:w="1714" w:type="dxa"/>
            <w:shd w:val="clear" w:color="auto" w:fill="auto"/>
          </w:tcPr>
          <w:p w14:paraId="0F1A639A" w14:textId="77777777" w:rsidR="00BB100C" w:rsidRPr="008C761D" w:rsidRDefault="00BB100C" w:rsidP="000D68DB">
            <w:pPr>
              <w:spacing w:after="0"/>
              <w:jc w:val="both"/>
              <w:rPr>
                <w:rFonts w:eastAsia="Times New Roman" w:cs="Calibri"/>
                <w:b/>
                <w:color w:val="202124"/>
                <w:lang w:val="en-US"/>
              </w:rPr>
            </w:pPr>
            <w:r w:rsidRPr="008C761D">
              <w:rPr>
                <w:rFonts w:eastAsia="Times New Roman" w:cs="Calibri"/>
                <w:color w:val="202124"/>
                <w:lang w:val="en-US"/>
              </w:rPr>
              <w:t>Activity 1:</w:t>
            </w:r>
          </w:p>
        </w:tc>
        <w:tc>
          <w:tcPr>
            <w:tcW w:w="6426" w:type="dxa"/>
            <w:shd w:val="clear" w:color="auto" w:fill="auto"/>
          </w:tcPr>
          <w:p w14:paraId="026BD521" w14:textId="77777777" w:rsidR="00BB100C" w:rsidRPr="008C761D" w:rsidRDefault="00BB100C" w:rsidP="000D68DB">
            <w:pPr>
              <w:tabs>
                <w:tab w:val="left" w:pos="1250"/>
              </w:tabs>
              <w:spacing w:after="0"/>
              <w:jc w:val="both"/>
              <w:rPr>
                <w:rFonts w:eastAsia="Times New Roman" w:cs="Calibri"/>
                <w:b/>
                <w:lang w:val="en-US"/>
              </w:rPr>
            </w:pPr>
            <w:r w:rsidRPr="008C761D">
              <w:rPr>
                <w:rFonts w:eastAsia="Times New Roman" w:cs="Calibri"/>
                <w:color w:val="202124"/>
                <w:lang w:val="en-US"/>
              </w:rPr>
              <w:t>Adoption a Strategy for Improvement of the Budget Institutions’s Accounting with a gap analysis, setting priorities and goals and action plan;</w:t>
            </w:r>
          </w:p>
        </w:tc>
      </w:tr>
      <w:tr w:rsidR="00BB100C" w:rsidRPr="008C761D" w14:paraId="733C79EA" w14:textId="77777777" w:rsidTr="000147DA">
        <w:tc>
          <w:tcPr>
            <w:tcW w:w="1714" w:type="dxa"/>
            <w:shd w:val="clear" w:color="auto" w:fill="auto"/>
          </w:tcPr>
          <w:p w14:paraId="7BEE208A" w14:textId="77777777" w:rsidR="00BB100C" w:rsidRPr="008C761D" w:rsidRDefault="00BB100C" w:rsidP="000D68DB">
            <w:pPr>
              <w:spacing w:after="0"/>
              <w:jc w:val="both"/>
              <w:rPr>
                <w:rFonts w:eastAsia="Times New Roman" w:cs="Calibri"/>
                <w:b/>
                <w:color w:val="202124"/>
                <w:lang w:val="en-US"/>
              </w:rPr>
            </w:pPr>
            <w:r w:rsidRPr="008C761D">
              <w:rPr>
                <w:rFonts w:eastAsia="Times New Roman" w:cs="Calibri"/>
                <w:color w:val="202124"/>
                <w:lang w:val="en-US"/>
              </w:rPr>
              <w:t>Activity 2:</w:t>
            </w:r>
          </w:p>
        </w:tc>
        <w:tc>
          <w:tcPr>
            <w:tcW w:w="6426" w:type="dxa"/>
            <w:shd w:val="clear" w:color="auto" w:fill="auto"/>
          </w:tcPr>
          <w:p w14:paraId="79635839" w14:textId="77777777" w:rsidR="00BB100C" w:rsidRPr="008C761D" w:rsidRDefault="00BB100C" w:rsidP="000D68DB">
            <w:pPr>
              <w:tabs>
                <w:tab w:val="left" w:pos="1250"/>
              </w:tabs>
              <w:spacing w:after="0"/>
              <w:jc w:val="both"/>
              <w:rPr>
                <w:rFonts w:eastAsia="Times New Roman" w:cs="Calibri"/>
                <w:b/>
                <w:lang w:val="en-US"/>
              </w:rPr>
            </w:pPr>
            <w:r w:rsidRPr="008C761D">
              <w:rPr>
                <w:rFonts w:eastAsia="Times New Roman" w:cs="Calibri"/>
                <w:color w:val="202124"/>
                <w:lang w:val="en-US"/>
              </w:rPr>
              <w:t>Adopting a new regulatory framework on accounting of budgets and budget users and bylaws;</w:t>
            </w:r>
          </w:p>
        </w:tc>
      </w:tr>
      <w:tr w:rsidR="00BB100C" w:rsidRPr="008C761D" w14:paraId="0D37939C" w14:textId="77777777" w:rsidTr="000147DA">
        <w:tc>
          <w:tcPr>
            <w:tcW w:w="1714" w:type="dxa"/>
            <w:shd w:val="clear" w:color="auto" w:fill="auto"/>
          </w:tcPr>
          <w:p w14:paraId="721E05E8" w14:textId="62433F72" w:rsidR="00BB100C" w:rsidRDefault="00BB100C" w:rsidP="000D68DB">
            <w:pPr>
              <w:spacing w:after="0"/>
              <w:jc w:val="both"/>
              <w:rPr>
                <w:rFonts w:eastAsia="Times New Roman" w:cs="Calibri"/>
                <w:color w:val="202124"/>
                <w:lang w:val="en-US"/>
              </w:rPr>
            </w:pPr>
            <w:r w:rsidRPr="008C761D">
              <w:rPr>
                <w:rFonts w:eastAsia="Times New Roman" w:cs="Calibri"/>
                <w:color w:val="202124"/>
                <w:lang w:val="en-US"/>
              </w:rPr>
              <w:t>Activity 3:</w:t>
            </w:r>
          </w:p>
          <w:p w14:paraId="150F4988" w14:textId="3486C1B6" w:rsidR="0089258D" w:rsidRDefault="0089258D" w:rsidP="000D68DB">
            <w:pPr>
              <w:spacing w:after="0"/>
              <w:jc w:val="both"/>
              <w:rPr>
                <w:rFonts w:eastAsia="Times New Roman" w:cs="Calibri"/>
                <w:color w:val="202124"/>
                <w:lang w:val="en-US"/>
              </w:rPr>
            </w:pPr>
          </w:p>
          <w:p w14:paraId="30C23B3C" w14:textId="77777777" w:rsidR="0089258D" w:rsidRDefault="0089258D" w:rsidP="000D68DB">
            <w:pPr>
              <w:spacing w:after="0"/>
              <w:jc w:val="both"/>
              <w:rPr>
                <w:rFonts w:eastAsia="Times New Roman" w:cs="Calibri"/>
                <w:color w:val="202124"/>
                <w:lang w:val="en-US"/>
              </w:rPr>
            </w:pPr>
          </w:p>
          <w:p w14:paraId="28E5F759" w14:textId="1F7CE2A3" w:rsidR="0089258D" w:rsidRPr="0089258D" w:rsidRDefault="0089258D" w:rsidP="000D68DB">
            <w:pPr>
              <w:spacing w:after="0"/>
              <w:jc w:val="both"/>
              <w:rPr>
                <w:rFonts w:eastAsia="Times New Roman" w:cs="Calibri"/>
                <w:color w:val="202124"/>
              </w:rPr>
            </w:pPr>
            <w:r>
              <w:rPr>
                <w:rFonts w:eastAsia="Times New Roman" w:cs="Calibri"/>
                <w:color w:val="202124"/>
                <w:lang w:val="en-US"/>
              </w:rPr>
              <w:t>Activity 4</w:t>
            </w:r>
            <w:r>
              <w:rPr>
                <w:rFonts w:eastAsia="Times New Roman" w:cs="Calibri"/>
                <w:color w:val="202124"/>
              </w:rPr>
              <w:t>:</w:t>
            </w:r>
          </w:p>
          <w:p w14:paraId="04D597E3" w14:textId="77777777" w:rsidR="00BB100C" w:rsidRPr="008C761D" w:rsidRDefault="00BB100C" w:rsidP="000D68DB">
            <w:pPr>
              <w:spacing w:after="0"/>
              <w:jc w:val="both"/>
              <w:rPr>
                <w:rFonts w:eastAsia="Times New Roman" w:cs="Calibri"/>
                <w:b/>
                <w:color w:val="202124"/>
                <w:lang w:val="en-US"/>
              </w:rPr>
            </w:pPr>
          </w:p>
        </w:tc>
        <w:tc>
          <w:tcPr>
            <w:tcW w:w="6426" w:type="dxa"/>
            <w:shd w:val="clear" w:color="auto" w:fill="auto"/>
          </w:tcPr>
          <w:p w14:paraId="35E624B6" w14:textId="5601321D" w:rsidR="00BB100C" w:rsidRDefault="00BB100C" w:rsidP="000D68DB">
            <w:pPr>
              <w:tabs>
                <w:tab w:val="left" w:pos="1250"/>
              </w:tabs>
              <w:spacing w:after="0"/>
              <w:jc w:val="both"/>
              <w:rPr>
                <w:rFonts w:eastAsia="Times New Roman" w:cs="Calibri"/>
                <w:color w:val="202124"/>
              </w:rPr>
            </w:pPr>
            <w:r w:rsidRPr="008C761D">
              <w:rPr>
                <w:rFonts w:eastAsia="Times New Roman" w:cs="Calibri"/>
                <w:color w:val="202124"/>
                <w:lang w:val="en-US"/>
              </w:rPr>
              <w:t>Harmonizing budget information systems and budget users with the new accounting requirements</w:t>
            </w:r>
            <w:r w:rsidR="0089258D">
              <w:rPr>
                <w:rFonts w:eastAsia="Times New Roman" w:cs="Calibri"/>
                <w:color w:val="202124"/>
              </w:rPr>
              <w:t>;</w:t>
            </w:r>
          </w:p>
          <w:p w14:paraId="06EC5BB4" w14:textId="77777777" w:rsidR="0089258D" w:rsidRDefault="0089258D" w:rsidP="000D68DB">
            <w:pPr>
              <w:tabs>
                <w:tab w:val="left" w:pos="1250"/>
              </w:tabs>
              <w:spacing w:after="0"/>
              <w:jc w:val="both"/>
              <w:rPr>
                <w:rFonts w:eastAsia="Times New Roman" w:cs="Calibri"/>
                <w:color w:val="202124"/>
              </w:rPr>
            </w:pPr>
          </w:p>
          <w:p w14:paraId="26A33533" w14:textId="5FF50657" w:rsidR="0089258D" w:rsidRPr="0089258D" w:rsidRDefault="0089258D" w:rsidP="000D68DB">
            <w:pPr>
              <w:tabs>
                <w:tab w:val="left" w:pos="1250"/>
              </w:tabs>
              <w:spacing w:after="0"/>
              <w:jc w:val="both"/>
              <w:rPr>
                <w:rFonts w:eastAsia="Times New Roman" w:cs="Calibri"/>
                <w:color w:val="202124"/>
              </w:rPr>
            </w:pPr>
            <w:r>
              <w:rPr>
                <w:rFonts w:cs="Calibri"/>
                <w:color w:val="212121"/>
                <w:shd w:val="clear" w:color="auto" w:fill="FFFFFF"/>
                <w:lang w:val="en-US"/>
              </w:rPr>
              <w:t>T</w:t>
            </w:r>
            <w:r>
              <w:rPr>
                <w:rFonts w:cs="Calibri"/>
                <w:color w:val="212121"/>
                <w:shd w:val="clear" w:color="auto" w:fill="FFFFFF"/>
              </w:rPr>
              <w:t xml:space="preserve">raining </w:t>
            </w:r>
            <w:r>
              <w:rPr>
                <w:rFonts w:cs="Calibri"/>
                <w:color w:val="212121"/>
                <w:shd w:val="clear" w:color="auto" w:fill="FFFFFF"/>
                <w:lang w:val="en-US"/>
              </w:rPr>
              <w:t xml:space="preserve">an examination </w:t>
            </w:r>
            <w:r>
              <w:rPr>
                <w:rFonts w:cs="Calibri"/>
                <w:color w:val="212121"/>
                <w:shd w:val="clear" w:color="auto" w:fill="FFFFFF"/>
              </w:rPr>
              <w:t xml:space="preserve">for </w:t>
            </w:r>
            <w:r w:rsidRPr="008C761D">
              <w:rPr>
                <w:rFonts w:eastAsia="Times New Roman" w:cs="Calibri"/>
                <w:color w:val="202124"/>
                <w:lang w:val="en-US"/>
              </w:rPr>
              <w:t>accountants in the public sector</w:t>
            </w:r>
          </w:p>
          <w:p w14:paraId="113083A9" w14:textId="68483A01" w:rsidR="000D68DB" w:rsidRPr="008C761D" w:rsidRDefault="000D68DB" w:rsidP="000D68DB">
            <w:pPr>
              <w:tabs>
                <w:tab w:val="left" w:pos="1250"/>
              </w:tabs>
              <w:spacing w:after="0"/>
              <w:jc w:val="both"/>
              <w:rPr>
                <w:rFonts w:eastAsia="Times New Roman" w:cs="Calibri"/>
                <w:b/>
                <w:sz w:val="10"/>
                <w:szCs w:val="10"/>
                <w:lang w:val="en-US"/>
              </w:rPr>
            </w:pPr>
          </w:p>
        </w:tc>
      </w:tr>
    </w:tbl>
    <w:p w14:paraId="5536EE2D"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375C2138" w14:textId="77777777" w:rsidR="00BB100C" w:rsidRPr="008C761D" w:rsidRDefault="00BB100C" w:rsidP="00BB100C">
      <w:pPr>
        <w:tabs>
          <w:tab w:val="left" w:pos="1250"/>
        </w:tabs>
        <w:spacing w:before="120" w:after="0" w:line="240" w:lineRule="auto"/>
        <w:ind w:left="284"/>
        <w:contextualSpacing/>
        <w:jc w:val="both"/>
        <w:rPr>
          <w:rFonts w:eastAsia="Times New Roman" w:cs="Calibri"/>
          <w:color w:val="202124"/>
          <w:lang w:val="en-US"/>
        </w:rPr>
      </w:pPr>
      <w:r w:rsidRPr="008C761D">
        <w:rPr>
          <w:rFonts w:eastAsia="MS PGothic" w:cs="Calibri"/>
          <w:lang w:val="en-US" w:eastAsia="zh-CN"/>
        </w:rPr>
        <w:t>Improved financial reporting by establishing new accounting practices.</w:t>
      </w:r>
    </w:p>
    <w:p w14:paraId="64733842"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w:t>
      </w:r>
    </w:p>
    <w:p w14:paraId="334230CA" w14:textId="77777777" w:rsidR="00BB100C" w:rsidRPr="008C761D" w:rsidRDefault="00BB100C" w:rsidP="003A338C">
      <w:pPr>
        <w:numPr>
          <w:ilvl w:val="0"/>
          <w:numId w:val="84"/>
        </w:numPr>
        <w:tabs>
          <w:tab w:val="left" w:pos="1250"/>
        </w:tabs>
        <w:spacing w:before="120" w:after="0" w:line="240" w:lineRule="auto"/>
        <w:contextualSpacing/>
        <w:jc w:val="both"/>
        <w:rPr>
          <w:rFonts w:eastAsia="MS PGothic" w:cs="Calibri"/>
          <w:color w:val="202124"/>
          <w:lang w:val="en-US" w:eastAsia="zh-CN"/>
        </w:rPr>
      </w:pPr>
      <w:r w:rsidRPr="008C761D">
        <w:rPr>
          <w:rFonts w:eastAsia="MS PGothic" w:cs="Calibri"/>
          <w:color w:val="202124"/>
          <w:lang w:val="en-US" w:eastAsia="zh-CN"/>
        </w:rPr>
        <w:t>Percentage of budget users applying new accounting practices.</w:t>
      </w:r>
    </w:p>
    <w:p w14:paraId="0D56960B" w14:textId="77777777" w:rsidR="00BB100C" w:rsidRPr="008C761D" w:rsidRDefault="00BB100C" w:rsidP="00BB100C">
      <w:pPr>
        <w:tabs>
          <w:tab w:val="left" w:pos="1250"/>
        </w:tabs>
        <w:spacing w:before="120" w:after="0" w:line="240" w:lineRule="auto"/>
        <w:ind w:left="644"/>
        <w:contextualSpacing/>
        <w:jc w:val="both"/>
        <w:rPr>
          <w:rFonts w:eastAsia="MS PGothic" w:cs="Calibri"/>
          <w:color w:val="2021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BB100C" w:rsidRPr="008C761D" w14:paraId="1CDE122B" w14:textId="77777777" w:rsidTr="000147DA">
        <w:trPr>
          <w:trHeight w:val="395"/>
        </w:trPr>
        <w:tc>
          <w:tcPr>
            <w:tcW w:w="4608" w:type="dxa"/>
            <w:shd w:val="clear" w:color="auto" w:fill="E8E8E8"/>
          </w:tcPr>
          <w:p w14:paraId="4DC6E39C" w14:textId="77777777" w:rsidR="00BB100C" w:rsidRPr="008C761D" w:rsidRDefault="00BB100C" w:rsidP="00BB100C">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6216B9AD" w14:textId="77777777" w:rsidR="00BB100C" w:rsidRPr="008C761D" w:rsidRDefault="00BB100C" w:rsidP="00BB100C">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BB100C" w:rsidRPr="008C761D" w14:paraId="62A2A2DE" w14:textId="77777777" w:rsidTr="000147DA">
        <w:trPr>
          <w:trHeight w:val="278"/>
        </w:trPr>
        <w:tc>
          <w:tcPr>
            <w:tcW w:w="4608" w:type="dxa"/>
            <w:shd w:val="clear" w:color="auto" w:fill="E8E8E8"/>
          </w:tcPr>
          <w:p w14:paraId="0E6BB9D1" w14:textId="77777777" w:rsidR="00BB100C" w:rsidRPr="008C761D" w:rsidRDefault="00BB100C" w:rsidP="00BB100C">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w:t>
            </w:r>
          </w:p>
        </w:tc>
        <w:tc>
          <w:tcPr>
            <w:tcW w:w="4608" w:type="dxa"/>
            <w:shd w:val="clear" w:color="auto" w:fill="E8E8E8"/>
          </w:tcPr>
          <w:p w14:paraId="55C43142" w14:textId="64D8E0BE" w:rsidR="00BB100C" w:rsidRPr="008C761D" w:rsidRDefault="00BB100C" w:rsidP="00BB100C">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100% of</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budget</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users</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apply</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new</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accounting</w:t>
            </w:r>
            <w:r w:rsidR="001C377F"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practices</w:t>
            </w:r>
          </w:p>
        </w:tc>
      </w:tr>
    </w:tbl>
    <w:p w14:paraId="144EFC16" w14:textId="01539999" w:rsidR="00BB100C" w:rsidRPr="008C761D" w:rsidRDefault="00BB100C" w:rsidP="00BB100C">
      <w:pPr>
        <w:tabs>
          <w:tab w:val="left" w:pos="1250"/>
        </w:tabs>
        <w:spacing w:before="120" w:after="0" w:line="240" w:lineRule="auto"/>
        <w:ind w:left="284"/>
        <w:contextualSpacing/>
        <w:jc w:val="both"/>
        <w:rPr>
          <w:rFonts w:eastAsia="Times New Roman" w:cs="Calibri"/>
          <w:color w:val="202124"/>
          <w:lang w:val="en-US"/>
        </w:rPr>
      </w:pPr>
    </w:p>
    <w:p w14:paraId="35299EE0" w14:textId="789DE327" w:rsidR="00BB100C" w:rsidRPr="008C761D" w:rsidRDefault="00BB100C" w:rsidP="00E059A9">
      <w:pPr>
        <w:spacing w:after="0" w:line="240" w:lineRule="auto"/>
        <w:jc w:val="both"/>
        <w:rPr>
          <w:rFonts w:eastAsia="MS PGothic" w:cs="Calibri"/>
          <w:lang w:val="en-US" w:eastAsia="zh-CN"/>
        </w:rPr>
      </w:pPr>
      <w:r w:rsidRPr="008C761D">
        <w:rPr>
          <w:rFonts w:eastAsia="MS PGothic" w:cs="Calibri"/>
          <w:lang w:val="en-US" w:eastAsia="zh-CN"/>
        </w:rPr>
        <w:tab/>
      </w:r>
    </w:p>
    <w:p w14:paraId="5FE218C2" w14:textId="0E5C5B63" w:rsidR="007F2986" w:rsidRPr="0089258D" w:rsidRDefault="007F2986" w:rsidP="007F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24"/>
          <w:szCs w:val="24"/>
        </w:rPr>
      </w:pPr>
      <w:r w:rsidRPr="008C761D">
        <w:rPr>
          <w:rFonts w:cs="Calibri"/>
          <w:b/>
          <w:bCs/>
          <w:iCs/>
          <w:color w:val="0070C0"/>
          <w:sz w:val="24"/>
          <w:szCs w:val="24"/>
          <w:lang w:val="en-US"/>
        </w:rPr>
        <w:t>Measure 1: Strengthening the accounting system by applying new accounting practices</w:t>
      </w:r>
      <w:r w:rsidR="0089258D">
        <w:rPr>
          <w:rFonts w:cs="Calibri"/>
          <w:b/>
          <w:bCs/>
          <w:iCs/>
          <w:color w:val="0070C0"/>
          <w:sz w:val="24"/>
          <w:szCs w:val="24"/>
        </w:rPr>
        <w:t xml:space="preserve"> </w:t>
      </w:r>
      <w:r w:rsidR="0089258D" w:rsidRPr="0089258D">
        <w:rPr>
          <w:rFonts w:cs="Calibri"/>
          <w:b/>
          <w:bCs/>
          <w:iCs/>
          <w:color w:val="0070C0"/>
          <w:sz w:val="24"/>
          <w:szCs w:val="24"/>
        </w:rPr>
        <w:t>and capacity building of public sector accountants</w:t>
      </w:r>
    </w:p>
    <w:p w14:paraId="372FC7C6"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3F0FD976" w14:textId="6310AC6B" w:rsidR="00BC5453" w:rsidRPr="008C761D" w:rsidRDefault="00BC5453" w:rsidP="00BB100C">
      <w:pPr>
        <w:keepNext/>
        <w:keepLines/>
        <w:spacing w:before="160" w:after="60" w:line="240" w:lineRule="auto"/>
        <w:jc w:val="both"/>
        <w:outlineLvl w:val="3"/>
        <w:rPr>
          <w:rFonts w:eastAsia="MS PGothic" w:cs="Calibri"/>
          <w:lang w:val="en-US" w:eastAsia="zh-CN"/>
        </w:rPr>
      </w:pPr>
      <w:r w:rsidRPr="008C761D">
        <w:rPr>
          <w:rFonts w:eastAsia="MS PGothic" w:cs="Calibri"/>
          <w:lang w:val="en-US" w:eastAsia="zh-CN"/>
        </w:rPr>
        <w:t>Determining the strategic direction for the development of</w:t>
      </w:r>
      <w:r w:rsidR="00F50612">
        <w:rPr>
          <w:rFonts w:eastAsia="MS PGothic" w:cs="Calibri"/>
          <w:lang w:val="en-US" w:eastAsia="zh-CN"/>
        </w:rPr>
        <w:t xml:space="preserve"> </w:t>
      </w:r>
      <w:r w:rsidRPr="008C761D">
        <w:rPr>
          <w:rFonts w:eastAsia="MS PGothic" w:cs="Calibri"/>
          <w:lang w:val="en-US" w:eastAsia="zh-CN"/>
        </w:rPr>
        <w:t>new accounting practices.</w:t>
      </w:r>
    </w:p>
    <w:p w14:paraId="5E16583C" w14:textId="77777777" w:rsidR="00BB100C" w:rsidRPr="008C761D" w:rsidRDefault="00BB100C" w:rsidP="00BB100C">
      <w:pPr>
        <w:keepNext/>
        <w:keepLines/>
        <w:spacing w:before="160" w:after="60" w:line="240" w:lineRule="auto"/>
        <w:jc w:val="both"/>
        <w:outlineLvl w:val="3"/>
        <w:rPr>
          <w:rFonts w:eastAsia="MS PGothic" w:cs="Calibri"/>
          <w:i/>
          <w:iCs/>
          <w:color w:val="5B9BD5"/>
          <w:lang w:val="en-US" w:eastAsia="zh-CN"/>
        </w:rPr>
      </w:pPr>
      <w:r w:rsidRPr="008C761D">
        <w:rPr>
          <w:rFonts w:eastAsia="MS PGothic" w:cs="Calibri"/>
          <w:b/>
          <w:bCs/>
          <w:i/>
          <w:iCs/>
          <w:color w:val="4F81BD"/>
          <w:lang w:val="en-US" w:eastAsia="zh-CN"/>
        </w:rPr>
        <w:t xml:space="preserve">Reference to findings from external assessments: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1E0" w:firstRow="1" w:lastRow="1" w:firstColumn="1" w:lastColumn="1" w:noHBand="0" w:noVBand="0"/>
      </w:tblPr>
      <w:tblGrid>
        <w:gridCol w:w="1240"/>
        <w:gridCol w:w="7832"/>
      </w:tblGrid>
      <w:tr w:rsidR="00BB100C" w:rsidRPr="008C761D" w14:paraId="5A493363" w14:textId="77777777" w:rsidTr="00E059A9">
        <w:tc>
          <w:tcPr>
            <w:tcW w:w="1240" w:type="dxa"/>
            <w:shd w:val="clear" w:color="auto" w:fill="DDDDDD"/>
          </w:tcPr>
          <w:p w14:paraId="1A43E3DF" w14:textId="77777777" w:rsidR="00BB100C" w:rsidRPr="002E26BE" w:rsidRDefault="00BB100C" w:rsidP="00BB100C">
            <w:pPr>
              <w:spacing w:after="0" w:line="240" w:lineRule="auto"/>
              <w:jc w:val="both"/>
              <w:rPr>
                <w:rFonts w:cs="Calibri"/>
                <w:b/>
                <w:sz w:val="20"/>
                <w:szCs w:val="20"/>
                <w:lang w:val="en-US"/>
              </w:rPr>
            </w:pPr>
            <w:r w:rsidRPr="002E26BE">
              <w:rPr>
                <w:rFonts w:cs="Calibri"/>
                <w:b/>
                <w:sz w:val="20"/>
                <w:szCs w:val="20"/>
                <w:lang w:val="en-US"/>
              </w:rPr>
              <w:t>PEFA 2021:</w:t>
            </w:r>
          </w:p>
        </w:tc>
        <w:tc>
          <w:tcPr>
            <w:tcW w:w="7832" w:type="dxa"/>
            <w:shd w:val="clear" w:color="auto" w:fill="DDDDDD"/>
          </w:tcPr>
          <w:p w14:paraId="39898EF8" w14:textId="77777777" w:rsidR="00BB100C" w:rsidRPr="008C761D" w:rsidRDefault="00BB100C" w:rsidP="00BB100C">
            <w:pPr>
              <w:spacing w:after="120" w:line="240" w:lineRule="auto"/>
              <w:contextualSpacing/>
              <w:jc w:val="both"/>
              <w:rPr>
                <w:rFonts w:eastAsia="Times New Roman" w:cs="Calibri"/>
                <w:color w:val="202124"/>
                <w:sz w:val="20"/>
                <w:szCs w:val="20"/>
                <w:lang w:val="en-US"/>
              </w:rPr>
            </w:pPr>
            <w:r w:rsidRPr="008C761D">
              <w:rPr>
                <w:rFonts w:eastAsia="MS PGothic" w:cs="Calibri"/>
                <w:sz w:val="20"/>
                <w:szCs w:val="20"/>
                <w:lang w:val="en-US" w:eastAsia="zh-CN"/>
              </w:rPr>
              <w:t xml:space="preserve">No strategic direction for development of accrual accounting. </w:t>
            </w:r>
          </w:p>
          <w:p w14:paraId="6D3E9955" w14:textId="7FC0EB1A" w:rsidR="00BB100C" w:rsidRPr="008C761D" w:rsidRDefault="00BB100C" w:rsidP="00BB100C">
            <w:pPr>
              <w:spacing w:after="120" w:line="240" w:lineRule="auto"/>
              <w:contextualSpacing/>
              <w:jc w:val="both"/>
              <w:rPr>
                <w:rFonts w:eastAsia="Times New Roman" w:cs="Calibri"/>
                <w:color w:val="202124"/>
                <w:sz w:val="20"/>
                <w:szCs w:val="20"/>
                <w:lang w:val="en-US"/>
              </w:rPr>
            </w:pPr>
            <w:r w:rsidRPr="008C761D">
              <w:rPr>
                <w:rFonts w:eastAsia="MS PGothic" w:cs="Calibri"/>
                <w:sz w:val="20"/>
                <w:szCs w:val="20"/>
                <w:lang w:val="en-US" w:eastAsia="zh-CN"/>
              </w:rPr>
              <w:t>National legal framework for accounting and financial reporting has remained stable over time which has ensured consistency and comparability of reported information.</w:t>
            </w:r>
            <w:r w:rsidR="00F50612">
              <w:rPr>
                <w:rFonts w:eastAsia="MS PGothic" w:cs="Calibri"/>
                <w:sz w:val="20"/>
                <w:szCs w:val="20"/>
                <w:lang w:val="en-US" w:eastAsia="zh-CN"/>
              </w:rPr>
              <w:t xml:space="preserve"> </w:t>
            </w:r>
            <w:r w:rsidRPr="008C761D">
              <w:rPr>
                <w:rFonts w:eastAsia="MS PGothic" w:cs="Calibri"/>
                <w:sz w:val="20"/>
                <w:szCs w:val="20"/>
                <w:lang w:val="en-US" w:eastAsia="zh-CN"/>
              </w:rPr>
              <w:t>At the same time, this stability has precluded improvements to financial disclosures.</w:t>
            </w:r>
          </w:p>
          <w:p w14:paraId="158D3889" w14:textId="77777777" w:rsidR="00BB100C" w:rsidRPr="008C761D" w:rsidRDefault="00BB100C" w:rsidP="00BB100C">
            <w:pPr>
              <w:spacing w:after="120" w:line="240" w:lineRule="auto"/>
              <w:contextualSpacing/>
              <w:jc w:val="both"/>
              <w:rPr>
                <w:rFonts w:eastAsia="Times New Roman" w:cs="Calibri"/>
                <w:color w:val="202124"/>
                <w:sz w:val="20"/>
                <w:szCs w:val="20"/>
                <w:lang w:val="en-US"/>
              </w:rPr>
            </w:pPr>
            <w:r w:rsidRPr="008C761D">
              <w:rPr>
                <w:rFonts w:eastAsia="MS PGothic" w:cs="Calibri"/>
                <w:sz w:val="20"/>
                <w:szCs w:val="20"/>
                <w:lang w:val="en-US" w:eastAsia="zh-CN"/>
              </w:rPr>
              <w:t xml:space="preserve">There is no consolidated information on assets and liabilities for the central government, </w:t>
            </w:r>
            <w:r w:rsidRPr="008C761D">
              <w:rPr>
                <w:rFonts w:eastAsia="MS PGothic" w:cs="Calibri"/>
                <w:sz w:val="20"/>
                <w:szCs w:val="20"/>
                <w:lang w:val="en-US" w:eastAsia="zh-CN"/>
              </w:rPr>
              <w:lastRenderedPageBreak/>
              <w:t>although the information is available from the Central Registry.</w:t>
            </w:r>
            <w:r w:rsidRPr="008C761D">
              <w:rPr>
                <w:rFonts w:eastAsia="MS PGothic" w:cs="Calibri"/>
                <w:color w:val="202124"/>
                <w:sz w:val="20"/>
                <w:szCs w:val="20"/>
                <w:lang w:val="en-US" w:eastAsia="zh-CN"/>
              </w:rPr>
              <w:t xml:space="preserve">  (PI-12).</w:t>
            </w:r>
          </w:p>
          <w:p w14:paraId="65BE8D8C" w14:textId="77777777" w:rsidR="00BB100C" w:rsidRPr="008C761D" w:rsidRDefault="00BB100C" w:rsidP="00BB100C">
            <w:pPr>
              <w:spacing w:after="120" w:line="240" w:lineRule="auto"/>
              <w:contextualSpacing/>
              <w:jc w:val="both"/>
              <w:rPr>
                <w:rFonts w:eastAsia="Times New Roman" w:cs="Calibri"/>
                <w:color w:val="202124"/>
                <w:sz w:val="20"/>
                <w:szCs w:val="20"/>
                <w:lang w:val="en-US"/>
              </w:rPr>
            </w:pPr>
            <w:r w:rsidRPr="008C761D">
              <w:rPr>
                <w:rFonts w:eastAsia="MS PGothic" w:cs="Calibri"/>
                <w:color w:val="202124"/>
                <w:sz w:val="20"/>
                <w:szCs w:val="20"/>
                <w:lang w:val="en-US" w:eastAsia="zh-CN"/>
              </w:rPr>
              <w:t xml:space="preserve">The accounting standards used are not disclosed in the financial </w:t>
            </w:r>
            <w:proofErr w:type="gramStart"/>
            <w:r w:rsidRPr="008C761D">
              <w:rPr>
                <w:rFonts w:eastAsia="MS PGothic" w:cs="Calibri"/>
                <w:color w:val="202124"/>
                <w:sz w:val="20"/>
                <w:szCs w:val="20"/>
                <w:lang w:val="en-US" w:eastAsia="zh-CN"/>
              </w:rPr>
              <w:t>statements.</w:t>
            </w:r>
            <w:r w:rsidRPr="008C761D">
              <w:rPr>
                <w:rFonts w:eastAsia="MS PGothic" w:cs="Calibri"/>
                <w:sz w:val="20"/>
                <w:szCs w:val="20"/>
                <w:lang w:val="en-US" w:eastAsia="zh-CN"/>
              </w:rPr>
              <w:t>No</w:t>
            </w:r>
            <w:proofErr w:type="gramEnd"/>
            <w:r w:rsidRPr="008C761D">
              <w:rPr>
                <w:rFonts w:eastAsia="MS PGothic" w:cs="Calibri"/>
                <w:sz w:val="20"/>
                <w:szCs w:val="20"/>
                <w:lang w:val="en-US" w:eastAsia="zh-CN"/>
              </w:rPr>
              <w:t xml:space="preserve"> (voluntary) notes on accounting policies used.</w:t>
            </w:r>
            <w:r w:rsidRPr="008C761D">
              <w:rPr>
                <w:rFonts w:eastAsia="Times New Roman" w:cs="Calibri"/>
                <w:color w:val="202124"/>
                <w:sz w:val="20"/>
                <w:szCs w:val="20"/>
                <w:lang w:val="en-US"/>
              </w:rPr>
              <w:t> (PI-29).</w:t>
            </w:r>
          </w:p>
        </w:tc>
      </w:tr>
    </w:tbl>
    <w:p w14:paraId="45453CA6"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 xml:space="preserve">Context/Background  </w:t>
      </w:r>
    </w:p>
    <w:p w14:paraId="0C34846D" w14:textId="0788C97C" w:rsidR="00BC5453" w:rsidRPr="008C761D" w:rsidRDefault="00BC5453" w:rsidP="00BC5453">
      <w:pPr>
        <w:spacing w:before="80" w:after="80" w:line="240" w:lineRule="auto"/>
        <w:jc w:val="both"/>
        <w:rPr>
          <w:rFonts w:eastAsia="Times New Roman" w:cs="Calibri"/>
          <w:color w:val="202124"/>
          <w:lang w:val="en-US"/>
        </w:rPr>
      </w:pPr>
      <w:r w:rsidRPr="008C761D">
        <w:rPr>
          <w:rFonts w:eastAsia="MS PGothic" w:cs="Calibri"/>
          <w:lang w:val="en-US" w:eastAsia="zh-CN"/>
        </w:rPr>
        <w:t>In order to strengthen the budget institution’s accounting, its necessary to adopt Strategy for Improvement of Budget Institutions’ Accounting</w:t>
      </w:r>
      <w:r w:rsidR="00F50612">
        <w:rPr>
          <w:rFonts w:eastAsia="MS PGothic" w:cs="Calibri"/>
          <w:lang w:val="en-US" w:eastAsia="zh-CN"/>
        </w:rPr>
        <w:t xml:space="preserve"> </w:t>
      </w:r>
      <w:r w:rsidRPr="008C761D">
        <w:rPr>
          <w:rFonts w:eastAsia="MS PGothic" w:cs="Calibri"/>
          <w:lang w:val="en-US" w:eastAsia="zh-CN"/>
        </w:rPr>
        <w:t>which will give strategic guidelines for improving the b</w:t>
      </w:r>
      <w:r w:rsidR="00F50612">
        <w:rPr>
          <w:rFonts w:eastAsia="MS PGothic" w:cs="Calibri"/>
          <w:lang w:val="en-US" w:eastAsia="zh-CN"/>
        </w:rPr>
        <w:t>udget institutions’s accounting</w:t>
      </w:r>
      <w:r w:rsidRPr="008C761D">
        <w:rPr>
          <w:rFonts w:eastAsia="MS PGothic" w:cs="Calibri"/>
          <w:lang w:val="en-US" w:eastAsia="zh-CN"/>
        </w:rPr>
        <w:t>.</w:t>
      </w:r>
      <w:r w:rsidR="00F50612">
        <w:rPr>
          <w:rFonts w:eastAsia="MS PGothic" w:cs="Calibri"/>
          <w:lang w:val="en-US" w:eastAsia="zh-CN"/>
        </w:rPr>
        <w:t xml:space="preserve"> </w:t>
      </w:r>
      <w:r w:rsidRPr="008C761D">
        <w:rPr>
          <w:rFonts w:eastAsia="MS PGothic" w:cs="Calibri"/>
          <w:lang w:val="en-US" w:eastAsia="zh-CN"/>
        </w:rPr>
        <w:t xml:space="preserve">Under the Strategy, gap analysis should be conducted to identify the non-compliance of public sector accounting with the international practice, followed by determining the priorities and the objectives for introduction of </w:t>
      </w:r>
      <w:r w:rsidR="00F50612">
        <w:rPr>
          <w:rFonts w:eastAsia="MS PGothic" w:cs="Calibri"/>
          <w:lang w:val="en-US" w:eastAsia="zh-CN"/>
        </w:rPr>
        <w:t xml:space="preserve">the new </w:t>
      </w:r>
      <w:r w:rsidRPr="008C761D">
        <w:rPr>
          <w:rFonts w:eastAsia="MS PGothic" w:cs="Calibri"/>
          <w:lang w:val="en-US" w:eastAsia="zh-CN"/>
        </w:rPr>
        <w:t>accounting</w:t>
      </w:r>
      <w:r w:rsidR="00F50612">
        <w:rPr>
          <w:rFonts w:eastAsia="MS PGothic" w:cs="Calibri"/>
          <w:lang w:val="en-US" w:eastAsia="zh-CN"/>
        </w:rPr>
        <w:t xml:space="preserve"> </w:t>
      </w:r>
      <w:r w:rsidRPr="008C761D">
        <w:rPr>
          <w:rFonts w:eastAsia="MS PGothic" w:cs="Calibri"/>
          <w:lang w:val="en-US" w:eastAsia="zh-CN"/>
        </w:rPr>
        <w:t xml:space="preserve">practices, and preparing an action </w:t>
      </w:r>
      <w:r w:rsidR="00F50612">
        <w:rPr>
          <w:rFonts w:eastAsia="MS PGothic" w:cs="Calibri"/>
          <w:lang w:val="en-US" w:eastAsia="zh-CN"/>
        </w:rPr>
        <w:t>plan.</w:t>
      </w:r>
    </w:p>
    <w:p w14:paraId="55C8EE16" w14:textId="7643E344" w:rsidR="00BC5453" w:rsidRPr="008C761D" w:rsidRDefault="00BC5453" w:rsidP="00BC5453">
      <w:pPr>
        <w:spacing w:line="240" w:lineRule="auto"/>
        <w:jc w:val="both"/>
        <w:rPr>
          <w:rFonts w:eastAsia="Times New Roman" w:cs="Calibri"/>
          <w:color w:val="202124"/>
          <w:lang w:val="en-US"/>
        </w:rPr>
      </w:pPr>
      <w:r w:rsidRPr="008C761D">
        <w:rPr>
          <w:rFonts w:cs="Calibri"/>
          <w:lang w:val="en-US"/>
        </w:rPr>
        <w:t>New regulatory framework on accounting of budgets and budget users and bylaws are envisaged to be adopted after adoption of the Strategy, where specific deadlines have been determined. Such legislative changes will provide for implementing reforms in the field of budget accounting in order to</w:t>
      </w:r>
      <w:r w:rsidR="00F50612">
        <w:rPr>
          <w:rFonts w:cs="Calibri"/>
          <w:lang w:val="en-US"/>
        </w:rPr>
        <w:t xml:space="preserve"> </w:t>
      </w:r>
      <w:r w:rsidRPr="008C761D">
        <w:rPr>
          <w:rFonts w:cs="Calibri"/>
          <w:lang w:val="en-US"/>
        </w:rPr>
        <w:t>adoption of new accounting standards for financial reporting in the public sector.</w:t>
      </w:r>
    </w:p>
    <w:p w14:paraId="1862AD71" w14:textId="2CA31EEB" w:rsidR="00BC5453" w:rsidRDefault="00BC5453" w:rsidP="00BC5453">
      <w:pPr>
        <w:spacing w:line="240" w:lineRule="auto"/>
        <w:jc w:val="both"/>
        <w:rPr>
          <w:rFonts w:cs="Calibri"/>
          <w:lang w:val="en-US"/>
        </w:rPr>
      </w:pPr>
      <w:r w:rsidRPr="008C761D">
        <w:rPr>
          <w:rFonts w:cs="Calibri"/>
          <w:lang w:val="en-US"/>
        </w:rPr>
        <w:t>Budget institutions’ information systems are set in accordance with the existing manner of keeping the accounting by the budget institutions, so it will be necessary to harmonize the budget institutions</w:t>
      </w:r>
      <w:proofErr w:type="gramStart"/>
      <w:r w:rsidRPr="008C761D">
        <w:rPr>
          <w:rFonts w:cs="Calibri"/>
          <w:lang w:val="en-US"/>
        </w:rPr>
        <w:t>’  information</w:t>
      </w:r>
      <w:proofErr w:type="gramEnd"/>
      <w:r w:rsidRPr="008C761D">
        <w:rPr>
          <w:rFonts w:cs="Calibri"/>
          <w:lang w:val="en-US"/>
        </w:rPr>
        <w:t xml:space="preserve"> systems with the new accounting requirements.</w:t>
      </w:r>
    </w:p>
    <w:p w14:paraId="08E5E24F" w14:textId="18306013" w:rsidR="0089258D" w:rsidRPr="008C761D" w:rsidRDefault="0089258D" w:rsidP="00BC5453">
      <w:pPr>
        <w:spacing w:line="240" w:lineRule="auto"/>
        <w:jc w:val="both"/>
        <w:rPr>
          <w:rFonts w:eastAsia="Times New Roman" w:cs="Calibri"/>
          <w:color w:val="202124"/>
          <w:lang w:val="en-US"/>
        </w:rPr>
      </w:pPr>
      <w:r w:rsidRPr="0089258D">
        <w:rPr>
          <w:rFonts w:eastAsia="Times New Roman" w:cs="Calibri"/>
          <w:color w:val="202124"/>
          <w:lang w:val="en-US"/>
        </w:rPr>
        <w:t xml:space="preserve">The Financial System Department, which is responsible only for the legal framework in this area, will prepare amendments of the Law of Accounting of Budgets and Budget Users, providing mandatory certification for accountants in the public sector. After the adoption of the amendments to the Law, the Financial System Department in cooperation with the Public Finance Academy it will </w:t>
      </w:r>
      <w:proofErr w:type="gramStart"/>
      <w:r w:rsidRPr="0089258D">
        <w:rPr>
          <w:rFonts w:eastAsia="Times New Roman" w:cs="Calibri"/>
          <w:color w:val="202124"/>
          <w:lang w:val="en-US"/>
        </w:rPr>
        <w:t>start  organize</w:t>
      </w:r>
      <w:proofErr w:type="gramEnd"/>
      <w:r w:rsidRPr="0089258D">
        <w:rPr>
          <w:rFonts w:eastAsia="Times New Roman" w:cs="Calibri"/>
          <w:color w:val="202124"/>
          <w:lang w:val="en-US"/>
        </w:rPr>
        <w:t xml:space="preserve"> an exam for the certification of accountants in the public sector.</w:t>
      </w:r>
    </w:p>
    <w:p w14:paraId="1CA48DA9" w14:textId="77777777" w:rsidR="00BB100C" w:rsidRPr="008C761D" w:rsidRDefault="00BB100C" w:rsidP="00BB100C">
      <w:pPr>
        <w:spacing w:line="240" w:lineRule="auto"/>
        <w:jc w:val="both"/>
        <w:rPr>
          <w:rFonts w:cs="Calibri"/>
          <w:lang w:val="en-US"/>
        </w:rPr>
      </w:pPr>
      <w:r w:rsidRPr="008C761D">
        <w:rPr>
          <w:rFonts w:cs="Calibri"/>
          <w:lang w:val="en-US"/>
        </w:rPr>
        <w:t>This measure will be implemented through the following activities:</w:t>
      </w:r>
    </w:p>
    <w:p w14:paraId="496CF2FD" w14:textId="6E73E3F5" w:rsidR="001C377F" w:rsidRDefault="000D68DB"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r w:rsidRPr="002E26BE">
        <w:rPr>
          <w:rFonts w:cs="Calibri"/>
          <w:b/>
          <w:bCs/>
          <w:iCs/>
          <w:color w:val="0070C0"/>
          <w:lang w:val="en-US"/>
        </w:rPr>
        <w:t>Activity 1</w:t>
      </w:r>
      <w:r w:rsidR="001C377F" w:rsidRPr="002E26BE">
        <w:rPr>
          <w:rFonts w:cs="Calibri"/>
          <w:b/>
          <w:bCs/>
          <w:iCs/>
          <w:color w:val="0070C0"/>
          <w:lang w:val="en-US"/>
        </w:rPr>
        <w:t>:</w:t>
      </w:r>
      <w:r w:rsidRPr="002E26BE">
        <w:rPr>
          <w:rFonts w:cs="Calibri"/>
          <w:b/>
          <w:bCs/>
          <w:iCs/>
          <w:color w:val="0070C0"/>
          <w:lang w:val="en-US"/>
        </w:rPr>
        <w:t xml:space="preserve"> </w:t>
      </w:r>
      <w:r w:rsidR="007F2986" w:rsidRPr="002E26BE">
        <w:rPr>
          <w:rFonts w:cs="Calibri"/>
          <w:b/>
          <w:bCs/>
          <w:iCs/>
          <w:color w:val="0070C0"/>
          <w:lang w:val="en-US"/>
        </w:rPr>
        <w:t>Adoption a Strategy for Improvement of Budget Institutions’ Accounting with a gap analysis, setting priorities and goals and action plan;</w:t>
      </w:r>
    </w:p>
    <w:p w14:paraId="6EFD200B" w14:textId="77777777" w:rsidR="002E26BE" w:rsidRPr="002E26BE" w:rsidRDefault="002E26B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10"/>
          <w:szCs w:val="10"/>
          <w:lang w:val="en-US"/>
        </w:rPr>
      </w:pPr>
    </w:p>
    <w:p w14:paraId="099D32C5" w14:textId="1A1F9540" w:rsidR="0037730E" w:rsidRPr="00D3676F" w:rsidRDefault="001C5DAA"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r w:rsidRPr="00B52115">
        <w:rPr>
          <w:rFonts w:eastAsia="Times New Roman" w:cs="Calibri"/>
          <w:color w:val="202124"/>
          <w:lang w:val="en"/>
        </w:rPr>
        <w:t>The purpose of this activity is to adopt a Strategy with an Action Plan in which priorities, goals and clear guidelines will be given for the need to adopt new accounting practices and standards for financial reporting in the state sector.</w:t>
      </w:r>
    </w:p>
    <w:p w14:paraId="251A9B37" w14:textId="77777777" w:rsidR="0037730E" w:rsidRDefault="0037730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p>
    <w:p w14:paraId="201E56D6" w14:textId="6EB15BC6" w:rsidR="007F2986" w:rsidRDefault="001C377F"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r w:rsidRPr="00356610">
        <w:rPr>
          <w:rFonts w:cs="Calibri"/>
          <w:b/>
          <w:bCs/>
          <w:iCs/>
          <w:color w:val="0070C0"/>
          <w:lang w:val="en-US"/>
        </w:rPr>
        <w:t xml:space="preserve">Activity 2: </w:t>
      </w:r>
      <w:r w:rsidR="007F2986" w:rsidRPr="00356610">
        <w:rPr>
          <w:rFonts w:cs="Calibri"/>
          <w:b/>
          <w:bCs/>
          <w:iCs/>
          <w:color w:val="0070C0"/>
          <w:lang w:val="en-US"/>
        </w:rPr>
        <w:t xml:space="preserve">Adopting a new regulatory framework on accounting of budgets and budget users and bylaws; </w:t>
      </w:r>
    </w:p>
    <w:p w14:paraId="7E4F87F7" w14:textId="77777777" w:rsidR="002E26BE" w:rsidRPr="002E26BE" w:rsidRDefault="002E26B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10"/>
          <w:szCs w:val="10"/>
          <w:lang w:val="en-US"/>
        </w:rPr>
      </w:pPr>
    </w:p>
    <w:p w14:paraId="473DBA96" w14:textId="77777777" w:rsidR="001C5DAA" w:rsidRPr="003B008D" w:rsidRDefault="001C5DAA" w:rsidP="001C5DAA">
      <w:pPr>
        <w:tabs>
          <w:tab w:val="left" w:pos="1250"/>
        </w:tabs>
        <w:spacing w:after="0"/>
        <w:jc w:val="both"/>
        <w:rPr>
          <w:rFonts w:eastAsia="Times New Roman" w:cs="Calibri"/>
          <w:color w:val="202124"/>
          <w:lang w:val="en-US"/>
        </w:rPr>
      </w:pPr>
      <w:r w:rsidRPr="00E31365">
        <w:rPr>
          <w:rFonts w:eastAsia="Times New Roman" w:cs="Calibri"/>
          <w:lang w:val="en-US"/>
        </w:rPr>
        <w:t xml:space="preserve">The purpose of this activity is the </w:t>
      </w:r>
      <w:r>
        <w:rPr>
          <w:rFonts w:eastAsia="Times New Roman" w:cs="Calibri"/>
          <w:lang w:val="en-US"/>
        </w:rPr>
        <w:t xml:space="preserve">preparation and adoption the regulatory framework of this area </w:t>
      </w:r>
      <w:proofErr w:type="gramStart"/>
      <w:r w:rsidRPr="00E31365">
        <w:rPr>
          <w:rFonts w:eastAsia="Times New Roman" w:cs="Calibri"/>
          <w:lang w:val="en-US"/>
        </w:rPr>
        <w:t xml:space="preserve">and </w:t>
      </w:r>
      <w:r>
        <w:rPr>
          <w:rFonts w:eastAsia="Times New Roman" w:cs="Calibri"/>
          <w:lang w:val="en-US"/>
        </w:rPr>
        <w:t xml:space="preserve"> the</w:t>
      </w:r>
      <w:proofErr w:type="gramEnd"/>
      <w:r>
        <w:rPr>
          <w:rFonts w:eastAsia="Times New Roman" w:cs="Calibri"/>
          <w:lang w:val="en-US"/>
        </w:rPr>
        <w:t xml:space="preserve"> activity </w:t>
      </w:r>
      <w:r w:rsidRPr="00E31365">
        <w:rPr>
          <w:rFonts w:eastAsia="Times New Roman" w:cs="Calibri"/>
          <w:lang w:val="en-US"/>
        </w:rPr>
        <w:t xml:space="preserve"> will begin</w:t>
      </w:r>
      <w:r>
        <w:rPr>
          <w:rFonts w:eastAsia="Times New Roman" w:cs="Calibri"/>
          <w:lang w:val="en-US"/>
        </w:rPr>
        <w:t xml:space="preserve"> after the adoption </w:t>
      </w:r>
      <w:r w:rsidRPr="00E31365">
        <w:rPr>
          <w:rFonts w:eastAsia="Times New Roman" w:cs="Calibri"/>
          <w:lang w:val="en-US"/>
        </w:rPr>
        <w:t>of the Strategy</w:t>
      </w:r>
    </w:p>
    <w:p w14:paraId="6323C425" w14:textId="77777777" w:rsidR="001C377F" w:rsidRPr="00356610" w:rsidRDefault="001C377F"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24"/>
          <w:szCs w:val="24"/>
          <w:lang w:val="en-US"/>
        </w:rPr>
      </w:pPr>
    </w:p>
    <w:p w14:paraId="284DEE62" w14:textId="03E14479" w:rsidR="00BB100C" w:rsidRDefault="001C377F"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r w:rsidRPr="002E26BE">
        <w:rPr>
          <w:rFonts w:cs="Calibri"/>
          <w:b/>
          <w:bCs/>
          <w:iCs/>
          <w:color w:val="0070C0"/>
          <w:lang w:val="en-US"/>
        </w:rPr>
        <w:t>Activity 3:</w:t>
      </w:r>
      <w:r w:rsidR="002E26BE">
        <w:rPr>
          <w:rFonts w:cs="Calibri"/>
          <w:b/>
          <w:bCs/>
          <w:iCs/>
          <w:color w:val="0070C0"/>
          <w:lang w:val="en-US"/>
        </w:rPr>
        <w:t xml:space="preserve"> </w:t>
      </w:r>
      <w:r w:rsidR="007F2986" w:rsidRPr="002E26BE">
        <w:rPr>
          <w:rFonts w:cs="Calibri"/>
          <w:b/>
          <w:bCs/>
          <w:iCs/>
          <w:color w:val="0070C0"/>
          <w:lang w:val="en-US"/>
        </w:rPr>
        <w:t>Harmonizing budget information systems and budget users with the new accounting requirements</w:t>
      </w:r>
      <w:r w:rsidR="00BB100C" w:rsidRPr="002E26BE">
        <w:rPr>
          <w:rFonts w:cs="Calibri"/>
          <w:b/>
          <w:bCs/>
          <w:iCs/>
          <w:color w:val="0070C0"/>
          <w:lang w:val="en-US"/>
        </w:rPr>
        <w:t>.</w:t>
      </w:r>
    </w:p>
    <w:p w14:paraId="740C8B74" w14:textId="77777777" w:rsidR="002E26BE" w:rsidRPr="002E26BE" w:rsidRDefault="002E26B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10"/>
          <w:szCs w:val="10"/>
          <w:lang w:val="en-US"/>
        </w:rPr>
      </w:pPr>
    </w:p>
    <w:p w14:paraId="5ACA7E58" w14:textId="12E282EF" w:rsidR="00356610" w:rsidRDefault="001C5DAA" w:rsidP="002E26BE">
      <w:pPr>
        <w:tabs>
          <w:tab w:val="left" w:pos="1250"/>
        </w:tabs>
        <w:spacing w:after="0"/>
        <w:jc w:val="both"/>
        <w:rPr>
          <w:rFonts w:eastAsia="Times New Roman" w:cs="Calibri"/>
          <w:color w:val="202124"/>
          <w:lang w:val="en-US"/>
        </w:rPr>
      </w:pPr>
      <w:r w:rsidRPr="003B008D">
        <w:rPr>
          <w:rFonts w:eastAsia="Times New Roman" w:cs="Calibri"/>
          <w:color w:val="202124"/>
          <w:lang w:val="en-US"/>
        </w:rPr>
        <w:t xml:space="preserve">This Activity will follow after the adoption of the new regulatory framework with which budget users will have obligation </w:t>
      </w:r>
      <w:proofErr w:type="gramStart"/>
      <w:r w:rsidRPr="003B008D">
        <w:rPr>
          <w:rFonts w:eastAsia="Times New Roman" w:cs="Calibri"/>
          <w:color w:val="202124"/>
          <w:lang w:val="en-US"/>
        </w:rPr>
        <w:t>to  adjust</w:t>
      </w:r>
      <w:proofErr w:type="gramEnd"/>
      <w:r w:rsidRPr="003B008D">
        <w:rPr>
          <w:rFonts w:eastAsia="Times New Roman" w:cs="Calibri"/>
          <w:color w:val="202124"/>
          <w:lang w:val="en-US"/>
        </w:rPr>
        <w:t xml:space="preserve"> their budget information systems with the new practices and standards.</w:t>
      </w:r>
    </w:p>
    <w:p w14:paraId="595F77E8" w14:textId="6D4BAD4C" w:rsidR="0089258D" w:rsidRDefault="0089258D" w:rsidP="00892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r w:rsidRPr="0089258D">
        <w:rPr>
          <w:rFonts w:cs="Calibri"/>
          <w:b/>
          <w:bCs/>
          <w:iCs/>
          <w:color w:val="0070C0"/>
          <w:lang w:val="en-US"/>
        </w:rPr>
        <w:t>Activity 4: Training and examination for accountants in the public sector</w:t>
      </w:r>
    </w:p>
    <w:p w14:paraId="0B443B9E" w14:textId="77777777" w:rsidR="0089258D" w:rsidRPr="0089258D" w:rsidRDefault="0089258D" w:rsidP="00892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US"/>
        </w:rPr>
      </w:pPr>
    </w:p>
    <w:p w14:paraId="16C5CFFC" w14:textId="3E87E050" w:rsidR="0089258D" w:rsidRPr="002E26BE" w:rsidRDefault="0089258D" w:rsidP="0089258D">
      <w:pPr>
        <w:tabs>
          <w:tab w:val="left" w:pos="1250"/>
        </w:tabs>
        <w:spacing w:after="0"/>
        <w:jc w:val="both"/>
        <w:rPr>
          <w:rFonts w:eastAsia="Times New Roman" w:cs="Calibri"/>
          <w:color w:val="202124"/>
          <w:lang w:val="en-US"/>
        </w:rPr>
      </w:pPr>
      <w:r w:rsidRPr="0089258D">
        <w:rPr>
          <w:rFonts w:eastAsia="Times New Roman" w:cs="Calibri"/>
          <w:color w:val="202124"/>
          <w:lang w:val="en-US"/>
        </w:rPr>
        <w:t>This Activity will follow after the adoption of the Amendments of the Law of accounting of budgets and budget users. Financial System Department in cooperation with Public Finance Academy will provide training and exam for certification of accountants in the the public sector.</w:t>
      </w:r>
    </w:p>
    <w:p w14:paraId="50BEF014" w14:textId="77777777" w:rsidR="00BB100C" w:rsidRPr="008C761D" w:rsidRDefault="00BB100C" w:rsidP="00BB100C">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BB100C" w:rsidRPr="008C761D" w14:paraId="537F473D" w14:textId="77777777" w:rsidTr="000147DA">
        <w:tc>
          <w:tcPr>
            <w:tcW w:w="2518" w:type="dxa"/>
            <w:tcBorders>
              <w:top w:val="nil"/>
              <w:bottom w:val="single" w:sz="4" w:space="0" w:color="FFFFFF"/>
            </w:tcBorders>
            <w:shd w:val="clear" w:color="auto" w:fill="2F5496"/>
          </w:tcPr>
          <w:p w14:paraId="480D1E3C" w14:textId="77777777" w:rsidR="00BB100C" w:rsidRPr="008C761D" w:rsidRDefault="00BB100C" w:rsidP="00BB100C">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Completed in year:</w:t>
            </w:r>
            <w:r w:rsidRPr="008C761D">
              <w:rPr>
                <w:rFonts w:eastAsia="Times New Roman" w:cs="Calibri"/>
                <w:b/>
                <w:color w:val="FFFFFF"/>
                <w:sz w:val="20"/>
                <w:szCs w:val="20"/>
                <w:lang w:val="en-US"/>
              </w:rPr>
              <w:tab/>
            </w:r>
          </w:p>
        </w:tc>
        <w:tc>
          <w:tcPr>
            <w:tcW w:w="6246" w:type="dxa"/>
            <w:tcBorders>
              <w:top w:val="nil"/>
              <w:bottom w:val="single" w:sz="4" w:space="0" w:color="FFFFFF"/>
            </w:tcBorders>
            <w:shd w:val="clear" w:color="auto" w:fill="D9E2F3"/>
          </w:tcPr>
          <w:p w14:paraId="3A4DBE03" w14:textId="77777777" w:rsidR="00BB100C" w:rsidRPr="008C761D" w:rsidRDefault="00BB100C" w:rsidP="00BB100C">
            <w:pPr>
              <w:tabs>
                <w:tab w:val="left" w:pos="1526"/>
              </w:tabs>
              <w:spacing w:after="0" w:line="240" w:lineRule="auto"/>
              <w:jc w:val="both"/>
              <w:rPr>
                <w:rFonts w:eastAsia="Times New Roman" w:cs="Calibri"/>
                <w:sz w:val="20"/>
                <w:szCs w:val="20"/>
                <w:lang w:val="en-US"/>
              </w:rPr>
            </w:pPr>
            <w:r w:rsidRPr="008C761D">
              <w:rPr>
                <w:rFonts w:eastAsia="Times New Roman" w:cs="Calibri"/>
                <w:sz w:val="20"/>
                <w:szCs w:val="20"/>
                <w:lang w:val="en-US"/>
              </w:rPr>
              <w:t>202</w:t>
            </w:r>
            <w:r w:rsidR="00BC5453" w:rsidRPr="008C761D">
              <w:rPr>
                <w:rFonts w:eastAsia="Times New Roman" w:cs="Calibri"/>
                <w:sz w:val="20"/>
                <w:szCs w:val="20"/>
                <w:lang w:val="en-US"/>
              </w:rPr>
              <w:t>7</w:t>
            </w:r>
          </w:p>
        </w:tc>
      </w:tr>
      <w:tr w:rsidR="00BB100C" w:rsidRPr="008C761D" w14:paraId="5895BE02" w14:textId="77777777" w:rsidTr="000147DA">
        <w:tc>
          <w:tcPr>
            <w:tcW w:w="2518" w:type="dxa"/>
            <w:tcBorders>
              <w:top w:val="single" w:sz="4" w:space="0" w:color="FFFFFF"/>
              <w:bottom w:val="single" w:sz="4" w:space="0" w:color="FFFFFF"/>
            </w:tcBorders>
            <w:shd w:val="clear" w:color="auto" w:fill="2F5496"/>
          </w:tcPr>
          <w:p w14:paraId="54DCDA4F" w14:textId="77777777" w:rsidR="00BB100C" w:rsidRPr="008C761D" w:rsidRDefault="00BB100C" w:rsidP="00BB100C">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7AFD8CC" w14:textId="77777777" w:rsidR="00BB100C" w:rsidRPr="008C761D" w:rsidRDefault="00BB100C" w:rsidP="002E26BE">
            <w:pPr>
              <w:numPr>
                <w:ilvl w:val="0"/>
                <w:numId w:val="49"/>
              </w:numPr>
              <w:spacing w:after="60" w:line="240" w:lineRule="auto"/>
              <w:ind w:left="183" w:hanging="180"/>
              <w:jc w:val="both"/>
              <w:rPr>
                <w:sz w:val="20"/>
                <w:szCs w:val="20"/>
                <w:lang w:val="en-US"/>
              </w:rPr>
            </w:pPr>
            <w:r w:rsidRPr="008C761D">
              <w:rPr>
                <w:sz w:val="20"/>
                <w:szCs w:val="20"/>
                <w:lang w:val="en-US"/>
              </w:rPr>
              <w:t>Adopted Strategy for Improvement of Budget Institutions’ Accounting;</w:t>
            </w:r>
          </w:p>
          <w:p w14:paraId="701CEA9D" w14:textId="77777777" w:rsidR="00BB100C" w:rsidRPr="008C761D" w:rsidRDefault="00BB100C" w:rsidP="002E26BE">
            <w:pPr>
              <w:numPr>
                <w:ilvl w:val="0"/>
                <w:numId w:val="49"/>
              </w:numPr>
              <w:spacing w:after="60" w:line="240" w:lineRule="auto"/>
              <w:ind w:left="183" w:hanging="180"/>
              <w:jc w:val="both"/>
              <w:rPr>
                <w:sz w:val="20"/>
                <w:szCs w:val="20"/>
                <w:lang w:val="en-US"/>
              </w:rPr>
            </w:pPr>
            <w:r w:rsidRPr="008C761D">
              <w:rPr>
                <w:sz w:val="20"/>
                <w:szCs w:val="20"/>
                <w:lang w:val="en-US"/>
              </w:rPr>
              <w:t>Adopted new regulatory framework on accounting of budgets and budget users and bylaws arising from the respective law;</w:t>
            </w:r>
          </w:p>
          <w:p w14:paraId="20618771" w14:textId="77777777" w:rsidR="00BB100C" w:rsidRPr="008C761D" w:rsidRDefault="00BB100C" w:rsidP="002E26BE">
            <w:pPr>
              <w:numPr>
                <w:ilvl w:val="0"/>
                <w:numId w:val="49"/>
              </w:numPr>
              <w:spacing w:after="60" w:line="240" w:lineRule="auto"/>
              <w:ind w:left="183" w:hanging="180"/>
              <w:jc w:val="both"/>
              <w:rPr>
                <w:sz w:val="20"/>
                <w:szCs w:val="20"/>
                <w:lang w:val="en-US"/>
              </w:rPr>
            </w:pPr>
            <w:r w:rsidRPr="008C761D">
              <w:rPr>
                <w:sz w:val="20"/>
                <w:szCs w:val="20"/>
                <w:lang w:val="en-US"/>
              </w:rPr>
              <w:t>Harmonized budget institutions’ information systems with the new accounting requirements.</w:t>
            </w:r>
          </w:p>
        </w:tc>
      </w:tr>
      <w:tr w:rsidR="00BB100C" w:rsidRPr="008C761D" w14:paraId="308503D9" w14:textId="77777777" w:rsidTr="000147DA">
        <w:tc>
          <w:tcPr>
            <w:tcW w:w="2518" w:type="dxa"/>
            <w:tcBorders>
              <w:top w:val="single" w:sz="4" w:space="0" w:color="FFFFFF"/>
              <w:bottom w:val="single" w:sz="4" w:space="0" w:color="FFFFFF"/>
            </w:tcBorders>
            <w:shd w:val="clear" w:color="auto" w:fill="2F5496"/>
          </w:tcPr>
          <w:p w14:paraId="03A74944" w14:textId="77777777" w:rsidR="00BB100C" w:rsidRPr="008C761D" w:rsidRDefault="00BB100C" w:rsidP="00BB100C">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Cost implications:</w:t>
            </w:r>
            <w:r w:rsidRPr="008C761D">
              <w:rPr>
                <w:rFonts w:eastAsia="Times New Roman" w:cs="Calibri"/>
                <w:b/>
                <w:color w:val="FFFFFF"/>
                <w:sz w:val="20"/>
                <w:szCs w:val="20"/>
                <w:lang w:val="en-US"/>
              </w:rPr>
              <w:tab/>
            </w:r>
          </w:p>
        </w:tc>
        <w:tc>
          <w:tcPr>
            <w:tcW w:w="6246" w:type="dxa"/>
            <w:tcBorders>
              <w:top w:val="single" w:sz="4" w:space="0" w:color="FFFFFF"/>
              <w:bottom w:val="single" w:sz="4" w:space="0" w:color="FFFFFF"/>
            </w:tcBorders>
            <w:shd w:val="clear" w:color="auto" w:fill="D9E2F3"/>
          </w:tcPr>
          <w:p w14:paraId="43B276D1" w14:textId="2D2A0B73" w:rsidR="00BB100C" w:rsidRPr="008C761D" w:rsidRDefault="00BB100C" w:rsidP="00BB100C">
            <w:pPr>
              <w:tabs>
                <w:tab w:val="left" w:pos="1526"/>
              </w:tabs>
              <w:spacing w:after="0" w:line="240" w:lineRule="auto"/>
              <w:jc w:val="both"/>
              <w:rPr>
                <w:rFonts w:eastAsia="Times New Roman" w:cs="Calibri"/>
                <w:sz w:val="20"/>
                <w:szCs w:val="20"/>
                <w:lang w:val="en-US"/>
              </w:rPr>
            </w:pPr>
            <w:r w:rsidRPr="008C761D">
              <w:rPr>
                <w:rFonts w:eastAsia="Times New Roman" w:cs="Calibri"/>
                <w:sz w:val="20"/>
                <w:szCs w:val="20"/>
                <w:lang w:val="en-US"/>
              </w:rPr>
              <w:t xml:space="preserve">EUR </w:t>
            </w:r>
            <w:r w:rsidR="00A21E23" w:rsidRPr="008C761D">
              <w:rPr>
                <w:rFonts w:eastAsia="Times New Roman" w:cs="Calibri"/>
                <w:sz w:val="20"/>
                <w:szCs w:val="20"/>
                <w:lang w:val="en-US"/>
              </w:rPr>
              <w:t>1</w:t>
            </w:r>
            <w:r w:rsidRPr="008C761D">
              <w:rPr>
                <w:rFonts w:eastAsia="Times New Roman" w:cs="Calibri"/>
                <w:sz w:val="20"/>
                <w:szCs w:val="20"/>
                <w:lang w:val="en-US"/>
              </w:rPr>
              <w:t>0,000</w:t>
            </w:r>
          </w:p>
        </w:tc>
      </w:tr>
      <w:tr w:rsidR="00BB100C" w:rsidRPr="008C761D" w14:paraId="7066CC8F" w14:textId="77777777" w:rsidTr="000147DA">
        <w:tc>
          <w:tcPr>
            <w:tcW w:w="2518" w:type="dxa"/>
            <w:tcBorders>
              <w:top w:val="single" w:sz="4" w:space="0" w:color="FFFFFF"/>
              <w:bottom w:val="single" w:sz="4" w:space="0" w:color="FFFFFF"/>
            </w:tcBorders>
            <w:shd w:val="clear" w:color="auto" w:fill="2F5496"/>
          </w:tcPr>
          <w:p w14:paraId="79F16017" w14:textId="77777777" w:rsidR="00BB100C" w:rsidRPr="008C761D" w:rsidRDefault="00BB100C" w:rsidP="00BB100C">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3C003E67" w14:textId="76F6524E" w:rsidR="00BB100C" w:rsidRPr="008C761D" w:rsidRDefault="00BC5453" w:rsidP="00BB100C">
            <w:pPr>
              <w:tabs>
                <w:tab w:val="left" w:pos="1526"/>
              </w:tabs>
              <w:spacing w:after="0" w:line="240" w:lineRule="auto"/>
              <w:jc w:val="both"/>
              <w:rPr>
                <w:rFonts w:eastAsia="Times New Roman" w:cs="Calibri"/>
                <w:sz w:val="20"/>
                <w:szCs w:val="20"/>
                <w:lang w:val="en-US"/>
              </w:rPr>
            </w:pPr>
            <w:r w:rsidRPr="008C761D">
              <w:rPr>
                <w:rFonts w:eastAsia="Times New Roman" w:cs="Calibri"/>
                <w:sz w:val="20"/>
                <w:szCs w:val="20"/>
                <w:lang w:val="en-US"/>
              </w:rPr>
              <w:t>Ministry of Finance -, Treasury Department, Budget Department</w:t>
            </w:r>
            <w:r w:rsidR="0089258D">
              <w:rPr>
                <w:rFonts w:eastAsia="Times New Roman" w:cs="Calibri"/>
                <w:sz w:val="20"/>
                <w:szCs w:val="20"/>
              </w:rPr>
              <w:t xml:space="preserve">, </w:t>
            </w:r>
            <w:r w:rsidR="0089258D">
              <w:rPr>
                <w:rFonts w:eastAsia="Times New Roman" w:cs="Calibri"/>
                <w:sz w:val="20"/>
                <w:szCs w:val="20"/>
                <w:lang w:val="en-US"/>
              </w:rPr>
              <w:t>Financial System Department</w:t>
            </w:r>
          </w:p>
        </w:tc>
      </w:tr>
      <w:tr w:rsidR="00BB100C" w:rsidRPr="008C761D" w14:paraId="4ECB5055" w14:textId="77777777" w:rsidTr="000147DA">
        <w:tc>
          <w:tcPr>
            <w:tcW w:w="2518" w:type="dxa"/>
            <w:tcBorders>
              <w:top w:val="single" w:sz="4" w:space="0" w:color="FFFFFF"/>
              <w:bottom w:val="nil"/>
            </w:tcBorders>
            <w:shd w:val="clear" w:color="auto" w:fill="2F5496"/>
          </w:tcPr>
          <w:p w14:paraId="32C26D4E" w14:textId="77777777" w:rsidR="00BB100C" w:rsidRPr="008C761D" w:rsidRDefault="00BB100C" w:rsidP="00BB100C">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Risk:</w:t>
            </w:r>
          </w:p>
        </w:tc>
        <w:tc>
          <w:tcPr>
            <w:tcW w:w="6246" w:type="dxa"/>
            <w:tcBorders>
              <w:top w:val="single" w:sz="4" w:space="0" w:color="FFFFFF"/>
              <w:bottom w:val="nil"/>
            </w:tcBorders>
            <w:shd w:val="clear" w:color="auto" w:fill="D9E2F3"/>
          </w:tcPr>
          <w:p w14:paraId="67E81DC7" w14:textId="77777777" w:rsidR="00BB100C" w:rsidRPr="008C761D" w:rsidRDefault="00A66D36" w:rsidP="002E26BE">
            <w:pPr>
              <w:numPr>
                <w:ilvl w:val="0"/>
                <w:numId w:val="49"/>
              </w:numPr>
              <w:spacing w:after="60" w:line="240" w:lineRule="auto"/>
              <w:ind w:left="183" w:hanging="183"/>
              <w:jc w:val="both"/>
              <w:rPr>
                <w:rFonts w:eastAsia="Times New Roman" w:cs="Calibri"/>
                <w:sz w:val="20"/>
                <w:szCs w:val="20"/>
                <w:lang w:val="en-US"/>
              </w:rPr>
            </w:pPr>
            <w:r w:rsidRPr="008C761D">
              <w:rPr>
                <w:sz w:val="20"/>
                <w:szCs w:val="20"/>
                <w:lang w:val="en-US"/>
              </w:rPr>
              <w:t>Insufficient human capacities for realization of this activity</w:t>
            </w:r>
            <w:r w:rsidR="00BB100C" w:rsidRPr="008C761D">
              <w:rPr>
                <w:sz w:val="20"/>
                <w:szCs w:val="20"/>
                <w:lang w:val="en-US"/>
              </w:rPr>
              <w:t>.</w:t>
            </w:r>
          </w:p>
        </w:tc>
      </w:tr>
    </w:tbl>
    <w:p w14:paraId="68D59C13" w14:textId="77777777" w:rsidR="00BB100C" w:rsidRPr="008C761D" w:rsidRDefault="00BB100C" w:rsidP="00BB100C">
      <w:pPr>
        <w:spacing w:after="0" w:line="240" w:lineRule="auto"/>
        <w:jc w:val="both"/>
        <w:rPr>
          <w:rFonts w:cs="Calibri"/>
          <w:b/>
          <w:bCs/>
          <w:iCs/>
          <w:color w:val="0070C0"/>
          <w:sz w:val="24"/>
          <w:szCs w:val="24"/>
          <w:lang w:val="en-US"/>
        </w:rPr>
      </w:pPr>
    </w:p>
    <w:p w14:paraId="1D3EF18D" w14:textId="77777777" w:rsidR="00BB100C" w:rsidRPr="008C761D" w:rsidRDefault="00BB100C" w:rsidP="00BB100C">
      <w:pPr>
        <w:spacing w:line="240" w:lineRule="auto"/>
        <w:jc w:val="both"/>
        <w:rPr>
          <w:rFonts w:cs="Calibri"/>
          <w:b/>
          <w:color w:val="C00000"/>
          <w:lang w:val="en-US"/>
        </w:rPr>
      </w:pPr>
    </w:p>
    <w:p w14:paraId="12C55D0E" w14:textId="77777777" w:rsidR="00BB100C" w:rsidRPr="008C761D" w:rsidRDefault="00BB100C" w:rsidP="00BB100C">
      <w:pPr>
        <w:keepNext/>
        <w:spacing w:before="240" w:after="60" w:line="240" w:lineRule="auto"/>
        <w:jc w:val="both"/>
        <w:outlineLvl w:val="0"/>
        <w:rPr>
          <w:rFonts w:eastAsia="Times New Roman" w:cs="Calibri"/>
          <w:b/>
          <w:bCs/>
          <w:color w:val="000000"/>
          <w:kern w:val="32"/>
          <w:lang w:val="en-US" w:eastAsia="en-GB"/>
        </w:rPr>
      </w:pPr>
      <w:r w:rsidRPr="008C761D">
        <w:rPr>
          <w:rFonts w:eastAsia="Times New Roman" w:cs="Calibri"/>
          <w:b/>
          <w:bCs/>
          <w:color w:val="000000"/>
          <w:kern w:val="32"/>
          <w:lang w:val="en-US" w:eastAsia="en-GB"/>
        </w:rPr>
        <w:t> </w:t>
      </w:r>
    </w:p>
    <w:p w14:paraId="7A6EC431" w14:textId="3118EFE3" w:rsidR="003C20E4" w:rsidRPr="00BD26BA" w:rsidRDefault="00BB100C" w:rsidP="00CE2DF4">
      <w:pPr>
        <w:pStyle w:val="Heading1"/>
        <w:rPr>
          <w:rFonts w:ascii="Calibri" w:hAnsi="Calibri" w:cs="Calibri"/>
          <w:color w:val="2F5496"/>
          <w:lang w:val="en-US"/>
        </w:rPr>
      </w:pPr>
      <w:r w:rsidRPr="008C761D">
        <w:rPr>
          <w:rFonts w:ascii="Calibri" w:eastAsia="Calibri" w:hAnsi="Calibri"/>
          <w:b w:val="0"/>
          <w:bCs w:val="0"/>
          <w:color w:val="000000"/>
          <w:kern w:val="0"/>
          <w:sz w:val="22"/>
          <w:szCs w:val="22"/>
          <w:lang w:val="en-US" w:eastAsia="en-GB"/>
        </w:rPr>
        <w:br w:type="page"/>
      </w:r>
      <w:bookmarkStart w:id="41" w:name="_Toc160611821"/>
      <w:r w:rsidR="00522D07" w:rsidRPr="00BD26BA">
        <w:rPr>
          <w:rFonts w:ascii="Calibri" w:hAnsi="Calibri" w:cs="Calibri"/>
          <w:color w:val="2F5496"/>
          <w:lang w:val="en-US"/>
        </w:rPr>
        <w:lastRenderedPageBreak/>
        <w:t>PILLAR IV - Public procurement</w:t>
      </w:r>
      <w:bookmarkEnd w:id="41"/>
    </w:p>
    <w:p w14:paraId="06698F87" w14:textId="77777777" w:rsidR="00D144DD" w:rsidRPr="008C761D" w:rsidRDefault="00D144DD" w:rsidP="00D144DD">
      <w:pPr>
        <w:spacing w:line="240" w:lineRule="auto"/>
        <w:jc w:val="both"/>
        <w:rPr>
          <w:rFonts w:eastAsia="MS PGothic"/>
          <w:b/>
          <w:bCs/>
          <w:color w:val="4F81BD"/>
          <w:lang w:val="en-US" w:eastAsia="zh-CN"/>
        </w:rPr>
      </w:pPr>
      <w:r w:rsidRPr="008C761D">
        <w:rPr>
          <w:rFonts w:eastAsia="MS PGothic"/>
          <w:b/>
          <w:bCs/>
          <w:color w:val="4F81BD"/>
          <w:lang w:val="en-US" w:eastAsia="zh-CN"/>
        </w:rPr>
        <w:t>Intruduction</w:t>
      </w:r>
    </w:p>
    <w:p w14:paraId="1AB3EE1C" w14:textId="77777777" w:rsidR="00C5299E" w:rsidRPr="008C761D" w:rsidRDefault="00C5299E" w:rsidP="0004768C">
      <w:pPr>
        <w:spacing w:line="240" w:lineRule="auto"/>
        <w:jc w:val="both"/>
        <w:rPr>
          <w:b/>
          <w:bCs/>
          <w:lang w:val="en-US"/>
        </w:rPr>
      </w:pPr>
      <w:r w:rsidRPr="008C761D">
        <w:rPr>
          <w:lang w:val="en-US"/>
        </w:rPr>
        <w:t>Public procurement has the key role in enabling economic and societal growth and delivering quality public services to the citizens. Public procurement system has to secure that the public funds are spent in efficient, transparent, reasonable and fair manner.</w:t>
      </w:r>
    </w:p>
    <w:p w14:paraId="03C26744" w14:textId="77777777" w:rsidR="00C5299E" w:rsidRPr="008C761D" w:rsidRDefault="00C5299E" w:rsidP="0004768C">
      <w:pPr>
        <w:spacing w:line="240" w:lineRule="auto"/>
        <w:jc w:val="both"/>
        <w:rPr>
          <w:b/>
          <w:bCs/>
          <w:lang w:val="en-US"/>
        </w:rPr>
      </w:pPr>
      <w:r w:rsidRPr="008C761D">
        <w:rPr>
          <w:lang w:val="en-US"/>
        </w:rPr>
        <w:t>In 2022, the public procurement market in Republic of North Macedonia amounted to 8.6% of the country’s GDP. It represented 25% of the state budget. The proportion of the overall value of public procurement awarded to SMEs is 57%.</w:t>
      </w:r>
    </w:p>
    <w:p w14:paraId="54004CEE" w14:textId="6086E62E" w:rsidR="00C5299E" w:rsidRPr="008C761D" w:rsidRDefault="00C5299E" w:rsidP="0004768C">
      <w:pPr>
        <w:spacing w:line="240" w:lineRule="auto"/>
        <w:jc w:val="both"/>
        <w:rPr>
          <w:b/>
          <w:bCs/>
          <w:lang w:val="en-US"/>
        </w:rPr>
      </w:pPr>
      <w:r w:rsidRPr="008C761D">
        <w:rPr>
          <w:lang w:val="en-US"/>
        </w:rPr>
        <w:t>It remains crucial requirement for the country to</w:t>
      </w:r>
      <w:r w:rsidR="00F50612">
        <w:rPr>
          <w:lang w:val="en-US"/>
        </w:rPr>
        <w:t xml:space="preserve"> further improve the functionin</w:t>
      </w:r>
      <w:r w:rsidRPr="008C761D">
        <w:rPr>
          <w:lang w:val="en-US"/>
        </w:rPr>
        <w:t>g of the public procurement system aiming to secure duly implementation of the Law for public procurement (LPP) and legal consistency for all parties in the system, leading to better public finance management.</w:t>
      </w:r>
    </w:p>
    <w:p w14:paraId="2A942D44" w14:textId="5670A1F5" w:rsidR="00C5299E" w:rsidRPr="008C761D" w:rsidRDefault="00C5299E" w:rsidP="0004768C">
      <w:pPr>
        <w:spacing w:line="240" w:lineRule="auto"/>
        <w:jc w:val="both"/>
        <w:rPr>
          <w:b/>
          <w:bCs/>
          <w:lang w:val="en-US"/>
        </w:rPr>
      </w:pPr>
      <w:r w:rsidRPr="008C761D">
        <w:rPr>
          <w:lang w:val="en-US"/>
        </w:rPr>
        <w:t xml:space="preserve">Priorities within this pillar are covering the main fields of public procurement, enabling developing and monitoring of specific target measures. There are the following </w:t>
      </w:r>
      <w:r w:rsidR="00EF7030">
        <w:rPr>
          <w:lang w:val="en-US"/>
        </w:rPr>
        <w:t>two</w:t>
      </w:r>
      <w:r w:rsidRPr="008C761D">
        <w:rPr>
          <w:lang w:val="en-US"/>
        </w:rPr>
        <w:t xml:space="preserve"> priorities:</w:t>
      </w:r>
    </w:p>
    <w:p w14:paraId="11994546" w14:textId="77777777" w:rsidR="00C5299E" w:rsidRPr="008C761D" w:rsidRDefault="00C5299E" w:rsidP="00E059A9">
      <w:pPr>
        <w:pStyle w:val="ListParagraph"/>
        <w:numPr>
          <w:ilvl w:val="0"/>
          <w:numId w:val="114"/>
        </w:numPr>
        <w:spacing w:line="240" w:lineRule="auto"/>
        <w:rPr>
          <w:b/>
          <w:lang w:val="en-US"/>
        </w:rPr>
      </w:pPr>
      <w:r w:rsidRPr="008C761D">
        <w:rPr>
          <w:rFonts w:cs="Calibri"/>
          <w:b/>
          <w:color w:val="2C2825"/>
          <w:shd w:val="clear" w:color="auto" w:fill="FFFFFF"/>
          <w:lang w:val="en-US"/>
        </w:rPr>
        <w:t xml:space="preserve">Priority 1: </w:t>
      </w:r>
      <w:r w:rsidRPr="008C761D">
        <w:rPr>
          <w:b/>
          <w:bCs/>
          <w:lang w:val="en-US"/>
        </w:rPr>
        <w:t>Public procurement policy</w:t>
      </w:r>
    </w:p>
    <w:p w14:paraId="4003516A" w14:textId="02D83DEF" w:rsidR="00C5299E" w:rsidRPr="008C761D" w:rsidRDefault="00C5299E" w:rsidP="00E059A9">
      <w:pPr>
        <w:pStyle w:val="ListParagraph"/>
        <w:numPr>
          <w:ilvl w:val="0"/>
          <w:numId w:val="114"/>
        </w:numPr>
        <w:spacing w:line="240" w:lineRule="auto"/>
        <w:rPr>
          <w:b/>
          <w:bCs/>
          <w:lang w:val="en-US"/>
        </w:rPr>
      </w:pPr>
      <w:r w:rsidRPr="008C761D">
        <w:rPr>
          <w:rFonts w:cs="Calibri"/>
          <w:b/>
          <w:color w:val="2C2825"/>
          <w:shd w:val="clear" w:color="auto" w:fill="FFFFFF"/>
          <w:lang w:val="en-US"/>
        </w:rPr>
        <w:t>Priority 2:</w:t>
      </w:r>
      <w:r w:rsidRPr="008C761D">
        <w:rPr>
          <w:b/>
          <w:bCs/>
          <w:lang w:val="en-US"/>
        </w:rPr>
        <w:t xml:space="preserve"> Public private </w:t>
      </w:r>
      <w:r w:rsidR="00F50612" w:rsidRPr="008C761D">
        <w:rPr>
          <w:b/>
          <w:bCs/>
          <w:lang w:val="en-US"/>
        </w:rPr>
        <w:t>partnership and</w:t>
      </w:r>
      <w:r w:rsidR="006A55CA" w:rsidRPr="008C761D">
        <w:rPr>
          <w:b/>
          <w:bCs/>
          <w:lang w:val="en-US"/>
        </w:rPr>
        <w:t xml:space="preserve"> Concessions on goods of general interest</w:t>
      </w:r>
    </w:p>
    <w:p w14:paraId="5F133365" w14:textId="7BE9519E" w:rsidR="00912FD7" w:rsidRPr="008C761D" w:rsidRDefault="00912FD7" w:rsidP="0004768C">
      <w:pPr>
        <w:spacing w:line="240" w:lineRule="auto"/>
        <w:jc w:val="both"/>
        <w:rPr>
          <w:lang w:val="en-US"/>
        </w:rPr>
      </w:pPr>
      <w:r w:rsidRPr="008C761D">
        <w:rPr>
          <w:rFonts w:cs="Calibri"/>
          <w:b/>
          <w:color w:val="2C2825"/>
          <w:shd w:val="clear" w:color="auto" w:fill="FFFFFF"/>
          <w:lang w:val="en-US"/>
        </w:rPr>
        <w:t>Priority 1</w:t>
      </w:r>
      <w:r w:rsidRPr="008C761D">
        <w:rPr>
          <w:b/>
          <w:lang w:val="en-US"/>
        </w:rPr>
        <w:t>:</w:t>
      </w:r>
      <w:r w:rsidR="00F50612">
        <w:rPr>
          <w:b/>
          <w:lang w:val="en-US"/>
        </w:rPr>
        <w:t xml:space="preserve"> </w:t>
      </w:r>
      <w:r w:rsidR="00C5299E" w:rsidRPr="008C761D">
        <w:rPr>
          <w:b/>
          <w:lang w:val="en-US"/>
        </w:rPr>
        <w:t>Public procurement policy</w:t>
      </w:r>
    </w:p>
    <w:p w14:paraId="7EA79F1A" w14:textId="69098D16" w:rsidR="00C5299E" w:rsidRPr="008C761D" w:rsidRDefault="00912FD7" w:rsidP="0004768C">
      <w:pPr>
        <w:spacing w:line="240" w:lineRule="auto"/>
        <w:jc w:val="both"/>
        <w:rPr>
          <w:b/>
          <w:bCs/>
          <w:lang w:val="en-US"/>
        </w:rPr>
      </w:pPr>
      <w:r w:rsidRPr="008C761D">
        <w:rPr>
          <w:lang w:val="en-US"/>
        </w:rPr>
        <w:t>T</w:t>
      </w:r>
      <w:r w:rsidR="00C5299E" w:rsidRPr="008C761D">
        <w:rPr>
          <w:lang w:val="en-US"/>
        </w:rPr>
        <w:t xml:space="preserve">his priority is under the competence of Public procurement bureau </w:t>
      </w:r>
      <w:r w:rsidR="00F50612" w:rsidRPr="008C761D">
        <w:rPr>
          <w:lang w:val="en-US"/>
        </w:rPr>
        <w:t>and State</w:t>
      </w:r>
      <w:r w:rsidR="00C5299E" w:rsidRPr="008C761D">
        <w:rPr>
          <w:lang w:val="en-US"/>
        </w:rPr>
        <w:t xml:space="preserve"> appeals commission. It is focused on developing measures for better implementation of the LPP, improved procurement process and inducing </w:t>
      </w:r>
      <w:r w:rsidR="00F50612" w:rsidRPr="008C761D">
        <w:rPr>
          <w:lang w:val="en-US"/>
        </w:rPr>
        <w:t>competition as</w:t>
      </w:r>
      <w:r w:rsidR="00C5299E" w:rsidRPr="008C761D">
        <w:rPr>
          <w:lang w:val="en-US"/>
        </w:rPr>
        <w:t xml:space="preserve"> well as making quality and sound decisions in accordance with EU public procurement law and practices.</w:t>
      </w:r>
    </w:p>
    <w:p w14:paraId="7F8F9A7C" w14:textId="351CA88A" w:rsidR="00912FD7" w:rsidRPr="008C761D" w:rsidRDefault="00912FD7" w:rsidP="0004768C">
      <w:pPr>
        <w:spacing w:line="240" w:lineRule="auto"/>
        <w:jc w:val="both"/>
        <w:rPr>
          <w:b/>
          <w:bCs/>
          <w:lang w:val="en-US"/>
        </w:rPr>
      </w:pPr>
      <w:r w:rsidRPr="008C761D">
        <w:rPr>
          <w:rFonts w:cs="Calibri"/>
          <w:b/>
          <w:color w:val="2C2825"/>
          <w:shd w:val="clear" w:color="auto" w:fill="FFFFFF"/>
          <w:lang w:val="en-US"/>
        </w:rPr>
        <w:t xml:space="preserve">Priority </w:t>
      </w:r>
      <w:r w:rsidR="00F50612" w:rsidRPr="008C761D">
        <w:rPr>
          <w:rFonts w:cs="Calibri"/>
          <w:b/>
          <w:color w:val="2C2825"/>
          <w:shd w:val="clear" w:color="auto" w:fill="FFFFFF"/>
          <w:lang w:val="en-US"/>
        </w:rPr>
        <w:t>2:</w:t>
      </w:r>
      <w:r w:rsidR="00F50612" w:rsidRPr="008C761D">
        <w:rPr>
          <w:b/>
          <w:bCs/>
          <w:lang w:val="en-US"/>
        </w:rPr>
        <w:t xml:space="preserve"> Public</w:t>
      </w:r>
      <w:r w:rsidR="00C5299E" w:rsidRPr="008C761D">
        <w:rPr>
          <w:b/>
          <w:bCs/>
          <w:lang w:val="en-US"/>
        </w:rPr>
        <w:t xml:space="preserve"> private </w:t>
      </w:r>
      <w:r w:rsidR="00F50612" w:rsidRPr="008C761D">
        <w:rPr>
          <w:b/>
          <w:bCs/>
          <w:lang w:val="en-US"/>
        </w:rPr>
        <w:t>partnership and</w:t>
      </w:r>
      <w:r w:rsidRPr="008C761D">
        <w:rPr>
          <w:b/>
          <w:bCs/>
          <w:lang w:val="en-US"/>
        </w:rPr>
        <w:t xml:space="preserve"> Concessions on goods of general interest</w:t>
      </w:r>
    </w:p>
    <w:p w14:paraId="43267292" w14:textId="3FD049B7" w:rsidR="00C5299E" w:rsidRPr="008C761D" w:rsidRDefault="00912FD7" w:rsidP="0004768C">
      <w:pPr>
        <w:spacing w:line="240" w:lineRule="auto"/>
        <w:jc w:val="both"/>
        <w:rPr>
          <w:b/>
          <w:bCs/>
          <w:lang w:val="en-US"/>
        </w:rPr>
      </w:pPr>
      <w:r w:rsidRPr="008C761D">
        <w:rPr>
          <w:bCs/>
          <w:lang w:val="en-US"/>
        </w:rPr>
        <w:t>T</w:t>
      </w:r>
      <w:r w:rsidR="00C5299E" w:rsidRPr="008C761D">
        <w:rPr>
          <w:bCs/>
          <w:lang w:val="en-US"/>
        </w:rPr>
        <w:t xml:space="preserve">his priority is under the competence of Ministry of economy and it is focused on </w:t>
      </w:r>
      <w:r w:rsidR="00F50612" w:rsidRPr="008C761D">
        <w:rPr>
          <w:bCs/>
          <w:lang w:val="en-US"/>
        </w:rPr>
        <w:t>increasing</w:t>
      </w:r>
      <w:r w:rsidR="00C5299E" w:rsidRPr="008C761D">
        <w:rPr>
          <w:bCs/>
          <w:lang w:val="en-US"/>
        </w:rPr>
        <w:t xml:space="preserve"> transparency and unified approach of all public partners in the implementation of public-private partnership projects, as well as improved quality and success in the implementation of public-private partnership projects</w:t>
      </w:r>
      <w:r w:rsidRPr="008C761D">
        <w:rPr>
          <w:b/>
          <w:bCs/>
          <w:lang w:val="en-US"/>
        </w:rPr>
        <w:t>.</w:t>
      </w:r>
    </w:p>
    <w:p w14:paraId="350617B1" w14:textId="77777777" w:rsidR="00C5299E" w:rsidRPr="008C761D" w:rsidRDefault="00C5299E" w:rsidP="00D144DD">
      <w:pPr>
        <w:spacing w:line="240" w:lineRule="auto"/>
        <w:jc w:val="both"/>
        <w:rPr>
          <w:rFonts w:eastAsia="MS PGothic"/>
          <w:b/>
          <w:bCs/>
          <w:color w:val="4F81BD"/>
          <w:lang w:val="en-US" w:eastAsia="zh-CN"/>
        </w:rPr>
      </w:pPr>
    </w:p>
    <w:p w14:paraId="45C7B42C" w14:textId="77777777" w:rsidR="00C5299E" w:rsidRPr="008C761D" w:rsidRDefault="00C5299E" w:rsidP="00D144DD">
      <w:pPr>
        <w:spacing w:line="240" w:lineRule="auto"/>
        <w:jc w:val="both"/>
        <w:rPr>
          <w:rFonts w:eastAsia="MS PGothic"/>
          <w:b/>
          <w:bCs/>
          <w:color w:val="4F81BD"/>
          <w:lang w:val="en-US" w:eastAsia="zh-CN"/>
        </w:rPr>
      </w:pPr>
    </w:p>
    <w:p w14:paraId="1957D1C8" w14:textId="77777777" w:rsidR="004718D6" w:rsidRPr="008C761D" w:rsidRDefault="004718D6" w:rsidP="004718D6">
      <w:pPr>
        <w:pStyle w:val="Heading1"/>
        <w:rPr>
          <w:rFonts w:ascii="Calibri" w:eastAsia="Calibri" w:hAnsi="Calibri"/>
          <w:b w:val="0"/>
          <w:bCs w:val="0"/>
          <w:kern w:val="0"/>
          <w:sz w:val="22"/>
          <w:szCs w:val="22"/>
          <w:lang w:val="en-US"/>
        </w:rPr>
      </w:pPr>
    </w:p>
    <w:p w14:paraId="5917984E" w14:textId="77777777" w:rsidR="004718D6" w:rsidRPr="008C761D" w:rsidRDefault="004718D6" w:rsidP="004718D6">
      <w:pPr>
        <w:pStyle w:val="Heading1"/>
        <w:rPr>
          <w:rFonts w:ascii="Calibri" w:eastAsia="Calibri" w:hAnsi="Calibri"/>
          <w:b w:val="0"/>
          <w:bCs w:val="0"/>
          <w:kern w:val="0"/>
          <w:sz w:val="22"/>
          <w:szCs w:val="22"/>
          <w:lang w:val="en-US"/>
        </w:rPr>
      </w:pPr>
    </w:p>
    <w:p w14:paraId="793AE071" w14:textId="77777777" w:rsidR="00522D07" w:rsidRPr="00BD26BA" w:rsidRDefault="00522D07" w:rsidP="00F26F49">
      <w:pPr>
        <w:pStyle w:val="Heading1"/>
        <w:rPr>
          <w:rFonts w:ascii="Calibri" w:hAnsi="Calibri" w:cs="Calibri"/>
          <w:color w:val="0070C0"/>
          <w:sz w:val="28"/>
          <w:szCs w:val="28"/>
          <w:lang w:val="en-US"/>
        </w:rPr>
      </w:pPr>
      <w:r w:rsidRPr="008C761D">
        <w:rPr>
          <w:lang w:val="en-US"/>
        </w:rPr>
        <w:br w:type="page"/>
      </w:r>
      <w:bookmarkStart w:id="42" w:name="_Toc160611822"/>
      <w:r w:rsidRPr="00BD26BA">
        <w:rPr>
          <w:rFonts w:ascii="Calibri" w:hAnsi="Calibri" w:cs="Calibri"/>
          <w:color w:val="0070C0"/>
          <w:sz w:val="28"/>
          <w:szCs w:val="28"/>
          <w:lang w:val="en-US"/>
        </w:rPr>
        <w:lastRenderedPageBreak/>
        <w:t>Priority 1: Public Procurement Policy</w:t>
      </w:r>
      <w:bookmarkEnd w:id="42"/>
    </w:p>
    <w:p w14:paraId="62C155C5" w14:textId="77777777" w:rsidR="00522D07" w:rsidRPr="008C761D" w:rsidRDefault="00522D07"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2E04572F" w14:textId="77777777" w:rsidR="004718D6" w:rsidRPr="008C761D" w:rsidRDefault="004718D6" w:rsidP="004718D6">
      <w:pPr>
        <w:spacing w:line="240" w:lineRule="auto"/>
        <w:jc w:val="both"/>
        <w:rPr>
          <w:rFonts w:cs="Calibri"/>
          <w:lang w:val="en-US"/>
        </w:rPr>
      </w:pPr>
      <w:r w:rsidRPr="008C761D">
        <w:rPr>
          <w:rFonts w:cs="Calibri"/>
          <w:lang w:val="en-US"/>
        </w:rPr>
        <w:t>The objective of the priority is strengthening the capacity of the overall public procurement system with the purpose of securing effective public procurement and aligning with the EU legislation in practice.</w:t>
      </w:r>
    </w:p>
    <w:p w14:paraId="0AF8F8CE" w14:textId="3A02255F" w:rsidR="004718D6" w:rsidRPr="008C761D" w:rsidRDefault="004718D6" w:rsidP="004718D6">
      <w:pPr>
        <w:spacing w:line="240" w:lineRule="auto"/>
        <w:jc w:val="both"/>
        <w:rPr>
          <w:rFonts w:cs="Calibri"/>
          <w:lang w:val="en-US"/>
        </w:rPr>
      </w:pPr>
      <w:r w:rsidRPr="008C761D">
        <w:rPr>
          <w:rFonts w:cs="Calibri"/>
          <w:lang w:val="en-US"/>
        </w:rPr>
        <w:t>The objective of this priority will be achieved through the following measure and activities:</w:t>
      </w:r>
    </w:p>
    <w:tbl>
      <w:tblPr>
        <w:tblW w:w="8360" w:type="dxa"/>
        <w:tblInd w:w="548" w:type="dxa"/>
        <w:tblLook w:val="01E0" w:firstRow="1" w:lastRow="1" w:firstColumn="1" w:lastColumn="1" w:noHBand="0" w:noVBand="0"/>
      </w:tblPr>
      <w:tblGrid>
        <w:gridCol w:w="1936"/>
        <w:gridCol w:w="6106"/>
        <w:gridCol w:w="318"/>
      </w:tblGrid>
      <w:tr w:rsidR="004718D6" w:rsidRPr="008C761D" w14:paraId="35F1E4C6" w14:textId="77777777" w:rsidTr="00B1410F">
        <w:tc>
          <w:tcPr>
            <w:tcW w:w="1936" w:type="dxa"/>
            <w:shd w:val="clear" w:color="auto" w:fill="auto"/>
          </w:tcPr>
          <w:p w14:paraId="0C6DB747" w14:textId="77777777" w:rsidR="004718D6" w:rsidRPr="008C761D" w:rsidRDefault="004718D6" w:rsidP="00D3676F">
            <w:pPr>
              <w:spacing w:line="240" w:lineRule="auto"/>
              <w:rPr>
                <w:rFonts w:cs="Calibri"/>
                <w:b/>
                <w:lang w:val="en-US"/>
              </w:rPr>
            </w:pPr>
            <w:r w:rsidRPr="008C761D">
              <w:rPr>
                <w:rFonts w:cs="Calibri"/>
                <w:b/>
                <w:lang w:val="en-US"/>
              </w:rPr>
              <w:t>Measure 1:</w:t>
            </w:r>
          </w:p>
        </w:tc>
        <w:tc>
          <w:tcPr>
            <w:tcW w:w="6424" w:type="dxa"/>
            <w:gridSpan w:val="2"/>
            <w:shd w:val="clear" w:color="auto" w:fill="auto"/>
          </w:tcPr>
          <w:p w14:paraId="681CDA5C" w14:textId="61FBB85C" w:rsidR="004718D6" w:rsidRPr="008C761D" w:rsidRDefault="00B1410F" w:rsidP="00A86950">
            <w:pPr>
              <w:spacing w:line="240" w:lineRule="auto"/>
              <w:jc w:val="both"/>
              <w:rPr>
                <w:rFonts w:cs="Calibri"/>
                <w:b/>
                <w:lang w:val="en-US"/>
              </w:rPr>
            </w:pPr>
            <w:r w:rsidRPr="006F3B06">
              <w:rPr>
                <w:rFonts w:cs="Calibri"/>
                <w:b/>
                <w:lang w:val="en-US"/>
              </w:rPr>
              <w:t>Improving the cooperation among the key institutions in the public procurement system</w:t>
            </w:r>
          </w:p>
        </w:tc>
      </w:tr>
      <w:tr w:rsidR="004718D6" w:rsidRPr="008C761D" w14:paraId="677097E1" w14:textId="77777777" w:rsidTr="00B1410F">
        <w:tc>
          <w:tcPr>
            <w:tcW w:w="1936" w:type="dxa"/>
            <w:shd w:val="clear" w:color="auto" w:fill="auto"/>
          </w:tcPr>
          <w:p w14:paraId="1BE2423E" w14:textId="4CD8DB64" w:rsidR="004718D6" w:rsidRPr="008C761D" w:rsidRDefault="004718D6" w:rsidP="00D3676F">
            <w:pPr>
              <w:spacing w:line="240" w:lineRule="auto"/>
              <w:rPr>
                <w:rFonts w:cs="Calibri"/>
                <w:lang w:val="en-US"/>
              </w:rPr>
            </w:pPr>
            <w:r w:rsidRPr="008C761D">
              <w:rPr>
                <w:rFonts w:cs="Calibri"/>
                <w:lang w:val="en-US"/>
              </w:rPr>
              <w:t>Activity 1:</w:t>
            </w:r>
          </w:p>
        </w:tc>
        <w:tc>
          <w:tcPr>
            <w:tcW w:w="6424" w:type="dxa"/>
            <w:gridSpan w:val="2"/>
            <w:shd w:val="clear" w:color="auto" w:fill="auto"/>
          </w:tcPr>
          <w:p w14:paraId="521414D9" w14:textId="4E6985C1" w:rsidR="004718D6" w:rsidRPr="008C761D" w:rsidRDefault="00B1410F" w:rsidP="00A86950">
            <w:pPr>
              <w:spacing w:line="240" w:lineRule="auto"/>
              <w:jc w:val="both"/>
              <w:rPr>
                <w:rFonts w:cs="Calibri"/>
                <w:lang w:val="en-US"/>
              </w:rPr>
            </w:pPr>
            <w:r w:rsidRPr="006F3B06">
              <w:rPr>
                <w:rFonts w:cs="Calibri"/>
                <w:lang w:val="en-US"/>
              </w:rPr>
              <w:t>Regular communication and coordination of Advisory group of the key institutions in the procurement system</w:t>
            </w:r>
            <w:r w:rsidRPr="008C761D">
              <w:rPr>
                <w:rFonts w:cs="Calibri"/>
                <w:lang w:val="en-US"/>
              </w:rPr>
              <w:t>;</w:t>
            </w:r>
          </w:p>
        </w:tc>
      </w:tr>
      <w:tr w:rsidR="004718D6" w:rsidRPr="008C761D" w14:paraId="234DABC3" w14:textId="77777777" w:rsidTr="00B1410F">
        <w:tc>
          <w:tcPr>
            <w:tcW w:w="1936" w:type="dxa"/>
            <w:shd w:val="clear" w:color="auto" w:fill="auto"/>
          </w:tcPr>
          <w:p w14:paraId="657F84C7" w14:textId="4E6E60E9" w:rsidR="004718D6" w:rsidRPr="00B1410F" w:rsidRDefault="00B1410F" w:rsidP="00D3676F">
            <w:pPr>
              <w:spacing w:line="240" w:lineRule="auto"/>
              <w:rPr>
                <w:rFonts w:cs="Calibri"/>
              </w:rPr>
            </w:pPr>
            <w:r w:rsidRPr="00B1410F">
              <w:rPr>
                <w:rFonts w:cs="Calibri"/>
                <w:b/>
                <w:lang w:val="en-US"/>
              </w:rPr>
              <w:t>Measure 2:</w:t>
            </w:r>
          </w:p>
        </w:tc>
        <w:tc>
          <w:tcPr>
            <w:tcW w:w="6424" w:type="dxa"/>
            <w:gridSpan w:val="2"/>
            <w:shd w:val="clear" w:color="auto" w:fill="auto"/>
          </w:tcPr>
          <w:p w14:paraId="6815B1AA" w14:textId="462CB4B8" w:rsidR="004718D6" w:rsidRPr="008C761D" w:rsidRDefault="006B1F2A" w:rsidP="00B1410F">
            <w:pPr>
              <w:spacing w:line="240" w:lineRule="auto"/>
              <w:jc w:val="both"/>
              <w:rPr>
                <w:rFonts w:cs="Calibri"/>
                <w:lang w:val="en-US"/>
              </w:rPr>
            </w:pPr>
            <w:r w:rsidRPr="00B1410F">
              <w:rPr>
                <w:rFonts w:cs="Calibri"/>
                <w:b/>
                <w:lang w:val="en-US"/>
              </w:rPr>
              <w:t>Combating corruption in public procurement</w:t>
            </w:r>
          </w:p>
        </w:tc>
      </w:tr>
      <w:tr w:rsidR="004718D6" w:rsidRPr="008C761D" w14:paraId="21AE94F4" w14:textId="77777777" w:rsidTr="00B1410F">
        <w:trPr>
          <w:trHeight w:val="648"/>
        </w:trPr>
        <w:tc>
          <w:tcPr>
            <w:tcW w:w="1936" w:type="dxa"/>
            <w:shd w:val="clear" w:color="auto" w:fill="auto"/>
          </w:tcPr>
          <w:p w14:paraId="5EA7B34A" w14:textId="77777777" w:rsidR="004718D6" w:rsidRDefault="004718D6" w:rsidP="00D3676F">
            <w:pPr>
              <w:spacing w:line="240" w:lineRule="auto"/>
              <w:rPr>
                <w:rFonts w:cs="Calibri"/>
                <w:lang w:val="en-US"/>
              </w:rPr>
            </w:pPr>
            <w:r w:rsidRPr="008C761D">
              <w:rPr>
                <w:rFonts w:cs="Calibri"/>
                <w:lang w:val="en-US"/>
              </w:rPr>
              <w:t xml:space="preserve">Activity </w:t>
            </w:r>
            <w:r w:rsidR="00B1410F">
              <w:rPr>
                <w:rFonts w:cs="Calibri"/>
              </w:rPr>
              <w:t>1</w:t>
            </w:r>
            <w:r w:rsidRPr="008C761D">
              <w:rPr>
                <w:rFonts w:cs="Calibri"/>
                <w:lang w:val="en-US"/>
              </w:rPr>
              <w:t>:</w:t>
            </w:r>
          </w:p>
          <w:p w14:paraId="75C32BFB" w14:textId="6640D49E" w:rsidR="00B1410F" w:rsidRPr="00B1410F" w:rsidRDefault="00B1410F" w:rsidP="00D3676F">
            <w:pPr>
              <w:spacing w:line="240" w:lineRule="auto"/>
              <w:rPr>
                <w:rFonts w:cs="Calibri"/>
                <w:sz w:val="10"/>
                <w:szCs w:val="10"/>
                <w:lang w:val="en-US"/>
              </w:rPr>
            </w:pPr>
          </w:p>
        </w:tc>
        <w:tc>
          <w:tcPr>
            <w:tcW w:w="6424" w:type="dxa"/>
            <w:gridSpan w:val="2"/>
            <w:shd w:val="clear" w:color="auto" w:fill="auto"/>
          </w:tcPr>
          <w:p w14:paraId="5B7B3BB6" w14:textId="76E4D90D" w:rsidR="004718D6" w:rsidRPr="008C761D" w:rsidRDefault="00B1410F" w:rsidP="00A86950">
            <w:pPr>
              <w:spacing w:after="0" w:line="240" w:lineRule="auto"/>
              <w:jc w:val="both"/>
              <w:rPr>
                <w:rFonts w:cs="Calibri"/>
                <w:lang w:val="en-US"/>
              </w:rPr>
            </w:pPr>
            <w:r w:rsidRPr="006F3B06">
              <w:rPr>
                <w:rFonts w:cs="Calibri"/>
                <w:lang w:val="en-US"/>
              </w:rPr>
              <w:t>Introducing documents for strengthening the integrity of the procurement process;</w:t>
            </w:r>
          </w:p>
        </w:tc>
      </w:tr>
      <w:tr w:rsidR="00B1410F" w:rsidRPr="008C761D" w14:paraId="74C50E15" w14:textId="77777777" w:rsidTr="00B1410F">
        <w:trPr>
          <w:gridAfter w:val="1"/>
          <w:wAfter w:w="318" w:type="dxa"/>
          <w:trHeight w:val="66"/>
        </w:trPr>
        <w:tc>
          <w:tcPr>
            <w:tcW w:w="1936" w:type="dxa"/>
            <w:shd w:val="clear" w:color="auto" w:fill="auto"/>
          </w:tcPr>
          <w:p w14:paraId="3177BDB3" w14:textId="59B539FE" w:rsidR="00B1410F" w:rsidRDefault="00B1410F" w:rsidP="00D3676F">
            <w:pPr>
              <w:spacing w:line="240" w:lineRule="auto"/>
              <w:rPr>
                <w:rFonts w:cs="Calibri"/>
                <w:lang w:val="en-US"/>
              </w:rPr>
            </w:pPr>
            <w:r w:rsidRPr="008C761D">
              <w:rPr>
                <w:rFonts w:cs="Calibri"/>
                <w:b/>
                <w:lang w:val="en-US"/>
              </w:rPr>
              <w:t>Measur</w:t>
            </w:r>
            <w:r w:rsidRPr="006F3B06">
              <w:rPr>
                <w:rFonts w:cs="Calibri"/>
                <w:b/>
                <w:lang w:val="en-US"/>
              </w:rPr>
              <w:t>e 3</w:t>
            </w:r>
            <w:r w:rsidRPr="008C761D">
              <w:rPr>
                <w:rFonts w:cs="Calibri"/>
                <w:lang w:val="en-US"/>
              </w:rPr>
              <w:t>:</w:t>
            </w:r>
          </w:p>
          <w:p w14:paraId="348D811D" w14:textId="6BEE911A" w:rsidR="00B1410F" w:rsidRPr="00B1410F" w:rsidRDefault="00B1410F" w:rsidP="00D3676F">
            <w:pPr>
              <w:spacing w:line="240" w:lineRule="auto"/>
              <w:rPr>
                <w:rFonts w:cs="Calibri"/>
              </w:rPr>
            </w:pPr>
            <w:r w:rsidRPr="006F3B06">
              <w:rPr>
                <w:rFonts w:cs="Calibri"/>
                <w:lang w:val="en-US"/>
              </w:rPr>
              <w:t>Activity 1:</w:t>
            </w:r>
          </w:p>
        </w:tc>
        <w:tc>
          <w:tcPr>
            <w:tcW w:w="6106" w:type="dxa"/>
            <w:shd w:val="clear" w:color="auto" w:fill="auto"/>
          </w:tcPr>
          <w:p w14:paraId="3A418A7B" w14:textId="77777777" w:rsidR="00B1410F" w:rsidRPr="006F3B06" w:rsidRDefault="00B1410F" w:rsidP="00B1410F">
            <w:pPr>
              <w:spacing w:after="0" w:line="240" w:lineRule="auto"/>
              <w:jc w:val="both"/>
              <w:rPr>
                <w:rFonts w:cs="Calibri"/>
                <w:b/>
                <w:bCs/>
                <w:lang w:val="en-US"/>
              </w:rPr>
            </w:pPr>
            <w:r w:rsidRPr="006F3B06">
              <w:rPr>
                <w:rFonts w:cs="Calibri"/>
                <w:b/>
                <w:bCs/>
                <w:lang w:val="en-US"/>
              </w:rPr>
              <w:t>Introducing new system for education within PPB</w:t>
            </w:r>
          </w:p>
          <w:p w14:paraId="7F6A6A38" w14:textId="77777777" w:rsidR="00B1410F" w:rsidRPr="00B1410F" w:rsidRDefault="00B1410F" w:rsidP="00B1410F">
            <w:pPr>
              <w:spacing w:after="0" w:line="240" w:lineRule="auto"/>
              <w:jc w:val="both"/>
              <w:rPr>
                <w:rFonts w:cs="Calibri"/>
                <w:sz w:val="20"/>
                <w:szCs w:val="20"/>
                <w:lang w:val="en-US"/>
              </w:rPr>
            </w:pPr>
          </w:p>
          <w:p w14:paraId="3079E8DF" w14:textId="77777777" w:rsidR="00B1410F" w:rsidRDefault="00B1410F" w:rsidP="00B1410F">
            <w:pPr>
              <w:spacing w:after="0" w:line="240" w:lineRule="auto"/>
              <w:jc w:val="both"/>
              <w:rPr>
                <w:rFonts w:cs="Calibri"/>
                <w:lang w:val="en-US"/>
              </w:rPr>
            </w:pPr>
            <w:r w:rsidRPr="006F3B06">
              <w:rPr>
                <w:rFonts w:cs="Calibri"/>
                <w:lang w:val="en-US"/>
              </w:rPr>
              <w:t>Revision of the education programme;</w:t>
            </w:r>
          </w:p>
          <w:p w14:paraId="339EF90C" w14:textId="77777777" w:rsidR="00B1410F" w:rsidRPr="006F3B06" w:rsidRDefault="00B1410F" w:rsidP="00B1410F">
            <w:pPr>
              <w:spacing w:after="0" w:line="240" w:lineRule="auto"/>
              <w:jc w:val="both"/>
              <w:rPr>
                <w:rFonts w:cs="Calibri"/>
                <w:lang w:val="en-US"/>
              </w:rPr>
            </w:pPr>
          </w:p>
        </w:tc>
      </w:tr>
      <w:tr w:rsidR="00B1410F" w:rsidRPr="008C761D" w14:paraId="77DB227E" w14:textId="77777777" w:rsidTr="00B1410F">
        <w:trPr>
          <w:gridAfter w:val="1"/>
          <w:wAfter w:w="318" w:type="dxa"/>
          <w:trHeight w:val="603"/>
        </w:trPr>
        <w:tc>
          <w:tcPr>
            <w:tcW w:w="1936" w:type="dxa"/>
            <w:shd w:val="clear" w:color="auto" w:fill="auto"/>
          </w:tcPr>
          <w:p w14:paraId="7C6B24F3" w14:textId="35031295" w:rsidR="00B1410F" w:rsidRPr="00B1410F" w:rsidRDefault="00B1410F" w:rsidP="00D3676F">
            <w:pPr>
              <w:spacing w:line="240" w:lineRule="auto"/>
              <w:rPr>
                <w:rFonts w:cs="Calibri"/>
                <w:lang w:val="en-US"/>
              </w:rPr>
            </w:pPr>
            <w:r w:rsidRPr="008C761D">
              <w:rPr>
                <w:rFonts w:cs="Calibri"/>
                <w:b/>
                <w:lang w:val="en-US"/>
              </w:rPr>
              <w:t>Measur</w:t>
            </w:r>
            <w:r w:rsidRPr="006F3B06">
              <w:rPr>
                <w:rFonts w:cs="Calibri"/>
                <w:b/>
                <w:lang w:val="en-US"/>
              </w:rPr>
              <w:t xml:space="preserve">e </w:t>
            </w:r>
            <w:r>
              <w:rPr>
                <w:rFonts w:cs="Calibri"/>
                <w:b/>
              </w:rPr>
              <w:t>4</w:t>
            </w:r>
            <w:r w:rsidRPr="008C761D">
              <w:rPr>
                <w:rFonts w:cs="Calibri"/>
                <w:lang w:val="en-US"/>
              </w:rPr>
              <w:t>:</w:t>
            </w:r>
          </w:p>
        </w:tc>
        <w:tc>
          <w:tcPr>
            <w:tcW w:w="6106" w:type="dxa"/>
            <w:shd w:val="clear" w:color="auto" w:fill="auto"/>
          </w:tcPr>
          <w:p w14:paraId="6D9DDE8D" w14:textId="187EA76F" w:rsidR="00B1410F" w:rsidRDefault="00B1410F" w:rsidP="00B1410F">
            <w:pPr>
              <w:spacing w:after="0" w:line="240" w:lineRule="auto"/>
              <w:jc w:val="both"/>
              <w:rPr>
                <w:rFonts w:cs="Calibri"/>
                <w:b/>
                <w:bCs/>
                <w:lang w:val="en-US"/>
              </w:rPr>
            </w:pPr>
            <w:r w:rsidRPr="006F3B06">
              <w:rPr>
                <w:rFonts w:cs="Calibri"/>
                <w:b/>
                <w:bCs/>
                <w:lang w:val="en-US"/>
              </w:rPr>
              <w:t>Increasing the administrative capacities of the SAC</w:t>
            </w:r>
          </w:p>
          <w:p w14:paraId="357580CE" w14:textId="4D16AC6A" w:rsidR="00B1410F" w:rsidRPr="006F3B06" w:rsidRDefault="00B1410F" w:rsidP="00B1410F">
            <w:pPr>
              <w:spacing w:after="0" w:line="240" w:lineRule="auto"/>
              <w:jc w:val="both"/>
              <w:rPr>
                <w:rFonts w:cs="Calibri"/>
                <w:b/>
                <w:bCs/>
                <w:lang w:val="en-US"/>
              </w:rPr>
            </w:pPr>
          </w:p>
        </w:tc>
      </w:tr>
      <w:tr w:rsidR="00B1410F" w:rsidRPr="008C761D" w14:paraId="1588733A" w14:textId="77777777" w:rsidTr="00B1410F">
        <w:trPr>
          <w:gridAfter w:val="1"/>
          <w:wAfter w:w="318" w:type="dxa"/>
          <w:trHeight w:val="297"/>
        </w:trPr>
        <w:tc>
          <w:tcPr>
            <w:tcW w:w="1936" w:type="dxa"/>
            <w:shd w:val="clear" w:color="auto" w:fill="auto"/>
          </w:tcPr>
          <w:p w14:paraId="1B964256" w14:textId="01393387" w:rsidR="00B1410F" w:rsidRPr="008C761D" w:rsidRDefault="00B1410F" w:rsidP="00D3676F">
            <w:pPr>
              <w:spacing w:line="240" w:lineRule="auto"/>
              <w:rPr>
                <w:rFonts w:cs="Calibri"/>
                <w:b/>
                <w:lang w:val="en-US"/>
              </w:rPr>
            </w:pPr>
            <w:r w:rsidRPr="006F3B06">
              <w:rPr>
                <w:rFonts w:cs="Calibri"/>
                <w:lang w:val="en-US"/>
              </w:rPr>
              <w:t>Activity 1:</w:t>
            </w:r>
          </w:p>
        </w:tc>
        <w:tc>
          <w:tcPr>
            <w:tcW w:w="6106" w:type="dxa"/>
            <w:shd w:val="clear" w:color="auto" w:fill="auto"/>
          </w:tcPr>
          <w:p w14:paraId="6E7B9177" w14:textId="4E5895BB" w:rsidR="00B1410F" w:rsidRPr="006F3B06" w:rsidRDefault="00B1410F" w:rsidP="00B1410F">
            <w:pPr>
              <w:spacing w:after="0" w:line="240" w:lineRule="auto"/>
              <w:jc w:val="both"/>
              <w:rPr>
                <w:rFonts w:cs="Calibri"/>
                <w:b/>
                <w:bCs/>
                <w:lang w:val="en-US"/>
              </w:rPr>
            </w:pPr>
            <w:r w:rsidRPr="006F3B06">
              <w:rPr>
                <w:rFonts w:cs="Calibri"/>
                <w:lang w:val="en-US"/>
              </w:rPr>
              <w:t>Increasing the number of employees in SAC;</w:t>
            </w:r>
          </w:p>
        </w:tc>
      </w:tr>
    </w:tbl>
    <w:p w14:paraId="3EBEE53D" w14:textId="77777777" w:rsidR="00522D07" w:rsidRPr="008C761D" w:rsidRDefault="00522D07"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3C6D2256" w14:textId="77777777" w:rsidR="004718D6" w:rsidRPr="008C761D" w:rsidRDefault="004718D6" w:rsidP="004718D6">
      <w:pPr>
        <w:spacing w:line="240" w:lineRule="auto"/>
        <w:jc w:val="both"/>
        <w:rPr>
          <w:rFonts w:cs="Calibri"/>
          <w:lang w:val="en-US"/>
        </w:rPr>
      </w:pPr>
      <w:r w:rsidRPr="008C761D">
        <w:rPr>
          <w:rFonts w:cs="Calibri"/>
          <w:lang w:val="en-US"/>
        </w:rPr>
        <w:t>Improved public procurement process.</w:t>
      </w:r>
    </w:p>
    <w:p w14:paraId="41CB1A87" w14:textId="77777777" w:rsidR="00522D07" w:rsidRPr="008C761D" w:rsidRDefault="00522D07"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27C58C5B" w14:textId="77777777" w:rsidR="00522D07" w:rsidRPr="008C761D" w:rsidRDefault="00522D07" w:rsidP="003A338C">
      <w:pPr>
        <w:numPr>
          <w:ilvl w:val="0"/>
          <w:numId w:val="83"/>
        </w:numPr>
        <w:spacing w:line="240" w:lineRule="auto"/>
        <w:jc w:val="both"/>
        <w:rPr>
          <w:rFonts w:cs="Calibri"/>
          <w:lang w:val="en-US"/>
        </w:rPr>
      </w:pPr>
      <w:r w:rsidRPr="008C761D">
        <w:rPr>
          <w:rFonts w:cs="Calibri"/>
          <w:lang w:val="en-US"/>
        </w:rPr>
        <w:t>Percentage of one bid tenders;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7541EA" w:rsidRPr="008C761D" w14:paraId="23724CD1" w14:textId="77777777" w:rsidTr="00356610">
        <w:trPr>
          <w:trHeight w:val="395"/>
        </w:trPr>
        <w:tc>
          <w:tcPr>
            <w:tcW w:w="4500" w:type="dxa"/>
            <w:shd w:val="clear" w:color="auto" w:fill="E8E8E8"/>
          </w:tcPr>
          <w:p w14:paraId="60A63455"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63328056"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50099FAA" w14:textId="77777777" w:rsidTr="00356610">
        <w:trPr>
          <w:trHeight w:val="278"/>
        </w:trPr>
        <w:tc>
          <w:tcPr>
            <w:tcW w:w="4500" w:type="dxa"/>
            <w:shd w:val="clear" w:color="auto" w:fill="E8E8E8"/>
          </w:tcPr>
          <w:p w14:paraId="72F9C524"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29,70%</w:t>
            </w:r>
          </w:p>
        </w:tc>
        <w:tc>
          <w:tcPr>
            <w:tcW w:w="4608" w:type="dxa"/>
            <w:shd w:val="clear" w:color="auto" w:fill="E8E8E8"/>
          </w:tcPr>
          <w:p w14:paraId="730CE066" w14:textId="77777777" w:rsidR="007541EA" w:rsidRPr="008C761D" w:rsidRDefault="00083A12" w:rsidP="00BD26BA">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26 %</w:t>
            </w:r>
          </w:p>
        </w:tc>
      </w:tr>
    </w:tbl>
    <w:p w14:paraId="3E6C198F" w14:textId="77777777" w:rsidR="00522D07" w:rsidRPr="008C761D" w:rsidRDefault="00522D07" w:rsidP="003A338C">
      <w:pPr>
        <w:numPr>
          <w:ilvl w:val="0"/>
          <w:numId w:val="83"/>
        </w:numPr>
        <w:spacing w:line="240" w:lineRule="auto"/>
        <w:jc w:val="both"/>
        <w:rPr>
          <w:rFonts w:cs="Calibri"/>
          <w:lang w:val="en-US"/>
        </w:rPr>
      </w:pPr>
      <w:r w:rsidRPr="008C761D">
        <w:rPr>
          <w:rFonts w:cs="Calibri"/>
          <w:lang w:val="en-US"/>
        </w:rPr>
        <w:t>Percentage of cancelled procedures.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7541EA" w:rsidRPr="008C761D" w14:paraId="2EF58274" w14:textId="77777777" w:rsidTr="00356610">
        <w:trPr>
          <w:trHeight w:val="395"/>
        </w:trPr>
        <w:tc>
          <w:tcPr>
            <w:tcW w:w="4500" w:type="dxa"/>
            <w:shd w:val="clear" w:color="auto" w:fill="E8E8E8"/>
          </w:tcPr>
          <w:p w14:paraId="541D69D3"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0771AC8E"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5D7CADBB" w14:textId="77777777" w:rsidTr="00356610">
        <w:trPr>
          <w:trHeight w:val="278"/>
        </w:trPr>
        <w:tc>
          <w:tcPr>
            <w:tcW w:w="4500" w:type="dxa"/>
            <w:shd w:val="clear" w:color="auto" w:fill="E8E8E8"/>
          </w:tcPr>
          <w:p w14:paraId="1B9A5ED4" w14:textId="7A6EC4B4" w:rsidR="007541EA" w:rsidRPr="008C761D" w:rsidRDefault="00083A12" w:rsidP="002B77A4">
            <w:pPr>
              <w:tabs>
                <w:tab w:val="left" w:pos="1365"/>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21,16%</w:t>
            </w:r>
          </w:p>
        </w:tc>
        <w:tc>
          <w:tcPr>
            <w:tcW w:w="4608" w:type="dxa"/>
            <w:shd w:val="clear" w:color="auto" w:fill="E8E8E8"/>
          </w:tcPr>
          <w:p w14:paraId="0C34B7D2" w14:textId="77777777" w:rsidR="007541EA" w:rsidRPr="008C761D" w:rsidRDefault="00083A1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18,5 %</w:t>
            </w:r>
          </w:p>
        </w:tc>
      </w:tr>
    </w:tbl>
    <w:p w14:paraId="13A2A899" w14:textId="77777777" w:rsidR="006B1F2A" w:rsidRPr="008C761D" w:rsidRDefault="006B1F2A" w:rsidP="006B1F2A">
      <w:pPr>
        <w:spacing w:line="240" w:lineRule="auto"/>
        <w:jc w:val="both"/>
        <w:rPr>
          <w:rFonts w:eastAsia="MS PGothic" w:cs="Calibri"/>
          <w:color w:val="000000"/>
          <w:lang w:val="en-US" w:eastAsia="zh-CN"/>
        </w:rPr>
      </w:pPr>
      <w:r w:rsidRPr="008C761D">
        <w:rPr>
          <w:rFonts w:cs="Calibri"/>
          <w:lang w:val="en-US"/>
        </w:rPr>
        <w:t xml:space="preserve">3) </w:t>
      </w:r>
      <w:r w:rsidRPr="008C761D">
        <w:rPr>
          <w:rFonts w:eastAsia="MS PGothic" w:cs="Calibri"/>
          <w:color w:val="000000"/>
          <w:lang w:val="en-US" w:eastAsia="zh-CN"/>
        </w:rPr>
        <w:t>Number of appeals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6B1F2A" w:rsidRPr="008C761D" w14:paraId="5E9896C1" w14:textId="77777777" w:rsidTr="00356610">
        <w:trPr>
          <w:trHeight w:val="395"/>
        </w:trPr>
        <w:tc>
          <w:tcPr>
            <w:tcW w:w="4500" w:type="dxa"/>
            <w:shd w:val="clear" w:color="auto" w:fill="E8E8E8"/>
          </w:tcPr>
          <w:p w14:paraId="622AC049" w14:textId="77777777" w:rsidR="006B1F2A" w:rsidRPr="008C761D" w:rsidRDefault="006B1F2A" w:rsidP="006B1F2A">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D1F8E08" w14:textId="77777777" w:rsidR="006B1F2A" w:rsidRPr="008C761D" w:rsidRDefault="006B1F2A" w:rsidP="006B1F2A">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6B1F2A" w:rsidRPr="008C761D" w14:paraId="760880E3" w14:textId="77777777" w:rsidTr="00356610">
        <w:trPr>
          <w:trHeight w:val="278"/>
        </w:trPr>
        <w:tc>
          <w:tcPr>
            <w:tcW w:w="4500" w:type="dxa"/>
            <w:shd w:val="clear" w:color="auto" w:fill="E8E8E8"/>
          </w:tcPr>
          <w:p w14:paraId="1EDC5FC1" w14:textId="2A6E1743" w:rsidR="003C20E4" w:rsidRPr="008C761D" w:rsidRDefault="006A55CA" w:rsidP="00CE2DF4">
            <w:pPr>
              <w:tabs>
                <w:tab w:val="left" w:pos="142"/>
              </w:tabs>
              <w:spacing w:line="240" w:lineRule="auto"/>
              <w:jc w:val="both"/>
              <w:rPr>
                <w:rFonts w:eastAsia="Times New Roman" w:cs="Calibri"/>
                <w:color w:val="202124"/>
                <w:sz w:val="20"/>
                <w:szCs w:val="20"/>
                <w:lang w:val="en-US"/>
              </w:rPr>
            </w:pPr>
            <w:r w:rsidRPr="008C761D">
              <w:rPr>
                <w:rFonts w:eastAsia="Times New Roman" w:cs="Arial"/>
                <w:sz w:val="20"/>
                <w:szCs w:val="20"/>
                <w:lang w:val="en-US" w:eastAsia="mk-MK"/>
              </w:rPr>
              <w:t>Total</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number</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of</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received</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complaints</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before</w:t>
            </w:r>
            <w:r w:rsidR="00E059A9" w:rsidRPr="008C761D">
              <w:rPr>
                <w:rFonts w:eastAsia="Times New Roman" w:cs="Arial"/>
                <w:sz w:val="20"/>
                <w:szCs w:val="20"/>
                <w:lang w:val="en-US" w:eastAsia="mk-MK"/>
              </w:rPr>
              <w:t xml:space="preserve"> </w:t>
            </w:r>
            <w:r w:rsidRPr="008C761D">
              <w:rPr>
                <w:rFonts w:eastAsia="Times New Roman" w:cs="Arial"/>
                <w:sz w:val="20"/>
                <w:szCs w:val="20"/>
                <w:lang w:val="en-US" w:eastAsia="mk-MK"/>
              </w:rPr>
              <w:t>the SAC - 837</w:t>
            </w:r>
          </w:p>
        </w:tc>
        <w:tc>
          <w:tcPr>
            <w:tcW w:w="4608" w:type="dxa"/>
            <w:shd w:val="clear" w:color="auto" w:fill="E8E8E8"/>
          </w:tcPr>
          <w:p w14:paraId="07522956" w14:textId="5E83E75A" w:rsidR="003C20E4" w:rsidRPr="008C761D" w:rsidRDefault="00F50612" w:rsidP="00CE2DF4">
            <w:pPr>
              <w:tabs>
                <w:tab w:val="left" w:pos="1365"/>
              </w:tabs>
              <w:spacing w:line="240" w:lineRule="auto"/>
              <w:jc w:val="both"/>
              <w:rPr>
                <w:rFonts w:eastAsia="Times New Roman" w:cs="Calibri"/>
                <w:color w:val="202124"/>
                <w:sz w:val="20"/>
                <w:szCs w:val="20"/>
                <w:lang w:val="en-US"/>
              </w:rPr>
            </w:pPr>
            <w:r w:rsidRPr="008C761D">
              <w:rPr>
                <w:rFonts w:eastAsia="Times New Roman" w:cs="Arial"/>
                <w:sz w:val="20"/>
                <w:szCs w:val="20"/>
                <w:lang w:val="en-US" w:eastAsia="mk-MK"/>
              </w:rPr>
              <w:t>Reduction by</w:t>
            </w:r>
            <w:r w:rsidR="006A55CA" w:rsidRPr="008C761D">
              <w:rPr>
                <w:rFonts w:eastAsia="Times New Roman" w:cs="Arial"/>
                <w:sz w:val="20"/>
                <w:szCs w:val="20"/>
                <w:lang w:val="en-US" w:eastAsia="mk-MK"/>
              </w:rPr>
              <w:t xml:space="preserve"> 2% </w:t>
            </w:r>
            <w:r w:rsidRPr="008C761D">
              <w:rPr>
                <w:rFonts w:eastAsia="Times New Roman" w:cs="Arial"/>
                <w:sz w:val="20"/>
                <w:szCs w:val="20"/>
                <w:lang w:val="en-US" w:eastAsia="mk-MK"/>
              </w:rPr>
              <w:t>of appeals</w:t>
            </w:r>
          </w:p>
        </w:tc>
      </w:tr>
    </w:tbl>
    <w:p w14:paraId="651712DF" w14:textId="77777777" w:rsidR="006B1F2A" w:rsidRPr="008C761D" w:rsidRDefault="006B1F2A" w:rsidP="006B1F2A">
      <w:pPr>
        <w:spacing w:line="240" w:lineRule="auto"/>
        <w:jc w:val="both"/>
        <w:rPr>
          <w:rFonts w:cs="Calibri"/>
          <w:lang w:val="en-US"/>
        </w:rPr>
      </w:pPr>
      <w:r w:rsidRPr="008C761D">
        <w:rPr>
          <w:rFonts w:eastAsia="MS PGothic" w:cs="Calibri"/>
          <w:color w:val="000000"/>
          <w:lang w:val="en-US" w:eastAsia="zh-CN"/>
        </w:rPr>
        <w:t>4) Number of appeals before both, the Administrative Court and the Higher Administrative Court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6B1F2A" w:rsidRPr="008C761D" w14:paraId="33FDF719" w14:textId="77777777" w:rsidTr="00356610">
        <w:trPr>
          <w:trHeight w:val="395"/>
        </w:trPr>
        <w:tc>
          <w:tcPr>
            <w:tcW w:w="4500" w:type="dxa"/>
            <w:shd w:val="clear" w:color="auto" w:fill="E8E8E8"/>
          </w:tcPr>
          <w:p w14:paraId="413BE40E" w14:textId="77777777" w:rsidR="006B1F2A" w:rsidRPr="008C761D" w:rsidRDefault="006B1F2A" w:rsidP="006B1F2A">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1A8CE45" w14:textId="77777777" w:rsidR="006B1F2A" w:rsidRPr="008C761D" w:rsidRDefault="006B1F2A" w:rsidP="006B1F2A">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6B1F2A" w:rsidRPr="008C761D" w14:paraId="28DA8359" w14:textId="77777777" w:rsidTr="00356610">
        <w:trPr>
          <w:trHeight w:val="278"/>
        </w:trPr>
        <w:tc>
          <w:tcPr>
            <w:tcW w:w="4500" w:type="dxa"/>
            <w:shd w:val="clear" w:color="auto" w:fill="E8E8E8"/>
          </w:tcPr>
          <w:p w14:paraId="30FD3F3E" w14:textId="1CA2BBD3" w:rsidR="006B1F2A" w:rsidRPr="008C761D" w:rsidRDefault="00212B38" w:rsidP="006B1F2A">
            <w:pPr>
              <w:tabs>
                <w:tab w:val="left" w:pos="1365"/>
              </w:tabs>
              <w:spacing w:line="240" w:lineRule="auto"/>
              <w:jc w:val="both"/>
              <w:rPr>
                <w:rFonts w:eastAsia="Times New Roman" w:cs="Calibri"/>
                <w:color w:val="202124"/>
                <w:sz w:val="20"/>
                <w:szCs w:val="20"/>
                <w:lang w:val="en-US"/>
              </w:rPr>
            </w:pPr>
            <w:r w:rsidRPr="008C761D">
              <w:rPr>
                <w:rFonts w:eastAsia="Times New Roman" w:cs="Arial"/>
                <w:sz w:val="20"/>
                <w:szCs w:val="20"/>
                <w:lang w:val="en-US" w:eastAsia="mk-MK"/>
              </w:rPr>
              <w:lastRenderedPageBreak/>
              <w:t>Lawsuits filed before the Administrative Court -10,58% Judgments of the Administrative Court - 54 Appeals before the High Administrative Court - 58</w:t>
            </w:r>
          </w:p>
        </w:tc>
        <w:tc>
          <w:tcPr>
            <w:tcW w:w="4608" w:type="dxa"/>
            <w:shd w:val="clear" w:color="auto" w:fill="E8E8E8"/>
          </w:tcPr>
          <w:p w14:paraId="7E6FFA19" w14:textId="164F9394" w:rsidR="003C20E4" w:rsidRPr="008C761D" w:rsidRDefault="006A55CA" w:rsidP="00BD26BA">
            <w:pPr>
              <w:spacing w:line="240" w:lineRule="auto"/>
              <w:jc w:val="both"/>
              <w:rPr>
                <w:rFonts w:eastAsia="Times New Roman" w:cs="Calibri"/>
                <w:color w:val="202124"/>
                <w:sz w:val="20"/>
                <w:szCs w:val="20"/>
                <w:lang w:val="en-US"/>
              </w:rPr>
            </w:pPr>
            <w:r w:rsidRPr="008C761D">
              <w:rPr>
                <w:rFonts w:eastAsia="Times New Roman" w:cs="Arial"/>
                <w:sz w:val="20"/>
                <w:szCs w:val="20"/>
                <w:lang w:val="en-US" w:eastAsia="mk-MK"/>
              </w:rPr>
              <w:t>Reduction</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by 5% of</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the</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annulled</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Decisions</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of</w:t>
            </w:r>
            <w:r w:rsidR="00212B38" w:rsidRPr="008C761D">
              <w:rPr>
                <w:rFonts w:eastAsia="Times New Roman" w:cs="Arial"/>
                <w:sz w:val="20"/>
                <w:szCs w:val="20"/>
                <w:lang w:val="en-US" w:eastAsia="mk-MK"/>
              </w:rPr>
              <w:t xml:space="preserve"> </w:t>
            </w:r>
            <w:r w:rsidRPr="008C761D">
              <w:rPr>
                <w:rFonts w:eastAsia="Times New Roman" w:cs="Arial"/>
                <w:sz w:val="20"/>
                <w:szCs w:val="20"/>
                <w:lang w:val="en-US" w:eastAsia="mk-MK"/>
              </w:rPr>
              <w:t>SAC</w:t>
            </w:r>
          </w:p>
        </w:tc>
      </w:tr>
    </w:tbl>
    <w:p w14:paraId="7A047465" w14:textId="63847354" w:rsidR="00522D07" w:rsidRPr="008C761D" w:rsidRDefault="00522D07" w:rsidP="008C761D">
      <w:pPr>
        <w:spacing w:after="0" w:line="240" w:lineRule="auto"/>
        <w:jc w:val="both"/>
        <w:rPr>
          <w:rFonts w:eastAsia="Times New Roman" w:cs="Calibri"/>
          <w:b/>
          <w:color w:val="C00000"/>
          <w:lang w:val="en-US"/>
        </w:rPr>
      </w:pPr>
      <w:r w:rsidRPr="008C761D">
        <w:rPr>
          <w:rFonts w:eastAsia="MS PGothic" w:cs="Calibri"/>
          <w:color w:val="C00000"/>
          <w:lang w:val="en-US" w:eastAsia="zh-CN"/>
        </w:rPr>
        <w:tab/>
      </w:r>
    </w:p>
    <w:p w14:paraId="7B2E3F04" w14:textId="77777777" w:rsidR="0037730E" w:rsidRDefault="0037730E" w:rsidP="00E84CD0">
      <w:pPr>
        <w:spacing w:after="0" w:line="240" w:lineRule="auto"/>
        <w:jc w:val="both"/>
        <w:rPr>
          <w:rFonts w:cs="Calibri"/>
          <w:b/>
          <w:color w:val="0070C0"/>
          <w:sz w:val="24"/>
          <w:szCs w:val="24"/>
          <w:lang w:val="en-US"/>
        </w:rPr>
      </w:pPr>
    </w:p>
    <w:p w14:paraId="64A8700B" w14:textId="77777777" w:rsidR="00B1410F" w:rsidRPr="008C761D" w:rsidRDefault="00B1410F" w:rsidP="00B1410F">
      <w:pPr>
        <w:spacing w:after="0" w:line="240" w:lineRule="auto"/>
        <w:jc w:val="both"/>
        <w:rPr>
          <w:rFonts w:cs="Calibri"/>
          <w:b/>
          <w:color w:val="0070C0"/>
          <w:sz w:val="24"/>
          <w:szCs w:val="24"/>
          <w:lang w:val="en-US"/>
        </w:rPr>
      </w:pPr>
      <w:r w:rsidRPr="00EE45D8">
        <w:rPr>
          <w:rFonts w:cs="Calibri"/>
          <w:b/>
          <w:color w:val="0070C0"/>
          <w:sz w:val="24"/>
          <w:szCs w:val="24"/>
          <w:lang w:val="en-US"/>
        </w:rPr>
        <w:t>Measure 1:</w:t>
      </w:r>
      <w:r w:rsidRPr="008C761D">
        <w:rPr>
          <w:rFonts w:cs="Calibri"/>
          <w:b/>
          <w:color w:val="0070C0"/>
          <w:sz w:val="24"/>
          <w:szCs w:val="24"/>
          <w:lang w:val="en-US"/>
        </w:rPr>
        <w:t xml:space="preserve"> </w:t>
      </w:r>
      <w:r w:rsidRPr="006F3B06">
        <w:rPr>
          <w:rFonts w:cs="Calibri"/>
          <w:b/>
          <w:color w:val="0070C0"/>
          <w:sz w:val="24"/>
          <w:szCs w:val="24"/>
          <w:lang w:val="en-US"/>
        </w:rPr>
        <w:t>Improving the cooperation among the key institutions in the public procurement system</w:t>
      </w:r>
    </w:p>
    <w:p w14:paraId="675B2C3A" w14:textId="77777777" w:rsidR="006B1F2A" w:rsidRPr="008C761D" w:rsidRDefault="006B1F2A" w:rsidP="00E84CD0">
      <w:pPr>
        <w:spacing w:after="0" w:line="240" w:lineRule="auto"/>
        <w:jc w:val="both"/>
        <w:rPr>
          <w:rFonts w:cs="Calibri"/>
          <w:b/>
          <w:color w:val="0070C0"/>
          <w:sz w:val="24"/>
          <w:szCs w:val="24"/>
          <w:lang w:val="en-US"/>
        </w:rPr>
      </w:pPr>
    </w:p>
    <w:p w14:paraId="2FBC9872" w14:textId="31C89042" w:rsidR="00522D07" w:rsidRDefault="00522D07" w:rsidP="006B1F2A">
      <w:pPr>
        <w:spacing w:after="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76530C9D" w14:textId="77777777" w:rsidR="00BD26BA" w:rsidRPr="00BD26BA" w:rsidRDefault="00BD26BA" w:rsidP="006B1F2A">
      <w:pPr>
        <w:spacing w:after="0" w:line="240" w:lineRule="auto"/>
        <w:jc w:val="both"/>
        <w:rPr>
          <w:rFonts w:eastAsia="MS PGothic" w:cs="Calibri"/>
          <w:b/>
          <w:bCs/>
          <w:i/>
          <w:iCs/>
          <w:color w:val="4F81BD"/>
          <w:sz w:val="10"/>
          <w:szCs w:val="10"/>
          <w:lang w:val="en-US" w:eastAsia="zh-CN"/>
        </w:rPr>
      </w:pPr>
    </w:p>
    <w:p w14:paraId="3B6345BB" w14:textId="77777777" w:rsidR="00B1410F" w:rsidRPr="008C761D" w:rsidRDefault="00B1410F" w:rsidP="00B1410F">
      <w:pPr>
        <w:spacing w:line="240" w:lineRule="auto"/>
        <w:jc w:val="both"/>
        <w:rPr>
          <w:rFonts w:cs="Calibri"/>
          <w:lang w:val="en-US"/>
        </w:rPr>
      </w:pPr>
      <w:r>
        <w:rPr>
          <w:rFonts w:cs="Calibri"/>
          <w:lang w:val="en-US"/>
        </w:rPr>
        <w:t>T</w:t>
      </w:r>
      <w:r w:rsidRPr="008C761D">
        <w:rPr>
          <w:rFonts w:cs="Calibri"/>
          <w:lang w:val="en-US"/>
        </w:rPr>
        <w:t xml:space="preserve">imely identification of gaps and </w:t>
      </w:r>
      <w:r>
        <w:rPr>
          <w:rFonts w:cs="Calibri"/>
          <w:lang w:val="en-US"/>
        </w:rPr>
        <w:t>weaknesses in the</w:t>
      </w:r>
      <w:r w:rsidRPr="008C761D">
        <w:rPr>
          <w:rFonts w:cs="Calibri"/>
          <w:lang w:val="en-US"/>
        </w:rPr>
        <w:t xml:space="preserve"> implementation </w:t>
      </w:r>
      <w:r>
        <w:rPr>
          <w:rFonts w:cs="Calibri"/>
          <w:lang w:val="en-US"/>
        </w:rPr>
        <w:t>of PPL, aiming to</w:t>
      </w:r>
      <w:r w:rsidRPr="008C761D">
        <w:rPr>
          <w:rFonts w:cs="Calibri"/>
          <w:lang w:val="en-US"/>
        </w:rPr>
        <w:t xml:space="preserve"> prevent </w:t>
      </w:r>
      <w:r>
        <w:rPr>
          <w:rFonts w:cs="Calibri"/>
          <w:lang w:val="en-US"/>
        </w:rPr>
        <w:t>irregularities</w:t>
      </w:r>
      <w:r w:rsidRPr="008C761D">
        <w:rPr>
          <w:rFonts w:cs="Calibri"/>
          <w:lang w:val="en-US"/>
        </w:rPr>
        <w:t xml:space="preserve"> and support duly </w:t>
      </w:r>
      <w:r>
        <w:rPr>
          <w:rFonts w:cs="Calibri"/>
          <w:lang w:val="en-US"/>
        </w:rPr>
        <w:t xml:space="preserve">and uniform </w:t>
      </w:r>
      <w:r w:rsidRPr="008C761D">
        <w:rPr>
          <w:rFonts w:cs="Calibri"/>
          <w:lang w:val="en-US"/>
        </w:rPr>
        <w:t>implementation of the law.</w:t>
      </w:r>
    </w:p>
    <w:p w14:paraId="300E35AD" w14:textId="77777777" w:rsidR="003C20E4" w:rsidRPr="008C761D" w:rsidRDefault="00522D07" w:rsidP="00CE2DF4">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522D07" w:rsidRPr="008C761D" w14:paraId="767BB1BE" w14:textId="77777777" w:rsidTr="008C761D">
        <w:trPr>
          <w:trHeight w:val="586"/>
        </w:trPr>
        <w:tc>
          <w:tcPr>
            <w:tcW w:w="1470" w:type="dxa"/>
            <w:shd w:val="clear" w:color="auto" w:fill="DDDDDD"/>
          </w:tcPr>
          <w:p w14:paraId="2C2DEE24" w14:textId="77777777" w:rsidR="00B7305C" w:rsidRPr="00BD26BA" w:rsidRDefault="00B7305C" w:rsidP="00B7305C">
            <w:pPr>
              <w:spacing w:after="0" w:line="240" w:lineRule="auto"/>
              <w:jc w:val="both"/>
              <w:rPr>
                <w:rFonts w:cs="Calibri"/>
                <w:b/>
                <w:sz w:val="20"/>
                <w:szCs w:val="20"/>
                <w:lang w:val="en-US"/>
              </w:rPr>
            </w:pPr>
            <w:r w:rsidRPr="00BD26BA">
              <w:rPr>
                <w:rFonts w:cs="Calibri"/>
                <w:b/>
                <w:sz w:val="20"/>
                <w:szCs w:val="20"/>
                <w:lang w:val="en-US"/>
              </w:rPr>
              <w:t>SCREENING REPORT,</w:t>
            </w:r>
          </w:p>
          <w:p w14:paraId="79159435" w14:textId="12F8E51B" w:rsidR="00B7305C" w:rsidRPr="00BD26BA" w:rsidRDefault="00B7305C" w:rsidP="00B7305C">
            <w:pPr>
              <w:spacing w:after="0" w:line="240" w:lineRule="auto"/>
              <w:rPr>
                <w:rFonts w:cs="Calibri"/>
                <w:b/>
                <w:sz w:val="20"/>
                <w:szCs w:val="20"/>
                <w:lang w:val="en-US"/>
              </w:rPr>
            </w:pPr>
            <w:r w:rsidRPr="00BD26BA">
              <w:rPr>
                <w:rFonts w:cs="Calibri"/>
                <w:b/>
                <w:sz w:val="20"/>
                <w:szCs w:val="20"/>
                <w:lang w:val="en-US"/>
              </w:rPr>
              <w:t xml:space="preserve">Cluster </w:t>
            </w:r>
            <w:r w:rsidR="00F50612" w:rsidRPr="00BD26BA">
              <w:rPr>
                <w:rFonts w:cs="Calibri"/>
                <w:b/>
                <w:sz w:val="20"/>
                <w:szCs w:val="20"/>
                <w:lang w:val="en-US"/>
              </w:rPr>
              <w:t>1 Fundamentals</w:t>
            </w:r>
            <w:r w:rsidRPr="00BD26BA">
              <w:rPr>
                <w:rFonts w:cs="Calibri"/>
                <w:b/>
                <w:sz w:val="20"/>
                <w:szCs w:val="20"/>
                <w:lang w:val="en-US"/>
              </w:rPr>
              <w:t>– Public procurement</w:t>
            </w:r>
          </w:p>
          <w:p w14:paraId="4BE3B57E" w14:textId="77777777" w:rsidR="00522D07" w:rsidRPr="008C761D" w:rsidRDefault="00B7305C" w:rsidP="00B7305C">
            <w:pPr>
              <w:spacing w:line="240" w:lineRule="auto"/>
              <w:jc w:val="both"/>
              <w:rPr>
                <w:rFonts w:cs="Calibri"/>
                <w:sz w:val="20"/>
                <w:szCs w:val="20"/>
                <w:lang w:val="en-US"/>
              </w:rPr>
            </w:pPr>
            <w:r w:rsidRPr="00BD26BA">
              <w:rPr>
                <w:rFonts w:cs="Calibri"/>
                <w:b/>
                <w:sz w:val="20"/>
                <w:szCs w:val="20"/>
                <w:lang w:val="en-US"/>
              </w:rPr>
              <w:t>2023</w:t>
            </w:r>
          </w:p>
        </w:tc>
        <w:tc>
          <w:tcPr>
            <w:tcW w:w="7573" w:type="dxa"/>
            <w:shd w:val="clear" w:color="auto" w:fill="DDDDDD"/>
          </w:tcPr>
          <w:p w14:paraId="74E93E49" w14:textId="77777777" w:rsidR="00B1410F" w:rsidRPr="008C761D" w:rsidRDefault="00B1410F" w:rsidP="00B1410F">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Coordination between government stakeholders needs to be strengthened further to improve compliance with and uniform application of the law.</w:t>
            </w:r>
          </w:p>
          <w:p w14:paraId="6A4BBC17" w14:textId="330771B4" w:rsidR="006B1F2A" w:rsidRPr="008C761D" w:rsidRDefault="00B1410F" w:rsidP="00B1410F">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The internal control systems within contracting authorities need to be strengthened as the first line of defence in terms of control procedures (see measures under Chapter 32), allowing the PPB to focus on its core tasks of policy guidance, support and monitoring of the functioning of the full PP system.</w:t>
            </w:r>
          </w:p>
        </w:tc>
      </w:tr>
      <w:tr w:rsidR="00522D07" w:rsidRPr="008C761D" w14:paraId="6C7E1EE0" w14:textId="77777777" w:rsidTr="008C761D">
        <w:trPr>
          <w:trHeight w:val="586"/>
        </w:trPr>
        <w:tc>
          <w:tcPr>
            <w:tcW w:w="1470" w:type="dxa"/>
            <w:shd w:val="clear" w:color="auto" w:fill="DDDDDD"/>
          </w:tcPr>
          <w:p w14:paraId="025EBBBD" w14:textId="0DC614E0" w:rsidR="00522D07" w:rsidRPr="00BD26BA" w:rsidRDefault="00B7305C" w:rsidP="00BD26BA">
            <w:pPr>
              <w:spacing w:after="0" w:line="240" w:lineRule="auto"/>
              <w:rPr>
                <w:rFonts w:cs="Calibri"/>
                <w:b/>
                <w:sz w:val="20"/>
                <w:szCs w:val="20"/>
                <w:lang w:val="en-US"/>
              </w:rPr>
            </w:pPr>
            <w:r w:rsidRPr="00BD26BA">
              <w:rPr>
                <w:rFonts w:cs="Calibri"/>
                <w:b/>
                <w:sz w:val="20"/>
                <w:szCs w:val="20"/>
                <w:lang w:val="en-US"/>
              </w:rPr>
              <w:t>EC</w:t>
            </w:r>
            <w:r w:rsidR="00BD26BA">
              <w:rPr>
                <w:rFonts w:cs="Calibri"/>
                <w:b/>
                <w:sz w:val="20"/>
                <w:szCs w:val="20"/>
                <w:lang w:val="en-US"/>
              </w:rPr>
              <w:t xml:space="preserve"> </w:t>
            </w:r>
            <w:r w:rsidRPr="00BD26BA">
              <w:rPr>
                <w:rFonts w:cs="Calibri"/>
                <w:b/>
                <w:sz w:val="20"/>
                <w:szCs w:val="20"/>
                <w:lang w:val="en-US"/>
              </w:rPr>
              <w:t>REPORT NORTH MACEDONIA 2023</w:t>
            </w:r>
          </w:p>
        </w:tc>
        <w:tc>
          <w:tcPr>
            <w:tcW w:w="7573" w:type="dxa"/>
            <w:shd w:val="clear" w:color="auto" w:fill="DDDDDD"/>
          </w:tcPr>
          <w:p w14:paraId="273D0F3B" w14:textId="19B84D03" w:rsidR="00522D07" w:rsidRPr="008C761D" w:rsidRDefault="00B1410F" w:rsidP="00BD26BA">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Improve coordination among key stakeholders and strengthen their capacity to implement the principles of transparency, free competition, equal treatment and non-discrimination;</w:t>
            </w:r>
          </w:p>
        </w:tc>
      </w:tr>
      <w:tr w:rsidR="00522D07" w:rsidRPr="008C761D" w14:paraId="2EF85710" w14:textId="77777777" w:rsidTr="008C761D">
        <w:tc>
          <w:tcPr>
            <w:tcW w:w="1470" w:type="dxa"/>
            <w:shd w:val="clear" w:color="auto" w:fill="DDDDDD"/>
          </w:tcPr>
          <w:p w14:paraId="3D736C6A" w14:textId="77777777" w:rsidR="00522D07" w:rsidRPr="00BD26BA" w:rsidRDefault="00B7305C" w:rsidP="00E84CD0">
            <w:pPr>
              <w:spacing w:line="240" w:lineRule="auto"/>
              <w:jc w:val="both"/>
              <w:rPr>
                <w:rFonts w:cs="Calibri"/>
                <w:b/>
                <w:sz w:val="20"/>
                <w:szCs w:val="20"/>
                <w:lang w:val="en-US"/>
              </w:rPr>
            </w:pPr>
            <w:r w:rsidRPr="00BD26BA">
              <w:rPr>
                <w:rFonts w:cs="Calibri"/>
                <w:b/>
                <w:sz w:val="20"/>
                <w:szCs w:val="20"/>
                <w:lang w:val="en-US"/>
              </w:rPr>
              <w:t>SIGMA 2021:</w:t>
            </w:r>
          </w:p>
        </w:tc>
        <w:tc>
          <w:tcPr>
            <w:tcW w:w="7573" w:type="dxa"/>
            <w:shd w:val="clear" w:color="auto" w:fill="DDDDDD"/>
          </w:tcPr>
          <w:p w14:paraId="6A981EFB" w14:textId="77777777" w:rsidR="00B1410F" w:rsidRPr="008C761D" w:rsidRDefault="00B1410F" w:rsidP="00B1410F">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Public procurement operations comply with the basic principles of equal treatment, non-discrimination, proportionality and transparency. However, the introduction of the new PPL in 2019 which is substantially compliant with the 2014 EU Directives and introduces flexibilities, has had minimal practical impact. Old habits have not changed and the levels of competition have not shown marked improvement. The continued extremely high number of awards based on the lowest price using e-auctions, and the limited use of centralised procurement means that the most efficient use of public funds is unlikely. Contract management remains a significant area for improvement.</w:t>
            </w:r>
          </w:p>
          <w:p w14:paraId="413BD21C" w14:textId="68E96A6F" w:rsidR="00522D07" w:rsidRPr="008C761D" w:rsidRDefault="00B1410F" w:rsidP="00B1410F">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There has been a decline in active co-operation among institutions to co-ordinate the interpretation of procurement legislation, contributing to uncertainty as to the application of the legal framework in practice.</w:t>
            </w:r>
          </w:p>
        </w:tc>
      </w:tr>
      <w:tr w:rsidR="00B7305C" w:rsidRPr="008C761D" w14:paraId="7ADEA47F" w14:textId="77777777" w:rsidTr="008C761D">
        <w:tc>
          <w:tcPr>
            <w:tcW w:w="1470" w:type="dxa"/>
            <w:shd w:val="clear" w:color="auto" w:fill="DDDDDD"/>
          </w:tcPr>
          <w:p w14:paraId="0830C0F4" w14:textId="77777777" w:rsidR="00B7305C" w:rsidRPr="00BD26BA" w:rsidRDefault="00B7305C" w:rsidP="00B7305C">
            <w:pPr>
              <w:spacing w:line="240" w:lineRule="auto"/>
              <w:jc w:val="both"/>
              <w:rPr>
                <w:rFonts w:cs="Calibri"/>
                <w:b/>
                <w:sz w:val="20"/>
                <w:szCs w:val="20"/>
                <w:lang w:val="en-US"/>
              </w:rPr>
            </w:pPr>
            <w:r w:rsidRPr="00BD26BA">
              <w:rPr>
                <w:rFonts w:cs="Calibri"/>
                <w:b/>
                <w:sz w:val="20"/>
                <w:szCs w:val="20"/>
                <w:lang w:val="en-US"/>
              </w:rPr>
              <w:t>PEFA 2021:</w:t>
            </w:r>
          </w:p>
        </w:tc>
        <w:tc>
          <w:tcPr>
            <w:tcW w:w="7573" w:type="dxa"/>
            <w:shd w:val="clear" w:color="auto" w:fill="DDDDDD"/>
          </w:tcPr>
          <w:p w14:paraId="516716B3" w14:textId="77777777" w:rsidR="00B7305C" w:rsidRPr="008C761D" w:rsidRDefault="00B7305C" w:rsidP="00B7305C">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Ensure continuous capacity building in public procurement through design and implementation of training plans, twinning arrangements and other capacity building   programs.</w:t>
            </w:r>
          </w:p>
        </w:tc>
      </w:tr>
      <w:tr w:rsidR="00B7305C" w:rsidRPr="008C761D" w14:paraId="1D3745B0" w14:textId="77777777" w:rsidTr="008C761D">
        <w:tc>
          <w:tcPr>
            <w:tcW w:w="1470" w:type="dxa"/>
            <w:shd w:val="clear" w:color="auto" w:fill="DDDDDD"/>
          </w:tcPr>
          <w:p w14:paraId="4A598350" w14:textId="77777777" w:rsidR="00B7305C" w:rsidRPr="00BD26BA" w:rsidRDefault="00B7305C" w:rsidP="00B7305C">
            <w:pPr>
              <w:spacing w:line="240" w:lineRule="auto"/>
              <w:jc w:val="both"/>
              <w:rPr>
                <w:rFonts w:cs="Calibri"/>
                <w:b/>
                <w:sz w:val="20"/>
                <w:szCs w:val="20"/>
                <w:lang w:val="en-US"/>
              </w:rPr>
            </w:pPr>
            <w:r w:rsidRPr="00BD26BA">
              <w:rPr>
                <w:rFonts w:cs="Calibri"/>
                <w:b/>
                <w:sz w:val="20"/>
                <w:szCs w:val="20"/>
                <w:lang w:val="en-US"/>
              </w:rPr>
              <w:t>EU:</w:t>
            </w:r>
          </w:p>
        </w:tc>
        <w:tc>
          <w:tcPr>
            <w:tcW w:w="7573" w:type="dxa"/>
            <w:shd w:val="clear" w:color="auto" w:fill="DDDDDD"/>
          </w:tcPr>
          <w:p w14:paraId="62F62900" w14:textId="77777777" w:rsidR="00B1410F" w:rsidRPr="008C761D" w:rsidRDefault="00B1410F" w:rsidP="00B1410F">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Improve the co-ordination among key players in public procurement and strengthen their capacities and independence to implement the principles of transparency, free competition, equal treatment and non-discrimination;</w:t>
            </w:r>
          </w:p>
          <w:p w14:paraId="5C7C0777" w14:textId="188FDA6A" w:rsidR="00B7305C" w:rsidRPr="008C761D" w:rsidRDefault="00B1410F" w:rsidP="00B1410F">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The quality of tender documentation remains a challenge for smaller contracting authorities.</w:t>
            </w:r>
          </w:p>
        </w:tc>
      </w:tr>
    </w:tbl>
    <w:p w14:paraId="6C79222A" w14:textId="77777777" w:rsidR="00522D07" w:rsidRPr="008C761D" w:rsidRDefault="00522D07"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 / Background</w:t>
      </w:r>
    </w:p>
    <w:p w14:paraId="0AB7B39F" w14:textId="77777777" w:rsidR="00B1410F" w:rsidRDefault="00B1410F" w:rsidP="00B1410F">
      <w:pPr>
        <w:spacing w:line="240" w:lineRule="auto"/>
        <w:jc w:val="both"/>
        <w:rPr>
          <w:rFonts w:cs="Calibri"/>
          <w:lang w:val="en-US"/>
        </w:rPr>
      </w:pPr>
      <w:r w:rsidRPr="008C761D">
        <w:rPr>
          <w:rFonts w:cs="Calibri"/>
          <w:lang w:val="en-US"/>
        </w:rPr>
        <w:t>Cooperation among the key institutions in the public procurement system is regulated with the Advisory group.</w:t>
      </w:r>
      <w:r>
        <w:rPr>
          <w:rFonts w:cs="Calibri"/>
          <w:lang w:val="en-US"/>
        </w:rPr>
        <w:t xml:space="preserve"> </w:t>
      </w:r>
    </w:p>
    <w:p w14:paraId="4472943B" w14:textId="77777777" w:rsidR="00B1410F" w:rsidRDefault="00B1410F" w:rsidP="00B1410F">
      <w:pPr>
        <w:spacing w:line="240" w:lineRule="auto"/>
        <w:jc w:val="both"/>
        <w:rPr>
          <w:rFonts w:cs="Calibri"/>
          <w:lang w:val="en-US"/>
        </w:rPr>
      </w:pPr>
      <w:r w:rsidRPr="008C761D">
        <w:rPr>
          <w:rFonts w:cs="Calibri"/>
          <w:lang w:val="en-US"/>
        </w:rPr>
        <w:t>The Advisory group is already established and functional.</w:t>
      </w:r>
      <w:r>
        <w:rPr>
          <w:rFonts w:cs="Calibri"/>
          <w:lang w:val="en-US"/>
        </w:rPr>
        <w:t xml:space="preserve"> It is </w:t>
      </w:r>
      <w:r w:rsidRPr="008C761D">
        <w:rPr>
          <w:rFonts w:cs="Calibri"/>
          <w:lang w:val="en-US"/>
        </w:rPr>
        <w:t>composed by representatives of PPB, SAC, SAO, SCPC, CPC and ME</w:t>
      </w:r>
      <w:r>
        <w:rPr>
          <w:rFonts w:cs="Calibri"/>
          <w:lang w:val="en-US"/>
        </w:rPr>
        <w:t xml:space="preserve">. </w:t>
      </w:r>
    </w:p>
    <w:p w14:paraId="7AAD817C" w14:textId="77777777" w:rsidR="00B1410F" w:rsidRPr="008C761D" w:rsidRDefault="00B1410F" w:rsidP="00B1410F">
      <w:pPr>
        <w:spacing w:line="240" w:lineRule="auto"/>
        <w:jc w:val="both"/>
        <w:rPr>
          <w:rFonts w:cs="Calibri"/>
          <w:lang w:val="en-US"/>
        </w:rPr>
      </w:pPr>
      <w:r>
        <w:rPr>
          <w:rFonts w:cs="Calibri"/>
          <w:lang w:val="en-US"/>
        </w:rPr>
        <w:lastRenderedPageBreak/>
        <w:t xml:space="preserve">The intention is coordination and cooperation among the key institutions in the public procuremenet system on regular basis, which </w:t>
      </w:r>
      <w:r w:rsidRPr="008C761D">
        <w:rPr>
          <w:rFonts w:cs="Calibri"/>
          <w:lang w:val="en-US"/>
        </w:rPr>
        <w:t xml:space="preserve">will enable timely identification of gaps and irregular implementation of LPP as well as preventing bad practices, and support for duly </w:t>
      </w:r>
      <w:r>
        <w:rPr>
          <w:rFonts w:cs="Calibri"/>
          <w:lang w:val="en-US"/>
        </w:rPr>
        <w:t xml:space="preserve">and uniform </w:t>
      </w:r>
      <w:r w:rsidRPr="008C761D">
        <w:rPr>
          <w:rFonts w:cs="Calibri"/>
          <w:lang w:val="en-US"/>
        </w:rPr>
        <w:t>implementation of the law.</w:t>
      </w:r>
    </w:p>
    <w:p w14:paraId="4BA9BB16" w14:textId="77777777" w:rsidR="00B1410F" w:rsidRPr="009240C0" w:rsidRDefault="00B1410F" w:rsidP="00B1410F">
      <w:pPr>
        <w:keepNext/>
        <w:keepLines/>
        <w:spacing w:before="160" w:after="60" w:line="240" w:lineRule="auto"/>
        <w:jc w:val="both"/>
        <w:outlineLvl w:val="3"/>
        <w:rPr>
          <w:rFonts w:eastAsia="MS PGothic" w:cs="Calibri"/>
          <w:b/>
          <w:bCs/>
          <w:iCs/>
          <w:color w:val="0070C0"/>
          <w:lang w:val="en-US" w:eastAsia="zh-CN"/>
        </w:rPr>
      </w:pPr>
      <w:r w:rsidRPr="00BD26BA">
        <w:rPr>
          <w:rFonts w:eastAsia="MS PGothic" w:cs="Calibri"/>
          <w:b/>
          <w:bCs/>
          <w:iCs/>
          <w:color w:val="0070C0"/>
          <w:lang w:val="en-US" w:eastAsia="zh-CN"/>
        </w:rPr>
        <w:t xml:space="preserve">Activity 1: </w:t>
      </w:r>
      <w:r w:rsidRPr="00C81D79">
        <w:rPr>
          <w:rFonts w:eastAsia="MS PGothic" w:cs="Calibri"/>
          <w:b/>
          <w:bCs/>
          <w:iCs/>
          <w:color w:val="0070C0"/>
          <w:lang w:val="en-US" w:eastAsia="zh-CN"/>
        </w:rPr>
        <w:t xml:space="preserve">Regular communication and coordination of Advisory group of the key institutions in the procurement system </w:t>
      </w:r>
    </w:p>
    <w:p w14:paraId="1492A1C2" w14:textId="5C9EC5CB" w:rsidR="00B1410F" w:rsidRDefault="00B1410F" w:rsidP="00B1410F">
      <w:pPr>
        <w:spacing w:line="240" w:lineRule="auto"/>
        <w:jc w:val="both"/>
        <w:rPr>
          <w:rFonts w:cs="Calibri"/>
          <w:lang w:val="en-US"/>
        </w:rPr>
      </w:pPr>
      <w:r w:rsidRPr="008C761D">
        <w:rPr>
          <w:rFonts w:cs="Calibri"/>
          <w:lang w:val="en-US"/>
        </w:rPr>
        <w:t xml:space="preserve">Maintaining regular and quality cooperation </w:t>
      </w:r>
      <w:r>
        <w:rPr>
          <w:rFonts w:cs="Calibri"/>
          <w:lang w:val="en-US"/>
        </w:rPr>
        <w:t>and coordination for</w:t>
      </w:r>
      <w:r w:rsidRPr="008C761D">
        <w:rPr>
          <w:rFonts w:cs="Calibri"/>
          <w:lang w:val="en-US"/>
        </w:rPr>
        <w:t xml:space="preserve"> identification of gaps and irregular implementation of LPP and support for duly</w:t>
      </w:r>
      <w:r>
        <w:rPr>
          <w:rFonts w:cs="Calibri"/>
          <w:lang w:val="en-US"/>
        </w:rPr>
        <w:t xml:space="preserve"> and uniform</w:t>
      </w:r>
      <w:r w:rsidRPr="008C761D">
        <w:rPr>
          <w:rFonts w:cs="Calibri"/>
          <w:lang w:val="en-US"/>
        </w:rPr>
        <w:t xml:space="preserve"> implementation of the law.</w:t>
      </w:r>
    </w:p>
    <w:p w14:paraId="5216D2FD" w14:textId="0F9792CD" w:rsidR="00B1410F" w:rsidRPr="00B1410F" w:rsidRDefault="00B1410F" w:rsidP="00B1410F">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B1410F" w:rsidRPr="008C761D" w14:paraId="4C515B78" w14:textId="77777777" w:rsidTr="00241538">
        <w:tc>
          <w:tcPr>
            <w:tcW w:w="3119" w:type="dxa"/>
            <w:tcBorders>
              <w:top w:val="nil"/>
              <w:bottom w:val="single" w:sz="4" w:space="0" w:color="FFFFFF"/>
            </w:tcBorders>
            <w:shd w:val="clear" w:color="auto" w:fill="1F3864"/>
          </w:tcPr>
          <w:p w14:paraId="0BA7984B" w14:textId="77777777" w:rsidR="00B1410F" w:rsidRPr="008C761D" w:rsidRDefault="00B1410F" w:rsidP="00241538">
            <w:pPr>
              <w:spacing w:line="240" w:lineRule="auto"/>
              <w:jc w:val="both"/>
              <w:rPr>
                <w:rFonts w:cs="Calibri"/>
                <w:b/>
                <w:sz w:val="20"/>
                <w:szCs w:val="20"/>
                <w:lang w:val="en-US"/>
              </w:rPr>
            </w:pPr>
            <w:r w:rsidRPr="008C761D">
              <w:rPr>
                <w:rFonts w:cs="Calibri"/>
                <w:b/>
                <w:sz w:val="20"/>
                <w:szCs w:val="20"/>
                <w:lang w:val="en-US"/>
              </w:rPr>
              <w:t>Completed in year:</w:t>
            </w:r>
            <w:r w:rsidRPr="008C761D">
              <w:rPr>
                <w:rFonts w:cs="Calibri"/>
                <w:b/>
                <w:sz w:val="20"/>
                <w:szCs w:val="20"/>
                <w:lang w:val="en-US"/>
              </w:rPr>
              <w:tab/>
            </w:r>
          </w:p>
        </w:tc>
        <w:tc>
          <w:tcPr>
            <w:tcW w:w="5719" w:type="dxa"/>
            <w:tcBorders>
              <w:top w:val="nil"/>
              <w:bottom w:val="single" w:sz="4" w:space="0" w:color="FFFFFF"/>
            </w:tcBorders>
            <w:shd w:val="clear" w:color="auto" w:fill="D9E2F3"/>
          </w:tcPr>
          <w:p w14:paraId="378A3649" w14:textId="77777777" w:rsidR="00B1410F" w:rsidRPr="008C761D" w:rsidRDefault="00B1410F" w:rsidP="00241538">
            <w:pPr>
              <w:spacing w:line="240" w:lineRule="auto"/>
              <w:jc w:val="both"/>
              <w:rPr>
                <w:rFonts w:cs="Calibri"/>
                <w:sz w:val="20"/>
                <w:szCs w:val="20"/>
                <w:lang w:val="en-US"/>
              </w:rPr>
            </w:pPr>
            <w:r w:rsidRPr="008C761D">
              <w:rPr>
                <w:rFonts w:eastAsia="Times New Roman" w:cs="Calibri"/>
                <w:color w:val="202124"/>
                <w:sz w:val="20"/>
                <w:szCs w:val="20"/>
                <w:lang w:val="en-US"/>
              </w:rPr>
              <w:t>202</w:t>
            </w:r>
            <w:r>
              <w:rPr>
                <w:rFonts w:eastAsia="Times New Roman" w:cs="Calibri"/>
                <w:color w:val="202124"/>
                <w:sz w:val="20"/>
                <w:szCs w:val="20"/>
                <w:lang w:val="en-US"/>
              </w:rPr>
              <w:t>4</w:t>
            </w:r>
          </w:p>
        </w:tc>
      </w:tr>
      <w:tr w:rsidR="00B1410F" w:rsidRPr="008C761D" w14:paraId="1536D258" w14:textId="77777777" w:rsidTr="00241538">
        <w:trPr>
          <w:trHeight w:val="255"/>
        </w:trPr>
        <w:tc>
          <w:tcPr>
            <w:tcW w:w="3119" w:type="dxa"/>
            <w:tcBorders>
              <w:top w:val="single" w:sz="4" w:space="0" w:color="FFFFFF"/>
              <w:bottom w:val="single" w:sz="4" w:space="0" w:color="FFFFFF"/>
            </w:tcBorders>
            <w:shd w:val="clear" w:color="auto" w:fill="1F3864"/>
          </w:tcPr>
          <w:p w14:paraId="682EF956" w14:textId="77777777" w:rsidR="00B1410F" w:rsidRPr="008C761D" w:rsidRDefault="00B1410F" w:rsidP="00241538">
            <w:pPr>
              <w:spacing w:line="240" w:lineRule="auto"/>
              <w:jc w:val="both"/>
              <w:rPr>
                <w:rFonts w:cs="Calibri"/>
                <w:b/>
                <w:sz w:val="20"/>
                <w:szCs w:val="20"/>
                <w:lang w:val="en-US"/>
              </w:rPr>
            </w:pPr>
            <w:r w:rsidRPr="008C761D">
              <w:rPr>
                <w:rFonts w:cs="Calibri"/>
                <w:b/>
                <w:sz w:val="20"/>
                <w:szCs w:val="20"/>
                <w:lang w:val="en-US"/>
              </w:rPr>
              <w:t>Deliverables:</w:t>
            </w:r>
          </w:p>
        </w:tc>
        <w:tc>
          <w:tcPr>
            <w:tcW w:w="5719" w:type="dxa"/>
            <w:tcBorders>
              <w:top w:val="single" w:sz="4" w:space="0" w:color="FFFFFF"/>
              <w:bottom w:val="single" w:sz="4" w:space="0" w:color="FFFFFF"/>
            </w:tcBorders>
            <w:shd w:val="clear" w:color="auto" w:fill="D9E2F3"/>
          </w:tcPr>
          <w:p w14:paraId="6D2043E9" w14:textId="6771F928" w:rsidR="00B1410F" w:rsidRPr="008C761D" w:rsidRDefault="00B1410F" w:rsidP="00241538">
            <w:pPr>
              <w:spacing w:after="0" w:line="240" w:lineRule="auto"/>
              <w:jc w:val="both"/>
              <w:rPr>
                <w:rFonts w:eastAsia="Times New Roman" w:cs="Calibri"/>
                <w:color w:val="202124"/>
                <w:sz w:val="20"/>
                <w:szCs w:val="20"/>
                <w:lang w:val="en-US"/>
              </w:rPr>
            </w:pPr>
            <w:r w:rsidRPr="001967FD">
              <w:rPr>
                <w:rFonts w:eastAsia="Times New Roman" w:cs="Calibri"/>
                <w:color w:val="202124"/>
                <w:sz w:val="20"/>
                <w:szCs w:val="20"/>
                <w:lang w:val="en-US"/>
              </w:rPr>
              <w:t>Working meetings at regular basis</w:t>
            </w:r>
            <w:r w:rsidR="008B6B3B">
              <w:rPr>
                <w:rFonts w:eastAsia="Times New Roman" w:cs="Calibri"/>
                <w:color w:val="202124"/>
                <w:sz w:val="20"/>
                <w:szCs w:val="20"/>
                <w:lang w:val="en-US"/>
              </w:rPr>
              <w:t>.</w:t>
            </w:r>
          </w:p>
          <w:p w14:paraId="09DA4286" w14:textId="77777777" w:rsidR="00B1410F" w:rsidRPr="0037730E" w:rsidRDefault="00B1410F" w:rsidP="00241538">
            <w:pPr>
              <w:spacing w:after="0" w:line="240" w:lineRule="auto"/>
              <w:ind w:left="212"/>
              <w:jc w:val="both"/>
              <w:rPr>
                <w:rFonts w:eastAsia="Times New Roman" w:cs="Calibri"/>
                <w:color w:val="202124"/>
                <w:sz w:val="20"/>
                <w:szCs w:val="20"/>
                <w:lang w:val="en-US"/>
              </w:rPr>
            </w:pPr>
          </w:p>
        </w:tc>
      </w:tr>
      <w:tr w:rsidR="00B1410F" w:rsidRPr="008C761D" w14:paraId="3749F241" w14:textId="77777777" w:rsidTr="00241538">
        <w:tc>
          <w:tcPr>
            <w:tcW w:w="3119" w:type="dxa"/>
            <w:tcBorders>
              <w:top w:val="single" w:sz="4" w:space="0" w:color="FFFFFF"/>
              <w:bottom w:val="single" w:sz="4" w:space="0" w:color="FFFFFF"/>
            </w:tcBorders>
            <w:shd w:val="clear" w:color="auto" w:fill="1F3864"/>
          </w:tcPr>
          <w:p w14:paraId="73302E44" w14:textId="77777777" w:rsidR="00B1410F" w:rsidRPr="008C761D" w:rsidRDefault="00B1410F" w:rsidP="00241538">
            <w:pPr>
              <w:spacing w:line="240" w:lineRule="auto"/>
              <w:jc w:val="both"/>
              <w:rPr>
                <w:rFonts w:cs="Calibri"/>
                <w:b/>
                <w:sz w:val="20"/>
                <w:szCs w:val="20"/>
                <w:lang w:val="en-US"/>
              </w:rPr>
            </w:pPr>
            <w:r w:rsidRPr="008C761D">
              <w:rPr>
                <w:rFonts w:cs="Calibri"/>
                <w:b/>
                <w:sz w:val="20"/>
                <w:szCs w:val="20"/>
                <w:lang w:val="en-US"/>
              </w:rPr>
              <w:t>Cost implications:</w:t>
            </w:r>
          </w:p>
        </w:tc>
        <w:tc>
          <w:tcPr>
            <w:tcW w:w="5719" w:type="dxa"/>
            <w:tcBorders>
              <w:top w:val="single" w:sz="4" w:space="0" w:color="FFFFFF"/>
              <w:bottom w:val="single" w:sz="4" w:space="0" w:color="FFFFFF"/>
            </w:tcBorders>
            <w:shd w:val="clear" w:color="auto" w:fill="D9E2F3"/>
          </w:tcPr>
          <w:p w14:paraId="1A6BDEAA" w14:textId="77777777" w:rsidR="00B1410F" w:rsidRPr="008C761D" w:rsidRDefault="00B1410F" w:rsidP="00241538">
            <w:pPr>
              <w:spacing w:line="240" w:lineRule="auto"/>
              <w:jc w:val="both"/>
              <w:rPr>
                <w:rFonts w:eastAsia="Times New Roman" w:cs="Calibri"/>
                <w:color w:val="202124"/>
                <w:sz w:val="20"/>
                <w:szCs w:val="20"/>
                <w:lang w:val="en-US"/>
              </w:rPr>
            </w:pPr>
            <w:r>
              <w:rPr>
                <w:rFonts w:eastAsia="Times New Roman" w:cs="Calibri"/>
                <w:color w:val="202124"/>
                <w:sz w:val="20"/>
                <w:szCs w:val="20"/>
                <w:lang w:val="en-US"/>
              </w:rPr>
              <w:t>/</w:t>
            </w:r>
          </w:p>
        </w:tc>
      </w:tr>
      <w:tr w:rsidR="00B1410F" w:rsidRPr="008C761D" w14:paraId="5782EFB7" w14:textId="77777777" w:rsidTr="00241538">
        <w:tc>
          <w:tcPr>
            <w:tcW w:w="3119" w:type="dxa"/>
            <w:tcBorders>
              <w:top w:val="single" w:sz="4" w:space="0" w:color="FFFFFF"/>
              <w:bottom w:val="single" w:sz="4" w:space="0" w:color="FFFFFF"/>
            </w:tcBorders>
            <w:shd w:val="clear" w:color="auto" w:fill="1F3864"/>
          </w:tcPr>
          <w:p w14:paraId="2ADF80EE" w14:textId="77777777" w:rsidR="00B1410F" w:rsidRPr="008C761D" w:rsidRDefault="00B1410F" w:rsidP="00241538">
            <w:pPr>
              <w:spacing w:line="240" w:lineRule="auto"/>
              <w:jc w:val="both"/>
              <w:rPr>
                <w:rFonts w:cs="Calibri"/>
                <w:b/>
                <w:sz w:val="20"/>
                <w:szCs w:val="20"/>
                <w:lang w:val="en-US"/>
              </w:rPr>
            </w:pPr>
            <w:r w:rsidRPr="008C761D">
              <w:rPr>
                <w:rFonts w:cs="Calibri"/>
                <w:b/>
                <w:sz w:val="20"/>
                <w:szCs w:val="20"/>
                <w:lang w:val="en-US"/>
              </w:rPr>
              <w:t xml:space="preserve">Responsible entity: </w:t>
            </w:r>
          </w:p>
        </w:tc>
        <w:tc>
          <w:tcPr>
            <w:tcW w:w="5719" w:type="dxa"/>
            <w:tcBorders>
              <w:top w:val="single" w:sz="4" w:space="0" w:color="FFFFFF"/>
              <w:bottom w:val="single" w:sz="4" w:space="0" w:color="FFFFFF"/>
            </w:tcBorders>
            <w:shd w:val="clear" w:color="auto" w:fill="D9E2F3"/>
          </w:tcPr>
          <w:p w14:paraId="5B61F1B7" w14:textId="77777777" w:rsidR="00B1410F" w:rsidRPr="008C761D" w:rsidRDefault="00B1410F" w:rsidP="00241538">
            <w:pPr>
              <w:spacing w:line="240" w:lineRule="auto"/>
              <w:jc w:val="both"/>
              <w:rPr>
                <w:rFonts w:eastAsia="Times New Roman" w:cs="Calibri"/>
                <w:color w:val="202124"/>
                <w:sz w:val="20"/>
                <w:szCs w:val="20"/>
                <w:lang w:val="en-US"/>
              </w:rPr>
            </w:pPr>
            <w:r w:rsidRPr="001967FD">
              <w:rPr>
                <w:rFonts w:eastAsia="Times New Roman" w:cs="Calibri"/>
                <w:color w:val="202124"/>
                <w:sz w:val="20"/>
                <w:szCs w:val="20"/>
                <w:lang w:val="en-US"/>
              </w:rPr>
              <w:t>SAC, SAO, CPC, SCPC, ME</w:t>
            </w:r>
          </w:p>
        </w:tc>
      </w:tr>
      <w:tr w:rsidR="00B1410F" w:rsidRPr="008C761D" w14:paraId="17CADD76" w14:textId="77777777" w:rsidTr="00A30E6E">
        <w:trPr>
          <w:trHeight w:val="503"/>
        </w:trPr>
        <w:tc>
          <w:tcPr>
            <w:tcW w:w="3119" w:type="dxa"/>
            <w:tcBorders>
              <w:top w:val="single" w:sz="4" w:space="0" w:color="FFFFFF"/>
              <w:bottom w:val="nil"/>
            </w:tcBorders>
            <w:shd w:val="clear" w:color="auto" w:fill="1F3864"/>
          </w:tcPr>
          <w:p w14:paraId="55333172" w14:textId="77777777" w:rsidR="00B1410F" w:rsidRPr="008C761D" w:rsidRDefault="00B1410F" w:rsidP="00241538">
            <w:pPr>
              <w:spacing w:line="240" w:lineRule="auto"/>
              <w:jc w:val="both"/>
              <w:rPr>
                <w:rFonts w:cs="Calibri"/>
                <w:b/>
                <w:sz w:val="20"/>
                <w:szCs w:val="20"/>
                <w:lang w:val="en-US"/>
              </w:rPr>
            </w:pPr>
            <w:r w:rsidRPr="008C761D">
              <w:rPr>
                <w:rFonts w:cs="Calibri"/>
                <w:b/>
                <w:sz w:val="20"/>
                <w:szCs w:val="20"/>
                <w:lang w:val="en-US"/>
              </w:rPr>
              <w:t>Risk:</w:t>
            </w:r>
          </w:p>
        </w:tc>
        <w:tc>
          <w:tcPr>
            <w:tcW w:w="5719" w:type="dxa"/>
            <w:tcBorders>
              <w:top w:val="single" w:sz="4" w:space="0" w:color="FFFFFF"/>
              <w:bottom w:val="nil"/>
            </w:tcBorders>
            <w:shd w:val="clear" w:color="auto" w:fill="D9E2F3"/>
          </w:tcPr>
          <w:p w14:paraId="4887AB7E" w14:textId="17CE29F9" w:rsidR="00B1410F" w:rsidRPr="008B6B3B" w:rsidRDefault="00B1410F" w:rsidP="00A30E6E">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Inappropriate detecting of the weaknesses in the system and the issues for improvement</w:t>
            </w:r>
            <w:r w:rsidR="008B6B3B">
              <w:rPr>
                <w:rFonts w:eastAsia="Times New Roman" w:cs="Calibri"/>
                <w:color w:val="202124"/>
                <w:sz w:val="20"/>
                <w:szCs w:val="20"/>
                <w:lang w:val="en-US"/>
              </w:rPr>
              <w:t>.</w:t>
            </w:r>
          </w:p>
        </w:tc>
      </w:tr>
    </w:tbl>
    <w:p w14:paraId="5C1779C6" w14:textId="77777777" w:rsidR="00B1410F" w:rsidRPr="001967FD" w:rsidRDefault="00B1410F" w:rsidP="00B1410F">
      <w:pPr>
        <w:spacing w:line="240" w:lineRule="auto"/>
        <w:jc w:val="both"/>
        <w:rPr>
          <w:rFonts w:cs="Calibri"/>
          <w:lang w:val="en-US"/>
        </w:rPr>
      </w:pPr>
    </w:p>
    <w:p w14:paraId="5FD56B88" w14:textId="10C3E1CE" w:rsidR="00537425" w:rsidRDefault="00A30E6E" w:rsidP="00E84CD0">
      <w:pPr>
        <w:keepNext/>
        <w:keepLines/>
        <w:spacing w:before="160" w:after="60" w:line="240" w:lineRule="auto"/>
        <w:jc w:val="both"/>
        <w:outlineLvl w:val="3"/>
        <w:rPr>
          <w:rFonts w:eastAsia="MS PGothic" w:cs="Calibri"/>
          <w:b/>
          <w:bCs/>
          <w:iCs/>
          <w:color w:val="0070C0"/>
          <w:lang w:val="en-US" w:eastAsia="zh-CN"/>
        </w:rPr>
      </w:pPr>
      <w:r>
        <w:rPr>
          <w:rFonts w:eastAsia="MS PGothic" w:cs="Calibri"/>
          <w:b/>
          <w:bCs/>
          <w:iCs/>
          <w:color w:val="0070C0"/>
          <w:lang w:val="en-US" w:eastAsia="zh-CN"/>
        </w:rPr>
        <w:t>Measure</w:t>
      </w:r>
      <w:r w:rsidR="00522D07" w:rsidRPr="00BD26BA">
        <w:rPr>
          <w:rFonts w:eastAsia="MS PGothic" w:cs="Calibri"/>
          <w:b/>
          <w:bCs/>
          <w:iCs/>
          <w:color w:val="0070C0"/>
          <w:lang w:val="en-US" w:eastAsia="zh-CN"/>
        </w:rPr>
        <w:t xml:space="preserve"> 2: </w:t>
      </w:r>
      <w:r w:rsidR="006B1F2A" w:rsidRPr="00BD26BA">
        <w:rPr>
          <w:rFonts w:eastAsia="MS PGothic" w:cs="Calibri"/>
          <w:b/>
          <w:bCs/>
          <w:iCs/>
          <w:color w:val="0070C0"/>
          <w:lang w:val="en-US" w:eastAsia="zh-CN"/>
        </w:rPr>
        <w:t xml:space="preserve">Combating corruption in public procurement </w:t>
      </w:r>
    </w:p>
    <w:p w14:paraId="45BA5B00" w14:textId="77777777" w:rsidR="00A30E6E" w:rsidRPr="00A30E6E" w:rsidRDefault="00A30E6E" w:rsidP="00E84CD0">
      <w:pPr>
        <w:keepNext/>
        <w:keepLines/>
        <w:spacing w:before="160" w:after="60" w:line="240" w:lineRule="auto"/>
        <w:jc w:val="both"/>
        <w:outlineLvl w:val="3"/>
        <w:rPr>
          <w:rFonts w:eastAsia="MS PGothic" w:cs="Calibri"/>
          <w:b/>
          <w:bCs/>
          <w:iCs/>
          <w:color w:val="0070C0"/>
          <w:sz w:val="10"/>
          <w:szCs w:val="10"/>
          <w:lang w:val="en-US" w:eastAsia="zh-CN"/>
        </w:rPr>
      </w:pPr>
    </w:p>
    <w:p w14:paraId="0548EF1F" w14:textId="77777777" w:rsidR="00A30E6E" w:rsidRDefault="00A30E6E" w:rsidP="00A30E6E">
      <w:pPr>
        <w:spacing w:after="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5A0A213F" w14:textId="77777777" w:rsidR="00A30E6E" w:rsidRPr="00BD26BA" w:rsidRDefault="00A30E6E" w:rsidP="00A30E6E">
      <w:pPr>
        <w:spacing w:after="0" w:line="240" w:lineRule="auto"/>
        <w:jc w:val="both"/>
        <w:rPr>
          <w:rFonts w:eastAsia="MS PGothic" w:cs="Calibri"/>
          <w:b/>
          <w:bCs/>
          <w:i/>
          <w:iCs/>
          <w:color w:val="4F81BD"/>
          <w:sz w:val="10"/>
          <w:szCs w:val="10"/>
          <w:lang w:val="en-US" w:eastAsia="zh-CN"/>
        </w:rPr>
      </w:pPr>
    </w:p>
    <w:p w14:paraId="51AA63CF" w14:textId="7A20FF9B" w:rsidR="00A30E6E" w:rsidRDefault="00A30E6E" w:rsidP="00A30E6E">
      <w:pPr>
        <w:spacing w:line="240" w:lineRule="auto"/>
        <w:jc w:val="both"/>
        <w:rPr>
          <w:rFonts w:cs="Calibri"/>
          <w:bCs/>
          <w:lang w:val="en-US"/>
        </w:rPr>
      </w:pPr>
      <w:r>
        <w:rPr>
          <w:rFonts w:cs="Calibri"/>
          <w:bCs/>
          <w:lang w:val="en-US"/>
        </w:rPr>
        <w:t>Introducing anti-corruption practices in public procurement cycle.</w:t>
      </w:r>
    </w:p>
    <w:p w14:paraId="55C0C269" w14:textId="6F8B3215" w:rsidR="00A30E6E" w:rsidRDefault="00A30E6E" w:rsidP="00A30E6E">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A30E6E" w:rsidRPr="008C761D" w14:paraId="398A0C67" w14:textId="77777777" w:rsidTr="00241538">
        <w:trPr>
          <w:trHeight w:val="586"/>
        </w:trPr>
        <w:tc>
          <w:tcPr>
            <w:tcW w:w="1496" w:type="dxa"/>
            <w:shd w:val="clear" w:color="auto" w:fill="DDDDDD"/>
          </w:tcPr>
          <w:p w14:paraId="773BC40F" w14:textId="77777777" w:rsidR="00A30E6E" w:rsidRPr="00BD26BA" w:rsidRDefault="00A30E6E" w:rsidP="00241538">
            <w:pPr>
              <w:spacing w:after="0" w:line="240" w:lineRule="auto"/>
              <w:jc w:val="both"/>
              <w:rPr>
                <w:rFonts w:cs="Calibri"/>
                <w:b/>
                <w:sz w:val="20"/>
                <w:szCs w:val="20"/>
                <w:lang w:val="en-US"/>
              </w:rPr>
            </w:pPr>
            <w:r w:rsidRPr="00BD26BA">
              <w:rPr>
                <w:rFonts w:cs="Calibri"/>
                <w:b/>
                <w:sz w:val="20"/>
                <w:szCs w:val="20"/>
                <w:lang w:val="en-US"/>
              </w:rPr>
              <w:t>SCREENING REPORT,</w:t>
            </w:r>
          </w:p>
          <w:p w14:paraId="4ADD5DB2" w14:textId="77777777" w:rsidR="00A30E6E" w:rsidRPr="00BD26BA" w:rsidRDefault="00A30E6E" w:rsidP="00241538">
            <w:pPr>
              <w:spacing w:after="0" w:line="240" w:lineRule="auto"/>
              <w:rPr>
                <w:rFonts w:cs="Calibri"/>
                <w:b/>
                <w:sz w:val="20"/>
                <w:szCs w:val="20"/>
                <w:lang w:val="en-US"/>
              </w:rPr>
            </w:pPr>
            <w:r w:rsidRPr="00BD26BA">
              <w:rPr>
                <w:rFonts w:cs="Calibri"/>
                <w:b/>
                <w:sz w:val="20"/>
                <w:szCs w:val="20"/>
                <w:lang w:val="en-US"/>
              </w:rPr>
              <w:t>Cluster 1 Fundamentals– Public procurement</w:t>
            </w:r>
          </w:p>
          <w:p w14:paraId="29606562" w14:textId="77777777" w:rsidR="00A30E6E" w:rsidRPr="008C761D" w:rsidRDefault="00A30E6E" w:rsidP="00241538">
            <w:pPr>
              <w:spacing w:line="240" w:lineRule="auto"/>
              <w:jc w:val="both"/>
              <w:rPr>
                <w:rFonts w:cs="Calibri"/>
                <w:sz w:val="20"/>
                <w:szCs w:val="20"/>
                <w:lang w:val="en-US"/>
              </w:rPr>
            </w:pPr>
            <w:r w:rsidRPr="00BD26BA">
              <w:rPr>
                <w:rFonts w:cs="Calibri"/>
                <w:b/>
                <w:sz w:val="20"/>
                <w:szCs w:val="20"/>
                <w:lang w:val="en-US"/>
              </w:rPr>
              <w:t>2023</w:t>
            </w:r>
          </w:p>
        </w:tc>
        <w:tc>
          <w:tcPr>
            <w:tcW w:w="7547" w:type="dxa"/>
            <w:shd w:val="clear" w:color="auto" w:fill="DDDDDD"/>
          </w:tcPr>
          <w:p w14:paraId="721E33C5" w14:textId="77777777" w:rsidR="00A30E6E" w:rsidRPr="008C761D" w:rsidRDefault="00A30E6E" w:rsidP="00241538">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North Macedonia needs to increase efforts to prevent corruption, by improving the functioning of the overall system to increase competition, compliance and professionalisation. It should focus on increasing staffing and training at the PPB, the SAC and the contracting authorities and on strengthening the institutional set-up for overseeing concessions and PPPs.</w:t>
            </w:r>
          </w:p>
          <w:p w14:paraId="0BB4FE3C" w14:textId="77777777" w:rsidR="00A30E6E" w:rsidRPr="008C761D" w:rsidRDefault="00A30E6E" w:rsidP="00241538">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The internal control systems within contracting authorities need to be strengthened as the first line of defence in terms of control procedures (see measures under Chapter 32), allowing the PPB to focus on its core tasks of policy guidance, support and monitoring of the functioning of the full PP system.</w:t>
            </w:r>
          </w:p>
        </w:tc>
      </w:tr>
      <w:tr w:rsidR="00A30E6E" w:rsidRPr="008C761D" w14:paraId="77D01925" w14:textId="77777777" w:rsidTr="00241538">
        <w:trPr>
          <w:trHeight w:val="586"/>
        </w:trPr>
        <w:tc>
          <w:tcPr>
            <w:tcW w:w="1496" w:type="dxa"/>
            <w:shd w:val="clear" w:color="auto" w:fill="DDDDDD"/>
          </w:tcPr>
          <w:p w14:paraId="000AA5A3" w14:textId="77777777" w:rsidR="00A30E6E" w:rsidRPr="00BD26BA" w:rsidRDefault="00A30E6E" w:rsidP="00241538">
            <w:pPr>
              <w:spacing w:after="0" w:line="240" w:lineRule="auto"/>
              <w:rPr>
                <w:rFonts w:cs="Calibri"/>
                <w:b/>
                <w:sz w:val="20"/>
                <w:szCs w:val="20"/>
                <w:lang w:val="en-US"/>
              </w:rPr>
            </w:pPr>
            <w:r w:rsidRPr="00BD26BA">
              <w:rPr>
                <w:rFonts w:cs="Calibri"/>
                <w:b/>
                <w:sz w:val="20"/>
                <w:szCs w:val="20"/>
                <w:lang w:val="en-US"/>
              </w:rPr>
              <w:t>EC</w:t>
            </w:r>
            <w:r>
              <w:rPr>
                <w:rFonts w:cs="Calibri"/>
                <w:b/>
                <w:sz w:val="20"/>
                <w:szCs w:val="20"/>
                <w:lang w:val="en-US"/>
              </w:rPr>
              <w:t xml:space="preserve"> </w:t>
            </w:r>
            <w:r w:rsidRPr="00BD26BA">
              <w:rPr>
                <w:rFonts w:cs="Calibri"/>
                <w:b/>
                <w:sz w:val="20"/>
                <w:szCs w:val="20"/>
                <w:lang w:val="en-US"/>
              </w:rPr>
              <w:t>REPORT NORTH MACEDONIA 2023</w:t>
            </w:r>
          </w:p>
        </w:tc>
        <w:tc>
          <w:tcPr>
            <w:tcW w:w="7547" w:type="dxa"/>
            <w:shd w:val="clear" w:color="auto" w:fill="DDDDDD"/>
          </w:tcPr>
          <w:p w14:paraId="33810601" w14:textId="77777777" w:rsidR="00A30E6E" w:rsidRPr="008C761D" w:rsidRDefault="00A30E6E" w:rsidP="00241538">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Improve coordination among key stakeholders and strengthen their capacity to implement the principles of transparency, free competition, equal treatment and non-discrimination;</w:t>
            </w:r>
          </w:p>
        </w:tc>
      </w:tr>
      <w:tr w:rsidR="00A30E6E" w:rsidRPr="008C761D" w14:paraId="745BFB41" w14:textId="77777777" w:rsidTr="00241538">
        <w:tc>
          <w:tcPr>
            <w:tcW w:w="1496" w:type="dxa"/>
            <w:shd w:val="clear" w:color="auto" w:fill="DDDDDD"/>
          </w:tcPr>
          <w:p w14:paraId="0561A48B" w14:textId="77777777" w:rsidR="00A30E6E" w:rsidRPr="00BD26BA" w:rsidRDefault="00A30E6E" w:rsidP="00241538">
            <w:pPr>
              <w:spacing w:line="240" w:lineRule="auto"/>
              <w:jc w:val="both"/>
              <w:rPr>
                <w:rFonts w:cs="Calibri"/>
                <w:b/>
                <w:sz w:val="20"/>
                <w:szCs w:val="20"/>
                <w:lang w:val="en-US"/>
              </w:rPr>
            </w:pPr>
            <w:r w:rsidRPr="00BD26BA">
              <w:rPr>
                <w:rFonts w:cs="Calibri"/>
                <w:b/>
                <w:sz w:val="20"/>
                <w:szCs w:val="20"/>
                <w:lang w:val="en-US"/>
              </w:rPr>
              <w:t>SIGMA 2021:</w:t>
            </w:r>
          </w:p>
        </w:tc>
        <w:tc>
          <w:tcPr>
            <w:tcW w:w="7547" w:type="dxa"/>
            <w:shd w:val="clear" w:color="auto" w:fill="DDDDDD"/>
          </w:tcPr>
          <w:p w14:paraId="0DF224F7" w14:textId="77777777" w:rsidR="00A30E6E" w:rsidRPr="008C761D" w:rsidRDefault="00A30E6E" w:rsidP="00241538">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Public procurement operations comply with the basic principles of equal treatment, non-discrimination, proportionality and transparency. However, the introduction of the new PPL in 2019 which is substantially compliant with the 2014 EU Directives and introduces flexibilities, has had minimal practical impact. Old habits have not changed and the levels of competition have not shown marked improvement. The continued extremely high number of awards based on the lowest price using e-auctions, and the limited use of centralised procurement means that the most efficient use of public funds is unlikely. Contract management remains a significant area for improvement.</w:t>
            </w:r>
          </w:p>
          <w:p w14:paraId="1D80E19D" w14:textId="77777777" w:rsidR="00A30E6E" w:rsidRPr="008C761D" w:rsidRDefault="00A30E6E" w:rsidP="00241538">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Practical guidelines, tools and training, have not been fully updated or aligned with the new PPL. </w:t>
            </w:r>
          </w:p>
        </w:tc>
      </w:tr>
      <w:tr w:rsidR="00A30E6E" w:rsidRPr="008C761D" w14:paraId="65492618" w14:textId="77777777" w:rsidTr="00241538">
        <w:tc>
          <w:tcPr>
            <w:tcW w:w="1496" w:type="dxa"/>
            <w:shd w:val="clear" w:color="auto" w:fill="DDDDDD"/>
          </w:tcPr>
          <w:p w14:paraId="07C2E7CD" w14:textId="77777777" w:rsidR="00A30E6E" w:rsidRPr="00BD26BA" w:rsidRDefault="00A30E6E" w:rsidP="00241538">
            <w:pPr>
              <w:spacing w:line="240" w:lineRule="auto"/>
              <w:jc w:val="both"/>
              <w:rPr>
                <w:rFonts w:cs="Calibri"/>
                <w:b/>
                <w:sz w:val="20"/>
                <w:szCs w:val="20"/>
                <w:lang w:val="en-US"/>
              </w:rPr>
            </w:pPr>
            <w:r w:rsidRPr="00BD26BA">
              <w:rPr>
                <w:rFonts w:cs="Calibri"/>
                <w:b/>
                <w:sz w:val="20"/>
                <w:szCs w:val="20"/>
                <w:lang w:val="en-US"/>
              </w:rPr>
              <w:lastRenderedPageBreak/>
              <w:t>EU:</w:t>
            </w:r>
          </w:p>
        </w:tc>
        <w:tc>
          <w:tcPr>
            <w:tcW w:w="7547" w:type="dxa"/>
            <w:shd w:val="clear" w:color="auto" w:fill="DDDDDD"/>
          </w:tcPr>
          <w:p w14:paraId="5B434843" w14:textId="77777777" w:rsidR="00A30E6E" w:rsidRPr="008C761D" w:rsidRDefault="00A30E6E" w:rsidP="00241538">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Improve the co-ordination among key players in public procurement and strengthen their capacities and independence to implement the principles of transparency, free competition, equal treatment and non-discrimination;</w:t>
            </w:r>
          </w:p>
          <w:p w14:paraId="3F38134C" w14:textId="77777777" w:rsidR="00A30E6E" w:rsidRPr="008C761D" w:rsidRDefault="00A30E6E" w:rsidP="00241538">
            <w:pPr>
              <w:spacing w:after="0" w:line="240" w:lineRule="auto"/>
              <w:jc w:val="both"/>
              <w:rPr>
                <w:rFonts w:eastAsia="Times New Roman" w:cs="Calibri"/>
                <w:color w:val="202124"/>
                <w:sz w:val="20"/>
                <w:szCs w:val="20"/>
                <w:lang w:val="en-US"/>
              </w:rPr>
            </w:pPr>
          </w:p>
        </w:tc>
      </w:tr>
    </w:tbl>
    <w:p w14:paraId="4A0D31C9" w14:textId="77777777" w:rsidR="00A30E6E" w:rsidRPr="008C761D" w:rsidRDefault="00A30E6E" w:rsidP="00A30E6E">
      <w:pPr>
        <w:spacing w:line="240" w:lineRule="auto"/>
        <w:jc w:val="both"/>
        <w:rPr>
          <w:rFonts w:eastAsia="MS PGothic" w:cs="Calibri"/>
          <w:b/>
          <w:bCs/>
          <w:i/>
          <w:iCs/>
          <w:color w:val="4F81BD"/>
          <w:lang w:val="en-US" w:eastAsia="zh-CN"/>
        </w:rPr>
      </w:pPr>
    </w:p>
    <w:p w14:paraId="2C6CAE4F" w14:textId="77777777" w:rsidR="00A30E6E" w:rsidRPr="008C761D" w:rsidRDefault="00A30E6E" w:rsidP="00A30E6E">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 / Background</w:t>
      </w:r>
    </w:p>
    <w:p w14:paraId="5EFAC768" w14:textId="0ACAE76A" w:rsidR="00A30E6E" w:rsidRPr="008C761D" w:rsidRDefault="00A30E6E" w:rsidP="00A30E6E">
      <w:pPr>
        <w:spacing w:line="240" w:lineRule="auto"/>
        <w:jc w:val="both"/>
        <w:rPr>
          <w:rFonts w:cs="Calibri"/>
          <w:lang w:val="en-US"/>
        </w:rPr>
      </w:pPr>
      <w:r>
        <w:rPr>
          <w:rFonts w:cs="Calibri"/>
          <w:lang w:val="en-US"/>
        </w:rPr>
        <w:t>Public procurement area is particularly vulnerable to corruption and other illegal practices. PPB is continuously undertaking steps for improving the knowledge and skills of procurement practitioners for preventing corruption in public procurement cycle. In this area, PPB also has close cooperation with SCPC.</w:t>
      </w:r>
    </w:p>
    <w:p w14:paraId="08C2784E" w14:textId="77777777" w:rsidR="00A30E6E" w:rsidRPr="00BD26BA" w:rsidRDefault="00A30E6E" w:rsidP="00A30E6E">
      <w:pPr>
        <w:keepNext/>
        <w:keepLines/>
        <w:spacing w:before="160" w:after="60" w:line="240" w:lineRule="auto"/>
        <w:jc w:val="both"/>
        <w:outlineLvl w:val="3"/>
        <w:rPr>
          <w:rFonts w:eastAsia="MS PGothic" w:cs="Calibri"/>
          <w:b/>
          <w:bCs/>
          <w:iCs/>
          <w:color w:val="0070C0"/>
          <w:lang w:val="en-US" w:eastAsia="zh-CN"/>
        </w:rPr>
      </w:pPr>
      <w:r w:rsidRPr="00BD26BA">
        <w:rPr>
          <w:rFonts w:eastAsia="MS PGothic" w:cs="Calibri"/>
          <w:b/>
          <w:bCs/>
          <w:iCs/>
          <w:color w:val="0070C0"/>
          <w:lang w:val="en-US" w:eastAsia="zh-CN"/>
        </w:rPr>
        <w:t xml:space="preserve">Activity </w:t>
      </w:r>
      <w:r>
        <w:rPr>
          <w:rFonts w:eastAsia="MS PGothic" w:cs="Calibri"/>
          <w:b/>
          <w:bCs/>
          <w:iCs/>
          <w:color w:val="0070C0"/>
          <w:lang w:val="en-US" w:eastAsia="zh-CN"/>
        </w:rPr>
        <w:t>1</w:t>
      </w:r>
      <w:r w:rsidRPr="00BD26BA">
        <w:rPr>
          <w:rFonts w:eastAsia="MS PGothic" w:cs="Calibri"/>
          <w:b/>
          <w:bCs/>
          <w:iCs/>
          <w:color w:val="0070C0"/>
          <w:lang w:val="en-US" w:eastAsia="zh-CN"/>
        </w:rPr>
        <w:t xml:space="preserve">: </w:t>
      </w:r>
      <w:r w:rsidRPr="00BB1989">
        <w:rPr>
          <w:rFonts w:eastAsia="MS PGothic" w:cs="Calibri"/>
          <w:b/>
          <w:bCs/>
          <w:iCs/>
          <w:color w:val="0070C0"/>
          <w:lang w:val="en-US" w:eastAsia="zh-CN"/>
        </w:rPr>
        <w:t>Introducing documents for strengthening the integrity of the procurement process</w:t>
      </w:r>
    </w:p>
    <w:p w14:paraId="278DFB4A" w14:textId="486EC671" w:rsidR="00A30E6E" w:rsidRDefault="00A30E6E" w:rsidP="00A30E6E">
      <w:pPr>
        <w:keepNext/>
        <w:keepLines/>
        <w:spacing w:before="160" w:after="60" w:line="240" w:lineRule="auto"/>
        <w:jc w:val="both"/>
        <w:outlineLvl w:val="3"/>
        <w:rPr>
          <w:rFonts w:cs="Calibri"/>
          <w:lang w:val="en-US"/>
        </w:rPr>
      </w:pPr>
      <w:r>
        <w:rPr>
          <w:rFonts w:cs="Calibri"/>
          <w:lang w:val="en-US"/>
        </w:rPr>
        <w:t>In 2024 a</w:t>
      </w:r>
      <w:r w:rsidRPr="008C761D">
        <w:rPr>
          <w:rFonts w:cs="Calibri"/>
          <w:lang w:val="en-US"/>
        </w:rPr>
        <w:t xml:space="preserve">dditional mechanisam for preventing corruption will be introduced. In this direction, PPB will prepare and publish a template of Statement for impartiality and confidentiality, aimed to secure the integrity of the procurement procedure. </w:t>
      </w:r>
    </w:p>
    <w:p w14:paraId="5CBFC4FA" w14:textId="46C4D42C" w:rsidR="00A30E6E" w:rsidRPr="00A30E6E" w:rsidRDefault="00A30E6E" w:rsidP="00A30E6E">
      <w:pPr>
        <w:keepNext/>
        <w:keepLines/>
        <w:spacing w:before="160" w:after="60" w:line="240" w:lineRule="auto"/>
        <w:jc w:val="both"/>
        <w:outlineLvl w:val="3"/>
        <w:rPr>
          <w:rFonts w:eastAsia="MS PGothic" w:cs="Calibri"/>
          <w:b/>
          <w:bCs/>
          <w:i/>
          <w:iCs/>
          <w:color w:val="4F81BD"/>
          <w:lang w:val="en-US" w:eastAsia="zh-CN"/>
        </w:rPr>
      </w:pPr>
      <w:r w:rsidRPr="00A30E6E">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A30E6E" w:rsidRPr="00A30E6E" w14:paraId="59023A97" w14:textId="77777777" w:rsidTr="00241538">
        <w:tc>
          <w:tcPr>
            <w:tcW w:w="3119" w:type="dxa"/>
            <w:tcBorders>
              <w:top w:val="nil"/>
              <w:bottom w:val="single" w:sz="4" w:space="0" w:color="FFFFFF"/>
            </w:tcBorders>
            <w:shd w:val="clear" w:color="auto" w:fill="1F3864"/>
          </w:tcPr>
          <w:p w14:paraId="4FE61B90"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Completed in year:</w:t>
            </w:r>
            <w:r w:rsidRPr="00A30E6E">
              <w:rPr>
                <w:rFonts w:cs="Calibri"/>
                <w:b/>
                <w:sz w:val="20"/>
                <w:szCs w:val="20"/>
                <w:lang w:val="en-US"/>
              </w:rPr>
              <w:tab/>
            </w:r>
          </w:p>
        </w:tc>
        <w:tc>
          <w:tcPr>
            <w:tcW w:w="5719" w:type="dxa"/>
            <w:tcBorders>
              <w:top w:val="nil"/>
              <w:bottom w:val="single" w:sz="4" w:space="0" w:color="FFFFFF"/>
            </w:tcBorders>
            <w:shd w:val="clear" w:color="auto" w:fill="D9E2F3"/>
          </w:tcPr>
          <w:p w14:paraId="49BC547E" w14:textId="77777777" w:rsidR="00A30E6E" w:rsidRPr="00A30E6E" w:rsidRDefault="00A30E6E" w:rsidP="00A30E6E">
            <w:pPr>
              <w:spacing w:line="240" w:lineRule="auto"/>
              <w:jc w:val="both"/>
              <w:rPr>
                <w:rFonts w:cs="Calibri"/>
                <w:sz w:val="20"/>
                <w:szCs w:val="20"/>
                <w:lang w:val="en-US"/>
              </w:rPr>
            </w:pPr>
            <w:r w:rsidRPr="00A30E6E">
              <w:rPr>
                <w:rFonts w:eastAsia="Times New Roman" w:cs="Calibri"/>
                <w:color w:val="202124"/>
                <w:sz w:val="20"/>
                <w:szCs w:val="20"/>
                <w:lang w:val="en-US"/>
              </w:rPr>
              <w:t>2024</w:t>
            </w:r>
          </w:p>
        </w:tc>
      </w:tr>
      <w:tr w:rsidR="00A30E6E" w:rsidRPr="00A30E6E" w14:paraId="42592415" w14:textId="77777777" w:rsidTr="00241538">
        <w:trPr>
          <w:trHeight w:val="527"/>
        </w:trPr>
        <w:tc>
          <w:tcPr>
            <w:tcW w:w="3119" w:type="dxa"/>
            <w:tcBorders>
              <w:top w:val="single" w:sz="4" w:space="0" w:color="FFFFFF"/>
              <w:bottom w:val="single" w:sz="4" w:space="0" w:color="FFFFFF"/>
            </w:tcBorders>
            <w:shd w:val="clear" w:color="auto" w:fill="1F3864"/>
          </w:tcPr>
          <w:p w14:paraId="458EA45F"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Deliverables:</w:t>
            </w:r>
          </w:p>
        </w:tc>
        <w:tc>
          <w:tcPr>
            <w:tcW w:w="5719" w:type="dxa"/>
            <w:tcBorders>
              <w:top w:val="single" w:sz="4" w:space="0" w:color="FFFFFF"/>
              <w:bottom w:val="single" w:sz="4" w:space="0" w:color="FFFFFF"/>
            </w:tcBorders>
            <w:shd w:val="clear" w:color="auto" w:fill="D9E2F3"/>
          </w:tcPr>
          <w:p w14:paraId="0C44B179"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Template of Statement for impartiality and confidentiality</w:t>
            </w:r>
          </w:p>
        </w:tc>
      </w:tr>
      <w:tr w:rsidR="00A30E6E" w:rsidRPr="00A30E6E" w14:paraId="22DD844E" w14:textId="77777777" w:rsidTr="00241538">
        <w:tc>
          <w:tcPr>
            <w:tcW w:w="3119" w:type="dxa"/>
            <w:tcBorders>
              <w:top w:val="single" w:sz="4" w:space="0" w:color="FFFFFF"/>
              <w:bottom w:val="single" w:sz="4" w:space="0" w:color="FFFFFF"/>
            </w:tcBorders>
            <w:shd w:val="clear" w:color="auto" w:fill="1F3864"/>
          </w:tcPr>
          <w:p w14:paraId="70CA0B26"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Cost implications:</w:t>
            </w:r>
          </w:p>
        </w:tc>
        <w:tc>
          <w:tcPr>
            <w:tcW w:w="5719" w:type="dxa"/>
            <w:tcBorders>
              <w:top w:val="single" w:sz="4" w:space="0" w:color="FFFFFF"/>
              <w:bottom w:val="single" w:sz="4" w:space="0" w:color="FFFFFF"/>
            </w:tcBorders>
            <w:shd w:val="clear" w:color="auto" w:fill="D9E2F3"/>
          </w:tcPr>
          <w:p w14:paraId="121AA2A0"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w:t>
            </w:r>
          </w:p>
        </w:tc>
      </w:tr>
      <w:tr w:rsidR="00A30E6E" w:rsidRPr="00A30E6E" w14:paraId="014168B1" w14:textId="77777777" w:rsidTr="00241538">
        <w:tc>
          <w:tcPr>
            <w:tcW w:w="3119" w:type="dxa"/>
            <w:tcBorders>
              <w:top w:val="single" w:sz="4" w:space="0" w:color="FFFFFF"/>
              <w:bottom w:val="single" w:sz="4" w:space="0" w:color="FFFFFF"/>
            </w:tcBorders>
            <w:shd w:val="clear" w:color="auto" w:fill="1F3864"/>
          </w:tcPr>
          <w:p w14:paraId="2729764F"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 xml:space="preserve">Responsible entity: </w:t>
            </w:r>
          </w:p>
        </w:tc>
        <w:tc>
          <w:tcPr>
            <w:tcW w:w="5719" w:type="dxa"/>
            <w:tcBorders>
              <w:top w:val="single" w:sz="4" w:space="0" w:color="FFFFFF"/>
              <w:bottom w:val="single" w:sz="4" w:space="0" w:color="FFFFFF"/>
            </w:tcBorders>
            <w:shd w:val="clear" w:color="auto" w:fill="D9E2F3"/>
          </w:tcPr>
          <w:p w14:paraId="7CAC8398"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PPB, SCPC</w:t>
            </w:r>
          </w:p>
        </w:tc>
      </w:tr>
      <w:tr w:rsidR="00A30E6E" w:rsidRPr="00A30E6E" w14:paraId="24FAE6A3" w14:textId="77777777" w:rsidTr="00241538">
        <w:trPr>
          <w:trHeight w:val="504"/>
        </w:trPr>
        <w:tc>
          <w:tcPr>
            <w:tcW w:w="3119" w:type="dxa"/>
            <w:tcBorders>
              <w:top w:val="single" w:sz="4" w:space="0" w:color="FFFFFF"/>
              <w:bottom w:val="nil"/>
            </w:tcBorders>
            <w:shd w:val="clear" w:color="auto" w:fill="1F3864"/>
          </w:tcPr>
          <w:p w14:paraId="4559F530"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Risk:</w:t>
            </w:r>
          </w:p>
        </w:tc>
        <w:tc>
          <w:tcPr>
            <w:tcW w:w="5719" w:type="dxa"/>
            <w:tcBorders>
              <w:top w:val="single" w:sz="4" w:space="0" w:color="FFFFFF"/>
              <w:bottom w:val="nil"/>
            </w:tcBorders>
            <w:shd w:val="clear" w:color="auto" w:fill="D9E2F3"/>
          </w:tcPr>
          <w:p w14:paraId="272016B2"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w:t>
            </w:r>
          </w:p>
          <w:p w14:paraId="15136AF5" w14:textId="77777777" w:rsidR="00A30E6E" w:rsidRPr="00A30E6E" w:rsidRDefault="00A30E6E" w:rsidP="00A30E6E">
            <w:pPr>
              <w:spacing w:after="0" w:line="240" w:lineRule="auto"/>
              <w:ind w:left="425"/>
              <w:jc w:val="both"/>
              <w:rPr>
                <w:rFonts w:eastAsia="Times New Roman" w:cs="Calibri"/>
                <w:color w:val="202124"/>
                <w:sz w:val="20"/>
                <w:szCs w:val="20"/>
                <w:lang w:val="en-US"/>
              </w:rPr>
            </w:pPr>
          </w:p>
        </w:tc>
      </w:tr>
    </w:tbl>
    <w:p w14:paraId="3F29AFED" w14:textId="77777777" w:rsidR="00A30E6E" w:rsidRPr="00BB1989" w:rsidRDefault="00A30E6E" w:rsidP="00A30E6E">
      <w:pPr>
        <w:keepNext/>
        <w:keepLines/>
        <w:spacing w:before="160" w:after="60" w:line="240" w:lineRule="auto"/>
        <w:jc w:val="both"/>
        <w:outlineLvl w:val="3"/>
        <w:rPr>
          <w:rFonts w:cs="Calibri"/>
          <w:lang w:val="en-US"/>
        </w:rPr>
      </w:pPr>
    </w:p>
    <w:p w14:paraId="6338D87E" w14:textId="5B93A606" w:rsidR="00A30E6E" w:rsidRDefault="00A30E6E" w:rsidP="00A30E6E">
      <w:pPr>
        <w:spacing w:after="0" w:line="240" w:lineRule="auto"/>
        <w:jc w:val="both"/>
        <w:rPr>
          <w:rFonts w:cs="Calibri"/>
          <w:b/>
          <w:color w:val="0070C0"/>
          <w:sz w:val="24"/>
          <w:szCs w:val="24"/>
          <w:lang w:val="en-US"/>
        </w:rPr>
      </w:pPr>
      <w:r w:rsidRPr="00A30E6E">
        <w:rPr>
          <w:rFonts w:cs="Calibri"/>
          <w:b/>
          <w:color w:val="0070C0"/>
          <w:sz w:val="24"/>
          <w:szCs w:val="24"/>
          <w:lang w:val="en-US"/>
        </w:rPr>
        <w:t>Measure 3: Introducing new system for education within PPB</w:t>
      </w:r>
    </w:p>
    <w:p w14:paraId="34457536" w14:textId="77777777" w:rsidR="00A30E6E" w:rsidRDefault="00A30E6E" w:rsidP="00A30E6E">
      <w:pPr>
        <w:spacing w:after="0" w:line="240" w:lineRule="auto"/>
        <w:jc w:val="both"/>
        <w:rPr>
          <w:rFonts w:eastAsia="MS PGothic" w:cs="Calibri"/>
          <w:b/>
          <w:bCs/>
          <w:i/>
          <w:iCs/>
          <w:color w:val="4F81BD"/>
          <w:lang w:val="en-US" w:eastAsia="zh-CN"/>
        </w:rPr>
      </w:pPr>
    </w:p>
    <w:p w14:paraId="3E99E9DF" w14:textId="31696B48" w:rsidR="00A30E6E" w:rsidRPr="00A30E6E" w:rsidRDefault="00A30E6E" w:rsidP="00A30E6E">
      <w:pPr>
        <w:spacing w:after="0" w:line="240" w:lineRule="auto"/>
        <w:jc w:val="both"/>
        <w:rPr>
          <w:rFonts w:eastAsia="MS PGothic" w:cs="Calibri"/>
          <w:b/>
          <w:bCs/>
          <w:i/>
          <w:iCs/>
          <w:color w:val="4F81BD"/>
          <w:lang w:val="en-US" w:eastAsia="zh-CN"/>
        </w:rPr>
      </w:pPr>
      <w:r w:rsidRPr="00A30E6E">
        <w:rPr>
          <w:rFonts w:eastAsia="MS PGothic" w:cs="Calibri"/>
          <w:b/>
          <w:bCs/>
          <w:i/>
          <w:iCs/>
          <w:color w:val="4F81BD"/>
          <w:lang w:val="en-US" w:eastAsia="zh-CN"/>
        </w:rPr>
        <w:t>Measure objective</w:t>
      </w:r>
    </w:p>
    <w:p w14:paraId="31ADF8C3" w14:textId="77777777" w:rsidR="00A30E6E" w:rsidRPr="00A30E6E" w:rsidRDefault="00A30E6E" w:rsidP="00A30E6E">
      <w:pPr>
        <w:spacing w:after="0" w:line="240" w:lineRule="auto"/>
        <w:jc w:val="both"/>
        <w:rPr>
          <w:rFonts w:eastAsia="MS PGothic" w:cs="Calibri"/>
          <w:b/>
          <w:bCs/>
          <w:i/>
          <w:iCs/>
          <w:color w:val="4F81BD"/>
          <w:sz w:val="10"/>
          <w:szCs w:val="10"/>
          <w:lang w:val="en-US" w:eastAsia="zh-CN"/>
        </w:rPr>
      </w:pPr>
    </w:p>
    <w:p w14:paraId="7A2D2821" w14:textId="77777777" w:rsidR="00A30E6E" w:rsidRPr="00A30E6E" w:rsidRDefault="00A30E6E" w:rsidP="00A30E6E">
      <w:pPr>
        <w:spacing w:line="240" w:lineRule="auto"/>
        <w:jc w:val="both"/>
        <w:rPr>
          <w:rFonts w:cs="Calibri"/>
          <w:lang w:val="en-US"/>
        </w:rPr>
      </w:pPr>
      <w:r w:rsidRPr="00A30E6E">
        <w:rPr>
          <w:rFonts w:cs="Calibri"/>
          <w:bCs/>
          <w:lang w:val="en-US"/>
        </w:rPr>
        <w:t>Improve the knowledge and skills of public procurement officers.</w:t>
      </w:r>
    </w:p>
    <w:p w14:paraId="26C38E35" w14:textId="77777777" w:rsidR="00A30E6E" w:rsidRPr="00A30E6E" w:rsidRDefault="00A30E6E" w:rsidP="00A30E6E">
      <w:pPr>
        <w:spacing w:line="240" w:lineRule="auto"/>
        <w:jc w:val="both"/>
        <w:rPr>
          <w:rFonts w:eastAsia="MS PGothic" w:cs="Calibri"/>
          <w:b/>
          <w:bCs/>
          <w:i/>
          <w:iCs/>
          <w:color w:val="4F81BD"/>
          <w:lang w:val="en-US" w:eastAsia="zh-CN"/>
        </w:rPr>
      </w:pPr>
      <w:r w:rsidRPr="00A30E6E">
        <w:rPr>
          <w:rFonts w:eastAsia="MS PGothic" w:cs="Calibri"/>
          <w:b/>
          <w:bCs/>
          <w:i/>
          <w:iCs/>
          <w:color w:val="4F81BD"/>
          <w:lang w:val="en-US" w:eastAsia="zh-CN"/>
        </w:rPr>
        <w:t xml:space="preserve">Reference to the external </w:t>
      </w:r>
      <w:proofErr w:type="gramStart"/>
      <w:r w:rsidRPr="00A30E6E">
        <w:rPr>
          <w:rFonts w:eastAsia="MS PGothic" w:cs="Calibri"/>
          <w:b/>
          <w:bCs/>
          <w:i/>
          <w:iCs/>
          <w:color w:val="4F81BD"/>
          <w:lang w:val="en-US" w:eastAsia="zh-CN"/>
        </w:rPr>
        <w:t>assessments</w:t>
      </w:r>
      <w:proofErr w:type="gramEnd"/>
      <w:r w:rsidRPr="00A30E6E">
        <w:rPr>
          <w:rFonts w:eastAsia="MS PGothic" w:cs="Calibri"/>
          <w:b/>
          <w:bCs/>
          <w:i/>
          <w:iCs/>
          <w:color w:val="4F81BD"/>
          <w:lang w:val="en-US" w:eastAsia="zh-CN"/>
        </w:rPr>
        <w:t xml:space="preserve">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A30E6E" w:rsidRPr="00A30E6E" w14:paraId="1E689395" w14:textId="77777777" w:rsidTr="00241538">
        <w:trPr>
          <w:trHeight w:val="586"/>
        </w:trPr>
        <w:tc>
          <w:tcPr>
            <w:tcW w:w="1470" w:type="dxa"/>
            <w:shd w:val="clear" w:color="auto" w:fill="DDDDDD"/>
          </w:tcPr>
          <w:p w14:paraId="7800AD5D" w14:textId="77777777" w:rsidR="00A30E6E" w:rsidRPr="00A30E6E" w:rsidRDefault="00A30E6E" w:rsidP="00A30E6E">
            <w:pPr>
              <w:spacing w:after="0" w:line="240" w:lineRule="auto"/>
              <w:jc w:val="both"/>
              <w:rPr>
                <w:rFonts w:cs="Calibri"/>
                <w:b/>
                <w:sz w:val="20"/>
                <w:szCs w:val="20"/>
                <w:lang w:val="en-US"/>
              </w:rPr>
            </w:pPr>
            <w:r w:rsidRPr="00A30E6E">
              <w:rPr>
                <w:rFonts w:cs="Calibri"/>
                <w:b/>
                <w:sz w:val="20"/>
                <w:szCs w:val="20"/>
                <w:lang w:val="en-US"/>
              </w:rPr>
              <w:t>SCREENING REPORT,</w:t>
            </w:r>
          </w:p>
          <w:p w14:paraId="4D07C1CB" w14:textId="77777777" w:rsidR="00A30E6E" w:rsidRPr="00A30E6E" w:rsidRDefault="00A30E6E" w:rsidP="00A30E6E">
            <w:pPr>
              <w:spacing w:after="0" w:line="240" w:lineRule="auto"/>
              <w:rPr>
                <w:rFonts w:cs="Calibri"/>
                <w:b/>
                <w:sz w:val="20"/>
                <w:szCs w:val="20"/>
                <w:lang w:val="en-US"/>
              </w:rPr>
            </w:pPr>
            <w:r w:rsidRPr="00A30E6E">
              <w:rPr>
                <w:rFonts w:cs="Calibri"/>
                <w:b/>
                <w:sz w:val="20"/>
                <w:szCs w:val="20"/>
                <w:lang w:val="en-US"/>
              </w:rPr>
              <w:t>Cluster 1 Fundamentals– Public procurement</w:t>
            </w:r>
          </w:p>
          <w:p w14:paraId="3DA27013" w14:textId="77777777" w:rsidR="00A30E6E" w:rsidRPr="00A30E6E" w:rsidRDefault="00A30E6E" w:rsidP="00A30E6E">
            <w:pPr>
              <w:spacing w:line="240" w:lineRule="auto"/>
              <w:jc w:val="both"/>
              <w:rPr>
                <w:rFonts w:cs="Calibri"/>
                <w:sz w:val="20"/>
                <w:szCs w:val="20"/>
                <w:lang w:val="en-US"/>
              </w:rPr>
            </w:pPr>
            <w:r w:rsidRPr="00A30E6E">
              <w:rPr>
                <w:rFonts w:cs="Calibri"/>
                <w:b/>
                <w:sz w:val="20"/>
                <w:szCs w:val="20"/>
                <w:lang w:val="en-US"/>
              </w:rPr>
              <w:t>2023</w:t>
            </w:r>
          </w:p>
        </w:tc>
        <w:tc>
          <w:tcPr>
            <w:tcW w:w="7573" w:type="dxa"/>
            <w:shd w:val="clear" w:color="auto" w:fill="DDDDDD"/>
          </w:tcPr>
          <w:p w14:paraId="1BB24EE3" w14:textId="77777777" w:rsidR="00A30E6E" w:rsidRPr="00A30E6E" w:rsidRDefault="00A30E6E" w:rsidP="00A30E6E">
            <w:pPr>
              <w:spacing w:after="0" w:line="240" w:lineRule="auto"/>
              <w:jc w:val="both"/>
              <w:rPr>
                <w:sz w:val="20"/>
                <w:szCs w:val="20"/>
                <w:lang w:val="en-US"/>
              </w:rPr>
            </w:pPr>
            <w:r w:rsidRPr="00A30E6E">
              <w:rPr>
                <w:rFonts w:eastAsia="Times New Roman" w:cs="Calibri"/>
                <w:color w:val="202124"/>
                <w:sz w:val="20"/>
                <w:szCs w:val="20"/>
                <w:lang w:val="en-US"/>
              </w:rPr>
              <w:t>Support to contracting authorities on implementing the PPL, in particular on the use of the MEAT criterion, and training for contracting authorities and entities needs to be improved and expanded under a reviewed certification programme</w:t>
            </w:r>
          </w:p>
          <w:p w14:paraId="228926F8"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Continuous training of staff at the contracting authorities and entities and economic operators must be ensured. The training curriculum should also address practical aspects of the application of the Law.</w:t>
            </w:r>
          </w:p>
          <w:p w14:paraId="02A8BD08"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North Macedonia needs to increase efforts to prevent corruption, by improving the functioning of the overall system to increase competition, compliance and professionalisation. It should focus on increasing staffing and training at the PPB, the SAC and the contracting authorities and on strengthening the institutional set-up for overseeing concessions and PPPs.</w:t>
            </w:r>
          </w:p>
        </w:tc>
      </w:tr>
      <w:tr w:rsidR="00A30E6E" w:rsidRPr="00A30E6E" w14:paraId="0441E4E2" w14:textId="77777777" w:rsidTr="00241538">
        <w:trPr>
          <w:trHeight w:val="586"/>
        </w:trPr>
        <w:tc>
          <w:tcPr>
            <w:tcW w:w="1470" w:type="dxa"/>
            <w:shd w:val="clear" w:color="auto" w:fill="DDDDDD"/>
          </w:tcPr>
          <w:p w14:paraId="2CF26D09" w14:textId="77777777" w:rsidR="00A30E6E" w:rsidRPr="00A30E6E" w:rsidRDefault="00A30E6E" w:rsidP="00A30E6E">
            <w:pPr>
              <w:spacing w:after="0" w:line="240" w:lineRule="auto"/>
              <w:rPr>
                <w:rFonts w:cs="Calibri"/>
                <w:b/>
                <w:sz w:val="20"/>
                <w:szCs w:val="20"/>
                <w:lang w:val="en-US"/>
              </w:rPr>
            </w:pPr>
            <w:r w:rsidRPr="00A30E6E">
              <w:rPr>
                <w:rFonts w:cs="Calibri"/>
                <w:b/>
                <w:sz w:val="20"/>
                <w:szCs w:val="20"/>
                <w:lang w:val="en-US"/>
              </w:rPr>
              <w:t>EC REPORT NORTH MACEDONIA 2023</w:t>
            </w:r>
          </w:p>
        </w:tc>
        <w:tc>
          <w:tcPr>
            <w:tcW w:w="7573" w:type="dxa"/>
            <w:shd w:val="clear" w:color="auto" w:fill="DDDDDD"/>
          </w:tcPr>
          <w:p w14:paraId="6B4DBBB2"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The capacity of both central and local contracting authorities needs to be strengthened.</w:t>
            </w:r>
          </w:p>
          <w:p w14:paraId="20269C2B"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Use of 'most economically advantageous tender' (MEAT) is still limited. There is a need for organisation of continuous training of contracting authorities on how to apply this criterion.</w:t>
            </w:r>
          </w:p>
        </w:tc>
      </w:tr>
      <w:tr w:rsidR="00A30E6E" w:rsidRPr="00A30E6E" w14:paraId="72B20C77" w14:textId="77777777" w:rsidTr="00241538">
        <w:tc>
          <w:tcPr>
            <w:tcW w:w="1470" w:type="dxa"/>
            <w:shd w:val="clear" w:color="auto" w:fill="DDDDDD"/>
          </w:tcPr>
          <w:p w14:paraId="6EF65B9C"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SIGMA 2021:</w:t>
            </w:r>
          </w:p>
        </w:tc>
        <w:tc>
          <w:tcPr>
            <w:tcW w:w="7573" w:type="dxa"/>
            <w:shd w:val="clear" w:color="auto" w:fill="DDDDDD"/>
          </w:tcPr>
          <w:p w14:paraId="7C2561A2"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 xml:space="preserve">Public procurement operations comply with the basic principles of equal treatment, non-discrimination, proportionality and transparency. However, the introduction of the new PPL in 2019 which is substantially compliant with the 2014 EU Directives and introduces </w:t>
            </w:r>
            <w:r w:rsidRPr="00A30E6E">
              <w:rPr>
                <w:rFonts w:eastAsia="Times New Roman" w:cs="Calibri"/>
                <w:color w:val="202124"/>
                <w:sz w:val="20"/>
                <w:szCs w:val="20"/>
                <w:lang w:val="en-US"/>
              </w:rPr>
              <w:lastRenderedPageBreak/>
              <w:t>flexibilities, has had minimal practical impact. Old habits have not changed and the levels of competition have not shown marked improvement. The continued extremely high number of awards based on the lowest price using e-auctions, and the limited use of centralised procurement means that the most efficient use of public funds is unlikely. Contract management remains a significant area for improvement.</w:t>
            </w:r>
          </w:p>
          <w:p w14:paraId="411F8EB2"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 xml:space="preserve">The PPB has continued to deliver certification training and publish guidance, despite challenges presented by the pandemic, but the focus in training is on legal compliance. Practical guidelines, tools and training, have not been fully updated or aligned with the new PPL. </w:t>
            </w:r>
          </w:p>
        </w:tc>
      </w:tr>
      <w:tr w:rsidR="00A30E6E" w:rsidRPr="00A30E6E" w14:paraId="027486BB" w14:textId="77777777" w:rsidTr="00241538">
        <w:tc>
          <w:tcPr>
            <w:tcW w:w="1470" w:type="dxa"/>
            <w:shd w:val="clear" w:color="auto" w:fill="DDDDDD"/>
          </w:tcPr>
          <w:p w14:paraId="33952E36"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lastRenderedPageBreak/>
              <w:t>PEFA 2021:</w:t>
            </w:r>
          </w:p>
        </w:tc>
        <w:tc>
          <w:tcPr>
            <w:tcW w:w="7573" w:type="dxa"/>
            <w:shd w:val="clear" w:color="auto" w:fill="DDDDDD"/>
          </w:tcPr>
          <w:p w14:paraId="7D1AA68E"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Ensure continuous capacity building in public procurement through design and implementation of training plans, twinning arrangements and other capacity building   programs.</w:t>
            </w:r>
          </w:p>
        </w:tc>
      </w:tr>
      <w:tr w:rsidR="00A30E6E" w:rsidRPr="00A30E6E" w14:paraId="6DC8DE25" w14:textId="77777777" w:rsidTr="00241538">
        <w:tc>
          <w:tcPr>
            <w:tcW w:w="1470" w:type="dxa"/>
            <w:shd w:val="clear" w:color="auto" w:fill="DDDDDD"/>
          </w:tcPr>
          <w:p w14:paraId="4B617233"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EU:</w:t>
            </w:r>
          </w:p>
        </w:tc>
        <w:tc>
          <w:tcPr>
            <w:tcW w:w="7573" w:type="dxa"/>
            <w:shd w:val="clear" w:color="auto" w:fill="DDDDDD"/>
          </w:tcPr>
          <w:p w14:paraId="7466E631"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Ensure the efficient implementation of the public procurement legal framework, including the development and adoption of the Law on Public-Private Partnerships, the Law on Concessions and the bylaw on low-value e-marketplace;</w:t>
            </w:r>
          </w:p>
          <w:p w14:paraId="2A99EA93"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The quality of tender documentation remains a challenge for smaller contracting authorities.</w:t>
            </w:r>
          </w:p>
        </w:tc>
      </w:tr>
    </w:tbl>
    <w:p w14:paraId="4A551F2D" w14:textId="77777777" w:rsidR="00A30E6E" w:rsidRPr="00A30E6E" w:rsidRDefault="00A30E6E" w:rsidP="00A30E6E">
      <w:pPr>
        <w:spacing w:after="0" w:line="240" w:lineRule="auto"/>
        <w:jc w:val="both"/>
        <w:rPr>
          <w:rFonts w:cs="Calibri"/>
          <w:b/>
          <w:color w:val="0070C0"/>
          <w:sz w:val="24"/>
          <w:szCs w:val="24"/>
          <w:lang w:val="en-US"/>
        </w:rPr>
      </w:pPr>
    </w:p>
    <w:p w14:paraId="70083D88" w14:textId="77777777" w:rsidR="00A30E6E" w:rsidRPr="00A30E6E" w:rsidRDefault="00A30E6E" w:rsidP="00A30E6E">
      <w:pPr>
        <w:keepNext/>
        <w:keepLines/>
        <w:spacing w:before="160" w:after="60" w:line="240" w:lineRule="auto"/>
        <w:jc w:val="both"/>
        <w:outlineLvl w:val="3"/>
        <w:rPr>
          <w:rFonts w:eastAsia="MS PGothic" w:cs="Calibri"/>
          <w:b/>
          <w:bCs/>
          <w:i/>
          <w:iCs/>
          <w:color w:val="4F81BD"/>
          <w:lang w:val="en-US" w:eastAsia="zh-CN"/>
        </w:rPr>
      </w:pPr>
      <w:r w:rsidRPr="00A30E6E">
        <w:rPr>
          <w:rFonts w:eastAsia="MS PGothic" w:cs="Calibri"/>
          <w:b/>
          <w:bCs/>
          <w:i/>
          <w:iCs/>
          <w:color w:val="4F81BD"/>
          <w:lang w:val="en-US" w:eastAsia="zh-CN"/>
        </w:rPr>
        <w:t>Context / Background</w:t>
      </w:r>
    </w:p>
    <w:p w14:paraId="072D8A8A" w14:textId="77777777" w:rsidR="00A30E6E" w:rsidRPr="00A30E6E" w:rsidRDefault="00A30E6E" w:rsidP="00A30E6E">
      <w:pPr>
        <w:tabs>
          <w:tab w:val="left" w:pos="851"/>
        </w:tabs>
        <w:spacing w:before="120"/>
        <w:jc w:val="both"/>
      </w:pPr>
      <w:r w:rsidRPr="00A30E6E">
        <w:t xml:space="preserve">It is a general impression that the main weakness and challenge </w:t>
      </w:r>
      <w:r w:rsidRPr="00A30E6E">
        <w:rPr>
          <w:lang w:val="en-GB"/>
        </w:rPr>
        <w:t xml:space="preserve">in public procurement </w:t>
      </w:r>
      <w:r w:rsidRPr="00A30E6E">
        <w:t xml:space="preserve">is the lack of the capacity for implementation </w:t>
      </w:r>
      <w:r w:rsidRPr="00A30E6E">
        <w:rPr>
          <w:lang w:val="en-GB"/>
        </w:rPr>
        <w:t xml:space="preserve">of LPP and </w:t>
      </w:r>
      <w:r w:rsidRPr="00A30E6E">
        <w:t>good practices.</w:t>
      </w:r>
      <w:r w:rsidRPr="00A30E6E">
        <w:rPr>
          <w:lang w:val="en-GB"/>
        </w:rPr>
        <w:t xml:space="preserve"> </w:t>
      </w:r>
      <w:r w:rsidRPr="00A30E6E">
        <w:t xml:space="preserve">In relation to the abovementioned, it is accepted the need for revising the concept for </w:t>
      </w:r>
      <w:r w:rsidRPr="00A30E6E">
        <w:rPr>
          <w:lang w:val="en-GB"/>
        </w:rPr>
        <w:t>education</w:t>
      </w:r>
      <w:r w:rsidRPr="00A30E6E">
        <w:t xml:space="preserve"> of the public procurement officials through rationalisation of the training programme and creating improved, extended and more flexible programme which will contribute to strengthening the administrative capacity for duly implementation of the legal framework. </w:t>
      </w:r>
    </w:p>
    <w:p w14:paraId="7928749F" w14:textId="77777777" w:rsidR="00A30E6E" w:rsidRPr="00A30E6E" w:rsidRDefault="00A30E6E" w:rsidP="00A30E6E">
      <w:pPr>
        <w:spacing w:line="240" w:lineRule="auto"/>
        <w:jc w:val="both"/>
        <w:rPr>
          <w:rFonts w:cs="Calibri"/>
          <w:lang w:val="en-US"/>
        </w:rPr>
      </w:pPr>
      <w:r w:rsidRPr="00A30E6E">
        <w:t xml:space="preserve">It is expected that it will contribute to developing better skills and knowledge for implementation of the legal framework, in all phases of the process, especially planning, market analysis/preliminary market consultations, preparation of tender documentation, evaluation as well as contract management.  </w:t>
      </w:r>
    </w:p>
    <w:p w14:paraId="200EE336" w14:textId="77777777" w:rsidR="00A30E6E" w:rsidRPr="00A30E6E" w:rsidRDefault="00A30E6E" w:rsidP="00A30E6E">
      <w:pPr>
        <w:spacing w:line="240" w:lineRule="auto"/>
        <w:jc w:val="both"/>
        <w:rPr>
          <w:rFonts w:eastAsia="MS PGothic" w:cs="Calibri"/>
          <w:b/>
          <w:bCs/>
          <w:iCs/>
          <w:color w:val="0070C0"/>
          <w:lang w:val="en-US" w:eastAsia="zh-CN"/>
        </w:rPr>
      </w:pPr>
      <w:r w:rsidRPr="00A30E6E">
        <w:rPr>
          <w:rFonts w:eastAsia="MS PGothic" w:cs="Calibri"/>
          <w:b/>
          <w:bCs/>
          <w:iCs/>
          <w:color w:val="0070C0"/>
          <w:lang w:val="en-US" w:eastAsia="zh-CN"/>
        </w:rPr>
        <w:t>Activity 3: Revision of the education programme</w:t>
      </w:r>
    </w:p>
    <w:p w14:paraId="762F545F" w14:textId="77777777" w:rsidR="00A30E6E" w:rsidRPr="00A30E6E" w:rsidRDefault="00A30E6E" w:rsidP="00A30E6E">
      <w:pPr>
        <w:spacing w:line="240" w:lineRule="auto"/>
        <w:jc w:val="both"/>
        <w:rPr>
          <w:lang w:val="en-US" w:eastAsia="zh-CN"/>
        </w:rPr>
      </w:pPr>
      <w:r w:rsidRPr="00A30E6E">
        <w:rPr>
          <w:lang w:val="en-US" w:eastAsia="zh-CN"/>
        </w:rPr>
        <w:t>PPB, with support of Twinning project experts, will analyze and review the Programme for education of public procurement officers, based on ProcurCompEU guidance and a draft – proposal of integrating of applicable ProcurCompEU aspects in the reviewed programme for education will be developed.</w:t>
      </w:r>
    </w:p>
    <w:p w14:paraId="15DE331F" w14:textId="77777777" w:rsidR="00522D07" w:rsidRPr="008C761D" w:rsidRDefault="00522D07"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522D07" w:rsidRPr="008C761D" w14:paraId="4D812EAC" w14:textId="77777777" w:rsidTr="00BD26BA">
        <w:tc>
          <w:tcPr>
            <w:tcW w:w="3119" w:type="dxa"/>
            <w:tcBorders>
              <w:top w:val="nil"/>
              <w:bottom w:val="single" w:sz="4" w:space="0" w:color="FFFFFF"/>
            </w:tcBorders>
            <w:shd w:val="clear" w:color="auto" w:fill="1F3864"/>
          </w:tcPr>
          <w:p w14:paraId="085BD94C"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Completed in year:</w:t>
            </w:r>
            <w:r w:rsidRPr="008C761D">
              <w:rPr>
                <w:rFonts w:cs="Calibri"/>
                <w:b/>
                <w:sz w:val="20"/>
                <w:szCs w:val="20"/>
                <w:lang w:val="en-US"/>
              </w:rPr>
              <w:tab/>
            </w:r>
          </w:p>
        </w:tc>
        <w:tc>
          <w:tcPr>
            <w:tcW w:w="5719" w:type="dxa"/>
            <w:tcBorders>
              <w:top w:val="nil"/>
              <w:bottom w:val="single" w:sz="4" w:space="0" w:color="FFFFFF"/>
            </w:tcBorders>
            <w:shd w:val="clear" w:color="auto" w:fill="D9E2F3"/>
          </w:tcPr>
          <w:p w14:paraId="46ABF274" w14:textId="4341E4CE" w:rsidR="00522D07" w:rsidRPr="008C761D" w:rsidRDefault="006B1F2A" w:rsidP="006B1F2A">
            <w:pPr>
              <w:spacing w:line="240" w:lineRule="auto"/>
              <w:jc w:val="both"/>
              <w:rPr>
                <w:rFonts w:cs="Calibri"/>
                <w:sz w:val="20"/>
                <w:szCs w:val="20"/>
                <w:lang w:val="en-US"/>
              </w:rPr>
            </w:pPr>
            <w:r w:rsidRPr="008C761D">
              <w:rPr>
                <w:rFonts w:eastAsia="Times New Roman" w:cs="Calibri"/>
                <w:color w:val="202124"/>
                <w:sz w:val="20"/>
                <w:szCs w:val="20"/>
                <w:lang w:val="en-US"/>
              </w:rPr>
              <w:t>2027</w:t>
            </w:r>
          </w:p>
        </w:tc>
      </w:tr>
      <w:tr w:rsidR="00522D07" w:rsidRPr="008C761D" w14:paraId="4605216C" w14:textId="77777777" w:rsidTr="00A30E6E">
        <w:trPr>
          <w:trHeight w:val="1124"/>
        </w:trPr>
        <w:tc>
          <w:tcPr>
            <w:tcW w:w="3119" w:type="dxa"/>
            <w:tcBorders>
              <w:top w:val="single" w:sz="4" w:space="0" w:color="FFFFFF"/>
              <w:bottom w:val="single" w:sz="4" w:space="0" w:color="FFFFFF"/>
            </w:tcBorders>
            <w:shd w:val="clear" w:color="auto" w:fill="1F3864"/>
          </w:tcPr>
          <w:p w14:paraId="6FE850DA"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Deliverables:</w:t>
            </w:r>
          </w:p>
        </w:tc>
        <w:tc>
          <w:tcPr>
            <w:tcW w:w="5719" w:type="dxa"/>
            <w:tcBorders>
              <w:top w:val="single" w:sz="4" w:space="0" w:color="FFFFFF"/>
              <w:bottom w:val="single" w:sz="4" w:space="0" w:color="FFFFFF"/>
            </w:tcBorders>
            <w:shd w:val="clear" w:color="auto" w:fill="D9E2F3"/>
          </w:tcPr>
          <w:p w14:paraId="743CAEDA" w14:textId="77777777" w:rsidR="00A30E6E" w:rsidRPr="008C761D" w:rsidRDefault="00A30E6E" w:rsidP="00A30E6E">
            <w:pPr>
              <w:numPr>
                <w:ilvl w:val="0"/>
                <w:numId w:val="29"/>
              </w:numPr>
              <w:spacing w:after="0" w:line="240" w:lineRule="auto"/>
              <w:ind w:left="212" w:hanging="238"/>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Revision of the </w:t>
            </w:r>
            <w:bookmarkStart w:id="43" w:name="_Hlk160026225"/>
            <w:r w:rsidRPr="008C761D">
              <w:rPr>
                <w:rFonts w:eastAsia="Times New Roman" w:cs="Calibri"/>
                <w:color w:val="202124"/>
                <w:sz w:val="20"/>
                <w:szCs w:val="20"/>
                <w:lang w:val="en-US"/>
              </w:rPr>
              <w:t xml:space="preserve">Programme for education </w:t>
            </w:r>
            <w:bookmarkEnd w:id="43"/>
            <w:r w:rsidRPr="008C761D">
              <w:rPr>
                <w:rFonts w:eastAsia="Times New Roman" w:cs="Calibri"/>
                <w:color w:val="202124"/>
                <w:sz w:val="20"/>
                <w:szCs w:val="20"/>
                <w:lang w:val="en-US"/>
              </w:rPr>
              <w:t>with recommendations;</w:t>
            </w:r>
          </w:p>
          <w:p w14:paraId="570CC9F2" w14:textId="77777777" w:rsidR="00A30E6E" w:rsidRPr="008C761D" w:rsidRDefault="00A30E6E" w:rsidP="00A30E6E">
            <w:pPr>
              <w:numPr>
                <w:ilvl w:val="0"/>
                <w:numId w:val="29"/>
              </w:numPr>
              <w:spacing w:after="0" w:line="240" w:lineRule="auto"/>
              <w:ind w:left="212" w:hanging="238"/>
              <w:jc w:val="both"/>
              <w:rPr>
                <w:rFonts w:eastAsia="Times New Roman" w:cs="Calibri"/>
                <w:color w:val="202124"/>
                <w:sz w:val="20"/>
                <w:szCs w:val="20"/>
                <w:lang w:val="en-US"/>
              </w:rPr>
            </w:pPr>
            <w:r w:rsidRPr="008C761D">
              <w:rPr>
                <w:rFonts w:eastAsia="Times New Roman" w:cs="Calibri"/>
                <w:color w:val="202124"/>
                <w:sz w:val="20"/>
                <w:szCs w:val="20"/>
                <w:lang w:val="en-US"/>
              </w:rPr>
              <w:t>Rulebook for education;</w:t>
            </w:r>
          </w:p>
          <w:p w14:paraId="20AC205C" w14:textId="77777777" w:rsidR="00A30E6E" w:rsidRPr="008C761D" w:rsidRDefault="00A30E6E" w:rsidP="00A30E6E">
            <w:pPr>
              <w:numPr>
                <w:ilvl w:val="0"/>
                <w:numId w:val="29"/>
              </w:numPr>
              <w:spacing w:after="0" w:line="240" w:lineRule="auto"/>
              <w:ind w:left="212" w:hanging="238"/>
              <w:jc w:val="both"/>
              <w:rPr>
                <w:rFonts w:eastAsia="Times New Roman" w:cs="Calibri"/>
                <w:color w:val="202124"/>
                <w:sz w:val="20"/>
                <w:szCs w:val="20"/>
                <w:lang w:val="en-US"/>
              </w:rPr>
            </w:pPr>
            <w:r w:rsidRPr="008C761D">
              <w:rPr>
                <w:rFonts w:eastAsia="Times New Roman" w:cs="Calibri"/>
                <w:color w:val="202124"/>
                <w:sz w:val="20"/>
                <w:szCs w:val="20"/>
                <w:lang w:val="en-US"/>
              </w:rPr>
              <w:t>Tariff Book of the fee for delivering education;</w:t>
            </w:r>
          </w:p>
          <w:p w14:paraId="70714F89" w14:textId="24C35265" w:rsidR="00522D07" w:rsidRPr="0037730E" w:rsidRDefault="00522D07" w:rsidP="00A30E6E">
            <w:pPr>
              <w:spacing w:after="0" w:line="240" w:lineRule="auto"/>
              <w:ind w:left="-26"/>
              <w:jc w:val="both"/>
              <w:rPr>
                <w:rFonts w:eastAsia="Times New Roman" w:cs="Calibri"/>
                <w:color w:val="202124"/>
                <w:sz w:val="20"/>
                <w:szCs w:val="20"/>
                <w:lang w:val="en-US"/>
              </w:rPr>
            </w:pPr>
          </w:p>
        </w:tc>
      </w:tr>
      <w:tr w:rsidR="00522D07" w:rsidRPr="008C761D" w14:paraId="097AE91B" w14:textId="77777777" w:rsidTr="00BD26BA">
        <w:tc>
          <w:tcPr>
            <w:tcW w:w="3119" w:type="dxa"/>
            <w:tcBorders>
              <w:top w:val="single" w:sz="4" w:space="0" w:color="FFFFFF"/>
              <w:bottom w:val="single" w:sz="4" w:space="0" w:color="FFFFFF"/>
            </w:tcBorders>
            <w:shd w:val="clear" w:color="auto" w:fill="1F3864"/>
          </w:tcPr>
          <w:p w14:paraId="4DE00061"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Cost implications:</w:t>
            </w:r>
          </w:p>
        </w:tc>
        <w:tc>
          <w:tcPr>
            <w:tcW w:w="5719" w:type="dxa"/>
            <w:tcBorders>
              <w:top w:val="single" w:sz="4" w:space="0" w:color="FFFFFF"/>
              <w:bottom w:val="single" w:sz="4" w:space="0" w:color="FFFFFF"/>
            </w:tcBorders>
            <w:shd w:val="clear" w:color="auto" w:fill="D9E2F3"/>
          </w:tcPr>
          <w:p w14:paraId="257B6268" w14:textId="185B2056" w:rsidR="00522D07" w:rsidRPr="008C761D" w:rsidRDefault="00A30E6E" w:rsidP="00E84CD0">
            <w:pPr>
              <w:spacing w:line="240" w:lineRule="auto"/>
              <w:jc w:val="both"/>
              <w:rPr>
                <w:rFonts w:eastAsia="Times New Roman" w:cs="Calibri"/>
                <w:color w:val="202124"/>
                <w:sz w:val="20"/>
                <w:szCs w:val="20"/>
                <w:lang w:val="en-US"/>
              </w:rPr>
            </w:pPr>
            <w:r>
              <w:rPr>
                <w:rFonts w:eastAsia="Times New Roman" w:cs="Calibri"/>
                <w:color w:val="202124"/>
                <w:sz w:val="20"/>
                <w:szCs w:val="20"/>
                <w:lang w:val="en-US"/>
              </w:rPr>
              <w:t>/</w:t>
            </w:r>
          </w:p>
        </w:tc>
      </w:tr>
      <w:tr w:rsidR="00522D07" w:rsidRPr="008C761D" w14:paraId="6FC5ABB4" w14:textId="77777777" w:rsidTr="00BD26BA">
        <w:tc>
          <w:tcPr>
            <w:tcW w:w="3119" w:type="dxa"/>
            <w:tcBorders>
              <w:top w:val="single" w:sz="4" w:space="0" w:color="FFFFFF"/>
              <w:bottom w:val="single" w:sz="4" w:space="0" w:color="FFFFFF"/>
            </w:tcBorders>
            <w:shd w:val="clear" w:color="auto" w:fill="1F3864"/>
          </w:tcPr>
          <w:p w14:paraId="4B4D6290"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 xml:space="preserve">Responsible entity: </w:t>
            </w:r>
          </w:p>
        </w:tc>
        <w:tc>
          <w:tcPr>
            <w:tcW w:w="5719" w:type="dxa"/>
            <w:tcBorders>
              <w:top w:val="single" w:sz="4" w:space="0" w:color="FFFFFF"/>
              <w:bottom w:val="single" w:sz="4" w:space="0" w:color="FFFFFF"/>
            </w:tcBorders>
            <w:shd w:val="clear" w:color="auto" w:fill="D9E2F3"/>
          </w:tcPr>
          <w:p w14:paraId="72CAF92A" w14:textId="7AA6A77D" w:rsidR="00522D07" w:rsidRPr="008C761D" w:rsidRDefault="00522D07" w:rsidP="00E84CD0">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PPB</w:t>
            </w:r>
            <w:r w:rsidR="006B1F2A" w:rsidRPr="008C761D">
              <w:rPr>
                <w:rFonts w:eastAsia="Times New Roman" w:cs="Calibri"/>
                <w:color w:val="202124"/>
                <w:sz w:val="20"/>
                <w:szCs w:val="20"/>
                <w:lang w:val="en-US"/>
              </w:rPr>
              <w:t>, MF</w:t>
            </w:r>
          </w:p>
        </w:tc>
      </w:tr>
      <w:tr w:rsidR="00522D07" w:rsidRPr="008C761D" w14:paraId="4AEA781C" w14:textId="77777777" w:rsidTr="00A30E6E">
        <w:trPr>
          <w:trHeight w:val="1070"/>
        </w:trPr>
        <w:tc>
          <w:tcPr>
            <w:tcW w:w="3119" w:type="dxa"/>
            <w:tcBorders>
              <w:top w:val="single" w:sz="4" w:space="0" w:color="FFFFFF"/>
              <w:bottom w:val="nil"/>
            </w:tcBorders>
            <w:shd w:val="clear" w:color="auto" w:fill="1F3864"/>
          </w:tcPr>
          <w:p w14:paraId="0D590484"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lastRenderedPageBreak/>
              <w:t>Risk:</w:t>
            </w:r>
          </w:p>
        </w:tc>
        <w:tc>
          <w:tcPr>
            <w:tcW w:w="5719" w:type="dxa"/>
            <w:tcBorders>
              <w:top w:val="single" w:sz="4" w:space="0" w:color="FFFFFF"/>
              <w:bottom w:val="nil"/>
            </w:tcBorders>
            <w:shd w:val="clear" w:color="auto" w:fill="D9E2F3"/>
          </w:tcPr>
          <w:p w14:paraId="78796436" w14:textId="77777777" w:rsidR="00A30E6E"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eastAsia="Times New Roman" w:cs="Calibri"/>
                <w:color w:val="202124"/>
                <w:sz w:val="20"/>
                <w:szCs w:val="20"/>
                <w:lang w:val="en-US"/>
              </w:rPr>
              <w:t>Adoption of Law Amending the Law on Public Procurement;</w:t>
            </w:r>
          </w:p>
          <w:p w14:paraId="64066E71" w14:textId="77777777" w:rsidR="00A30E6E"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eastAsia="Times New Roman" w:cs="Calibri"/>
                <w:color w:val="202124"/>
                <w:sz w:val="20"/>
                <w:szCs w:val="20"/>
                <w:lang w:val="en-US"/>
              </w:rPr>
              <w:t>Shortage of qualified trainers’</w:t>
            </w:r>
          </w:p>
          <w:p w14:paraId="65C7C495" w14:textId="77777777" w:rsidR="00A30E6E"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eastAsia="Times New Roman" w:cs="Calibri"/>
                <w:color w:val="202124"/>
                <w:sz w:val="20"/>
                <w:szCs w:val="20"/>
                <w:lang w:val="en-US"/>
              </w:rPr>
              <w:t xml:space="preserve">Low attendance to training activities; </w:t>
            </w:r>
          </w:p>
          <w:p w14:paraId="3FF8E809" w14:textId="15E28845" w:rsidR="003C20E4"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eastAsia="Times New Roman" w:cs="Calibri"/>
                <w:color w:val="202124"/>
                <w:sz w:val="20"/>
                <w:szCs w:val="20"/>
                <w:lang w:val="en-US"/>
              </w:rPr>
              <w:t>Leaving of competent PPB employees;</w:t>
            </w:r>
          </w:p>
        </w:tc>
      </w:tr>
    </w:tbl>
    <w:p w14:paraId="30A4046E" w14:textId="77777777" w:rsidR="00A30E6E" w:rsidRDefault="00A30E6E" w:rsidP="00A30E6E">
      <w:pPr>
        <w:spacing w:after="0" w:line="240" w:lineRule="auto"/>
        <w:jc w:val="both"/>
        <w:rPr>
          <w:rFonts w:cs="Calibri"/>
          <w:b/>
          <w:color w:val="0070C0"/>
          <w:sz w:val="24"/>
          <w:szCs w:val="24"/>
          <w:lang w:val="en-US"/>
        </w:rPr>
      </w:pPr>
    </w:p>
    <w:p w14:paraId="000F2B5B" w14:textId="60FEF904" w:rsidR="00A30E6E" w:rsidRPr="00A30E6E" w:rsidRDefault="00A30E6E" w:rsidP="00A30E6E">
      <w:pPr>
        <w:spacing w:after="0" w:line="240" w:lineRule="auto"/>
        <w:jc w:val="both"/>
        <w:rPr>
          <w:rFonts w:cs="Calibri"/>
          <w:b/>
          <w:color w:val="0070C0"/>
          <w:sz w:val="24"/>
          <w:szCs w:val="24"/>
          <w:lang w:val="en-US"/>
        </w:rPr>
      </w:pPr>
      <w:r w:rsidRPr="00A30E6E">
        <w:rPr>
          <w:rFonts w:cs="Calibri"/>
          <w:b/>
          <w:color w:val="0070C0"/>
          <w:sz w:val="24"/>
          <w:szCs w:val="24"/>
          <w:lang w:val="en-US"/>
        </w:rPr>
        <w:t>Measure 4: Increasing the administrative capacities of the SAC</w:t>
      </w:r>
    </w:p>
    <w:p w14:paraId="3EE7152B" w14:textId="77777777" w:rsidR="00A30E6E" w:rsidRDefault="00A30E6E" w:rsidP="00A30E6E">
      <w:pPr>
        <w:spacing w:after="0" w:line="240" w:lineRule="auto"/>
        <w:jc w:val="both"/>
        <w:rPr>
          <w:rFonts w:eastAsia="MS PGothic" w:cs="Calibri"/>
          <w:b/>
          <w:bCs/>
          <w:i/>
          <w:iCs/>
          <w:color w:val="4F81BD"/>
          <w:lang w:val="en-US" w:eastAsia="zh-CN"/>
        </w:rPr>
      </w:pPr>
    </w:p>
    <w:p w14:paraId="1D53C2A7" w14:textId="5DAC87EA" w:rsidR="00A30E6E" w:rsidRPr="00A30E6E" w:rsidRDefault="00A30E6E" w:rsidP="00A30E6E">
      <w:pPr>
        <w:spacing w:after="0" w:line="240" w:lineRule="auto"/>
        <w:jc w:val="both"/>
        <w:rPr>
          <w:rFonts w:eastAsia="MS PGothic" w:cs="Calibri"/>
          <w:b/>
          <w:bCs/>
          <w:i/>
          <w:iCs/>
          <w:color w:val="4F81BD"/>
          <w:lang w:val="en-US" w:eastAsia="zh-CN"/>
        </w:rPr>
      </w:pPr>
      <w:r w:rsidRPr="00A30E6E">
        <w:rPr>
          <w:rFonts w:eastAsia="MS PGothic" w:cs="Calibri"/>
          <w:b/>
          <w:bCs/>
          <w:i/>
          <w:iCs/>
          <w:color w:val="4F81BD"/>
          <w:lang w:val="en-US" w:eastAsia="zh-CN"/>
        </w:rPr>
        <w:t>Measure objective</w:t>
      </w:r>
    </w:p>
    <w:p w14:paraId="315F33FF" w14:textId="77777777" w:rsidR="00A30E6E" w:rsidRPr="00A30E6E" w:rsidRDefault="00A30E6E" w:rsidP="00A30E6E">
      <w:pPr>
        <w:spacing w:after="0" w:line="240" w:lineRule="auto"/>
        <w:jc w:val="both"/>
        <w:rPr>
          <w:rFonts w:eastAsia="MS PGothic" w:cs="Calibri"/>
          <w:b/>
          <w:bCs/>
          <w:i/>
          <w:iCs/>
          <w:color w:val="4F81BD"/>
          <w:sz w:val="10"/>
          <w:szCs w:val="10"/>
          <w:lang w:val="en-US" w:eastAsia="zh-CN"/>
        </w:rPr>
      </w:pPr>
    </w:p>
    <w:p w14:paraId="2C5A8160" w14:textId="77777777" w:rsidR="00A30E6E" w:rsidRPr="00A30E6E" w:rsidRDefault="00A30E6E" w:rsidP="00A30E6E">
      <w:pPr>
        <w:spacing w:line="240" w:lineRule="auto"/>
        <w:jc w:val="both"/>
        <w:rPr>
          <w:rFonts w:cs="Calibri"/>
          <w:lang w:val="en-US"/>
        </w:rPr>
      </w:pPr>
      <w:r w:rsidRPr="00A30E6E">
        <w:rPr>
          <w:rFonts w:cs="Calibri"/>
          <w:lang w:val="en-US"/>
        </w:rPr>
        <w:t xml:space="preserve">Ensure sufficient capacity of SAC for </w:t>
      </w:r>
      <w:r w:rsidRPr="00A30E6E">
        <w:rPr>
          <w:rFonts w:cs="Calibri"/>
          <w:bCs/>
          <w:lang w:val="en-US"/>
        </w:rPr>
        <w:t>timely processing of appeals.</w:t>
      </w:r>
    </w:p>
    <w:p w14:paraId="2721FB25" w14:textId="77777777" w:rsidR="00A30E6E" w:rsidRPr="00A30E6E" w:rsidRDefault="00A30E6E" w:rsidP="00A30E6E">
      <w:pPr>
        <w:spacing w:line="240" w:lineRule="auto"/>
        <w:jc w:val="both"/>
        <w:rPr>
          <w:rFonts w:eastAsia="MS PGothic" w:cs="Calibri"/>
          <w:b/>
          <w:bCs/>
          <w:i/>
          <w:iCs/>
          <w:color w:val="4F81BD"/>
          <w:lang w:val="en-US" w:eastAsia="zh-CN"/>
        </w:rPr>
      </w:pPr>
      <w:r w:rsidRPr="00A30E6E">
        <w:rPr>
          <w:rFonts w:eastAsia="MS PGothic" w:cs="Calibri"/>
          <w:b/>
          <w:bCs/>
          <w:i/>
          <w:iCs/>
          <w:color w:val="4F81BD"/>
          <w:lang w:val="en-US" w:eastAsia="zh-CN"/>
        </w:rPr>
        <w:t xml:space="preserve">Reference to the external </w:t>
      </w:r>
      <w:proofErr w:type="gramStart"/>
      <w:r w:rsidRPr="00A30E6E">
        <w:rPr>
          <w:rFonts w:eastAsia="MS PGothic" w:cs="Calibri"/>
          <w:b/>
          <w:bCs/>
          <w:i/>
          <w:iCs/>
          <w:color w:val="4F81BD"/>
          <w:lang w:val="en-US" w:eastAsia="zh-CN"/>
        </w:rPr>
        <w:t>assessments</w:t>
      </w:r>
      <w:proofErr w:type="gramEnd"/>
      <w:r w:rsidRPr="00A30E6E">
        <w:rPr>
          <w:rFonts w:eastAsia="MS PGothic" w:cs="Calibri"/>
          <w:b/>
          <w:bCs/>
          <w:i/>
          <w:iCs/>
          <w:color w:val="4F81BD"/>
          <w:lang w:val="en-US" w:eastAsia="zh-CN"/>
        </w:rPr>
        <w:t xml:space="preserve">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A30E6E" w:rsidRPr="00A30E6E" w14:paraId="574B819C" w14:textId="77777777" w:rsidTr="00241538">
        <w:trPr>
          <w:trHeight w:val="586"/>
        </w:trPr>
        <w:tc>
          <w:tcPr>
            <w:tcW w:w="1496" w:type="dxa"/>
            <w:shd w:val="clear" w:color="auto" w:fill="DDDDDD"/>
          </w:tcPr>
          <w:p w14:paraId="06E4C04A" w14:textId="77777777" w:rsidR="00A30E6E" w:rsidRPr="00A30E6E" w:rsidRDefault="00A30E6E" w:rsidP="00A30E6E">
            <w:pPr>
              <w:spacing w:after="0" w:line="240" w:lineRule="auto"/>
              <w:jc w:val="both"/>
              <w:rPr>
                <w:rFonts w:cs="Calibri"/>
                <w:b/>
                <w:sz w:val="20"/>
                <w:szCs w:val="20"/>
                <w:lang w:val="en-US"/>
              </w:rPr>
            </w:pPr>
            <w:r w:rsidRPr="00A30E6E">
              <w:rPr>
                <w:rFonts w:cs="Calibri"/>
                <w:b/>
                <w:sz w:val="20"/>
                <w:szCs w:val="20"/>
                <w:lang w:val="en-US"/>
              </w:rPr>
              <w:t>SCREENING REPORT,</w:t>
            </w:r>
          </w:p>
          <w:p w14:paraId="10B18544" w14:textId="77777777" w:rsidR="00A30E6E" w:rsidRPr="00A30E6E" w:rsidRDefault="00A30E6E" w:rsidP="00A30E6E">
            <w:pPr>
              <w:spacing w:after="0" w:line="240" w:lineRule="auto"/>
              <w:rPr>
                <w:rFonts w:cs="Calibri"/>
                <w:b/>
                <w:sz w:val="20"/>
                <w:szCs w:val="20"/>
                <w:lang w:val="en-US"/>
              </w:rPr>
            </w:pPr>
            <w:r w:rsidRPr="00A30E6E">
              <w:rPr>
                <w:rFonts w:cs="Calibri"/>
                <w:b/>
                <w:sz w:val="20"/>
                <w:szCs w:val="20"/>
                <w:lang w:val="en-US"/>
              </w:rPr>
              <w:t>Cluster 1 Fundamentals– Public procurement</w:t>
            </w:r>
          </w:p>
          <w:p w14:paraId="055245E4" w14:textId="77777777" w:rsidR="00A30E6E" w:rsidRPr="00A30E6E" w:rsidRDefault="00A30E6E" w:rsidP="00A30E6E">
            <w:pPr>
              <w:spacing w:line="240" w:lineRule="auto"/>
              <w:jc w:val="both"/>
              <w:rPr>
                <w:rFonts w:cs="Calibri"/>
                <w:sz w:val="20"/>
                <w:szCs w:val="20"/>
                <w:lang w:val="en-US"/>
              </w:rPr>
            </w:pPr>
            <w:r w:rsidRPr="00A30E6E">
              <w:rPr>
                <w:rFonts w:cs="Calibri"/>
                <w:b/>
                <w:sz w:val="20"/>
                <w:szCs w:val="20"/>
                <w:lang w:val="en-US"/>
              </w:rPr>
              <w:t>2023</w:t>
            </w:r>
          </w:p>
        </w:tc>
        <w:tc>
          <w:tcPr>
            <w:tcW w:w="7547" w:type="dxa"/>
            <w:shd w:val="clear" w:color="auto" w:fill="DDDDDD"/>
          </w:tcPr>
          <w:p w14:paraId="404FFA8B"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 xml:space="preserve">The State Appeals Commission is an independent review </w:t>
            </w:r>
            <w:proofErr w:type="gramStart"/>
            <w:r w:rsidRPr="00A30E6E">
              <w:rPr>
                <w:rFonts w:eastAsia="Times New Roman" w:cs="Calibri"/>
                <w:color w:val="202124"/>
                <w:sz w:val="20"/>
                <w:szCs w:val="20"/>
                <w:lang w:val="en-US"/>
              </w:rPr>
              <w:t>institution,</w:t>
            </w:r>
            <w:proofErr w:type="gramEnd"/>
            <w:r w:rsidRPr="00A30E6E">
              <w:rPr>
                <w:rFonts w:eastAsia="Times New Roman" w:cs="Calibri"/>
                <w:color w:val="202124"/>
                <w:sz w:val="20"/>
                <w:szCs w:val="20"/>
                <w:lang w:val="en-US"/>
              </w:rPr>
              <w:t xml:space="preserve"> however, it needs additional qualified staff toensure timely processing of the growing number of appeals.</w:t>
            </w:r>
          </w:p>
        </w:tc>
      </w:tr>
      <w:tr w:rsidR="00A30E6E" w:rsidRPr="00A30E6E" w14:paraId="0DDD40BB" w14:textId="77777777" w:rsidTr="00241538">
        <w:tc>
          <w:tcPr>
            <w:tcW w:w="1496" w:type="dxa"/>
            <w:shd w:val="clear" w:color="auto" w:fill="DDDDDD"/>
          </w:tcPr>
          <w:p w14:paraId="06B812B8"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SIGMA 2021:</w:t>
            </w:r>
          </w:p>
        </w:tc>
        <w:tc>
          <w:tcPr>
            <w:tcW w:w="7547" w:type="dxa"/>
            <w:shd w:val="clear" w:color="auto" w:fill="DDDDDD"/>
          </w:tcPr>
          <w:p w14:paraId="5EB2D689"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There has been a decline in active co-operation among institutions to co-ordinate the interpretation of procurement legislation, contributing to uncertainty as to the application of the legal framework in practice.</w:t>
            </w:r>
          </w:p>
        </w:tc>
      </w:tr>
      <w:tr w:rsidR="00A30E6E" w:rsidRPr="00A30E6E" w14:paraId="3CC99A19" w14:textId="77777777" w:rsidTr="00241538">
        <w:tc>
          <w:tcPr>
            <w:tcW w:w="1496" w:type="dxa"/>
            <w:shd w:val="clear" w:color="auto" w:fill="DDDDDD"/>
          </w:tcPr>
          <w:p w14:paraId="7C08FC2E"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EU:</w:t>
            </w:r>
          </w:p>
        </w:tc>
        <w:tc>
          <w:tcPr>
            <w:tcW w:w="7547" w:type="dxa"/>
            <w:shd w:val="clear" w:color="auto" w:fill="DDDDDD"/>
          </w:tcPr>
          <w:p w14:paraId="7FBF5E07"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Improve the co-ordination among key players in public procurement and strengthen their capacities and independence to implement the principles of transparency, free competition, equal treatment and non-discrimination;</w:t>
            </w:r>
          </w:p>
          <w:p w14:paraId="6B873358" w14:textId="77777777" w:rsidR="00A30E6E" w:rsidRPr="00A30E6E" w:rsidRDefault="00A30E6E" w:rsidP="00A30E6E">
            <w:pPr>
              <w:spacing w:after="0" w:line="240" w:lineRule="auto"/>
              <w:jc w:val="both"/>
              <w:rPr>
                <w:rFonts w:eastAsia="Times New Roman" w:cs="Calibri"/>
                <w:color w:val="202124"/>
                <w:sz w:val="20"/>
                <w:szCs w:val="20"/>
                <w:lang w:val="en-US"/>
              </w:rPr>
            </w:pPr>
          </w:p>
        </w:tc>
      </w:tr>
    </w:tbl>
    <w:p w14:paraId="3E2A4869" w14:textId="77777777" w:rsidR="00A30E6E" w:rsidRPr="00A30E6E" w:rsidRDefault="00A30E6E" w:rsidP="00A30E6E">
      <w:pPr>
        <w:keepNext/>
        <w:keepLines/>
        <w:spacing w:before="160" w:after="60" w:line="240" w:lineRule="auto"/>
        <w:jc w:val="both"/>
        <w:outlineLvl w:val="3"/>
        <w:rPr>
          <w:rFonts w:eastAsia="MS PGothic" w:cs="Calibri"/>
          <w:b/>
          <w:bCs/>
          <w:i/>
          <w:iCs/>
          <w:color w:val="4F81BD"/>
          <w:lang w:val="en-US" w:eastAsia="zh-CN"/>
        </w:rPr>
      </w:pPr>
      <w:r w:rsidRPr="00A30E6E">
        <w:rPr>
          <w:rFonts w:eastAsia="MS PGothic" w:cs="Calibri"/>
          <w:b/>
          <w:bCs/>
          <w:i/>
          <w:iCs/>
          <w:color w:val="4F81BD"/>
          <w:lang w:val="en-US" w:eastAsia="zh-CN"/>
        </w:rPr>
        <w:t>Context / Background</w:t>
      </w:r>
    </w:p>
    <w:p w14:paraId="7728B297" w14:textId="77777777" w:rsidR="00A30E6E" w:rsidRPr="00A30E6E" w:rsidRDefault="00A30E6E" w:rsidP="00A30E6E">
      <w:pPr>
        <w:spacing w:line="240" w:lineRule="auto"/>
        <w:jc w:val="both"/>
        <w:rPr>
          <w:rFonts w:cs="Calibri"/>
          <w:lang w:val="en-US"/>
        </w:rPr>
      </w:pPr>
      <w:r w:rsidRPr="00A30E6E">
        <w:rPr>
          <w:rFonts w:eastAsia="MS PGothic" w:cs="Calibri"/>
          <w:lang w:val="en-US" w:eastAsia="zh-CN"/>
        </w:rPr>
        <w:t>The volume of work of SAC related to its core competence (decision-making on appeals) is constantly increasing in recent years, while the administrative capacity is not increasing accordingly. There is a great need to strengthen the capacity by employing professional staff with relevant experience in public procurement procedures.</w:t>
      </w:r>
    </w:p>
    <w:p w14:paraId="6F5851E0" w14:textId="77777777" w:rsidR="00A30E6E" w:rsidRPr="00A30E6E" w:rsidRDefault="00A30E6E" w:rsidP="00A30E6E">
      <w:pPr>
        <w:spacing w:line="240" w:lineRule="auto"/>
        <w:jc w:val="both"/>
        <w:rPr>
          <w:rFonts w:eastAsia="MS PGothic" w:cs="Calibri"/>
          <w:b/>
          <w:bCs/>
          <w:iCs/>
          <w:color w:val="0070C0"/>
          <w:lang w:val="en-US" w:eastAsia="zh-CN"/>
        </w:rPr>
      </w:pPr>
      <w:r w:rsidRPr="00A30E6E">
        <w:rPr>
          <w:rFonts w:eastAsia="MS PGothic" w:cs="Calibri"/>
          <w:b/>
          <w:bCs/>
          <w:iCs/>
          <w:color w:val="0070C0"/>
          <w:lang w:val="en-US" w:eastAsia="zh-CN"/>
        </w:rPr>
        <w:t>Activity 4: Increasing the number of employees in SAC</w:t>
      </w:r>
    </w:p>
    <w:p w14:paraId="2A49E481" w14:textId="327748FD" w:rsidR="00A30E6E" w:rsidRDefault="00A30E6E" w:rsidP="00A30E6E">
      <w:pPr>
        <w:spacing w:before="80" w:after="80" w:line="240" w:lineRule="auto"/>
        <w:jc w:val="both"/>
        <w:rPr>
          <w:rFonts w:eastAsia="MS PGothic" w:cs="Calibri"/>
          <w:lang w:val="en-US" w:eastAsia="zh-CN"/>
        </w:rPr>
      </w:pPr>
      <w:r w:rsidRPr="00A30E6E">
        <w:rPr>
          <w:rFonts w:eastAsia="MS PGothic" w:cs="Calibri"/>
          <w:lang w:val="en-US" w:eastAsia="zh-CN"/>
        </w:rPr>
        <w:t>Strengthening the administrative capacity of SAC by employing sufficient number of qualified experts to work on the tasks falling within the core competence of SAC is considered as one of the preconditions not only for achieving the required level of efficiency of SAC, but also for proper functioning of the public procurement system in general.</w:t>
      </w:r>
    </w:p>
    <w:p w14:paraId="2537E3E2" w14:textId="3565F110" w:rsidR="00A30E6E" w:rsidRPr="00A30E6E" w:rsidRDefault="00A30E6E" w:rsidP="00A30E6E">
      <w:pPr>
        <w:keepNext/>
        <w:keepLines/>
        <w:spacing w:before="160" w:after="60" w:line="240" w:lineRule="auto"/>
        <w:jc w:val="both"/>
        <w:outlineLvl w:val="3"/>
        <w:rPr>
          <w:rFonts w:eastAsia="MS PGothic" w:cs="Calibri"/>
          <w:b/>
          <w:bCs/>
          <w:i/>
          <w:iCs/>
          <w:color w:val="4F81BD"/>
          <w:lang w:val="en-US" w:eastAsia="zh-CN"/>
        </w:rPr>
      </w:pPr>
      <w:r w:rsidRPr="00A30E6E">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A30E6E" w:rsidRPr="00A30E6E" w14:paraId="4247FBAD" w14:textId="77777777" w:rsidTr="00241538">
        <w:tc>
          <w:tcPr>
            <w:tcW w:w="3119" w:type="dxa"/>
            <w:tcBorders>
              <w:top w:val="nil"/>
              <w:bottom w:val="single" w:sz="4" w:space="0" w:color="FFFFFF"/>
            </w:tcBorders>
            <w:shd w:val="clear" w:color="auto" w:fill="1F3864"/>
          </w:tcPr>
          <w:p w14:paraId="6114830E"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Completed in year:</w:t>
            </w:r>
            <w:r w:rsidRPr="00A30E6E">
              <w:rPr>
                <w:rFonts w:cs="Calibri"/>
                <w:b/>
                <w:sz w:val="20"/>
                <w:szCs w:val="20"/>
                <w:lang w:val="en-US"/>
              </w:rPr>
              <w:tab/>
            </w:r>
          </w:p>
        </w:tc>
        <w:tc>
          <w:tcPr>
            <w:tcW w:w="5719" w:type="dxa"/>
            <w:tcBorders>
              <w:top w:val="nil"/>
              <w:bottom w:val="single" w:sz="4" w:space="0" w:color="FFFFFF"/>
            </w:tcBorders>
            <w:shd w:val="clear" w:color="auto" w:fill="D9E2F3"/>
          </w:tcPr>
          <w:p w14:paraId="6AF48966" w14:textId="77777777" w:rsidR="00A30E6E" w:rsidRPr="00A30E6E" w:rsidRDefault="00A30E6E" w:rsidP="00A30E6E">
            <w:pPr>
              <w:spacing w:line="240" w:lineRule="auto"/>
              <w:jc w:val="both"/>
              <w:rPr>
                <w:rFonts w:cs="Calibri"/>
                <w:sz w:val="20"/>
                <w:szCs w:val="20"/>
                <w:lang w:val="en-US"/>
              </w:rPr>
            </w:pPr>
            <w:r w:rsidRPr="00A30E6E">
              <w:rPr>
                <w:rFonts w:eastAsia="Times New Roman" w:cs="Calibri"/>
                <w:color w:val="202124"/>
                <w:sz w:val="20"/>
                <w:szCs w:val="20"/>
                <w:lang w:val="en-US"/>
              </w:rPr>
              <w:t>2025</w:t>
            </w:r>
          </w:p>
        </w:tc>
      </w:tr>
      <w:tr w:rsidR="00A30E6E" w:rsidRPr="00A30E6E" w14:paraId="0177CA7F" w14:textId="77777777" w:rsidTr="00241538">
        <w:trPr>
          <w:trHeight w:val="537"/>
        </w:trPr>
        <w:tc>
          <w:tcPr>
            <w:tcW w:w="3119" w:type="dxa"/>
            <w:tcBorders>
              <w:top w:val="single" w:sz="4" w:space="0" w:color="FFFFFF"/>
              <w:bottom w:val="single" w:sz="4" w:space="0" w:color="FFFFFF"/>
            </w:tcBorders>
            <w:shd w:val="clear" w:color="auto" w:fill="1F3864"/>
          </w:tcPr>
          <w:p w14:paraId="5E8EEBCB"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Deliverables:</w:t>
            </w:r>
          </w:p>
        </w:tc>
        <w:tc>
          <w:tcPr>
            <w:tcW w:w="5719" w:type="dxa"/>
            <w:tcBorders>
              <w:top w:val="single" w:sz="4" w:space="0" w:color="FFFFFF"/>
              <w:bottom w:val="single" w:sz="4" w:space="0" w:color="FFFFFF"/>
            </w:tcBorders>
            <w:shd w:val="clear" w:color="auto" w:fill="D9E2F3"/>
          </w:tcPr>
          <w:p w14:paraId="2BF8C3AF" w14:textId="77777777" w:rsidR="00A30E6E" w:rsidRPr="00A30E6E" w:rsidRDefault="00A30E6E" w:rsidP="00A30E6E">
            <w:pPr>
              <w:spacing w:after="0"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 xml:space="preserve"> New employees in SAC.</w:t>
            </w:r>
          </w:p>
        </w:tc>
      </w:tr>
      <w:tr w:rsidR="00A30E6E" w:rsidRPr="00A30E6E" w14:paraId="3D0834E8" w14:textId="77777777" w:rsidTr="00241538">
        <w:tc>
          <w:tcPr>
            <w:tcW w:w="3119" w:type="dxa"/>
            <w:tcBorders>
              <w:top w:val="single" w:sz="4" w:space="0" w:color="FFFFFF"/>
              <w:bottom w:val="single" w:sz="4" w:space="0" w:color="FFFFFF"/>
            </w:tcBorders>
            <w:shd w:val="clear" w:color="auto" w:fill="1F3864"/>
          </w:tcPr>
          <w:p w14:paraId="6BA02D45"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Cost implications:</w:t>
            </w:r>
          </w:p>
        </w:tc>
        <w:tc>
          <w:tcPr>
            <w:tcW w:w="5719" w:type="dxa"/>
            <w:tcBorders>
              <w:top w:val="single" w:sz="4" w:space="0" w:color="FFFFFF"/>
              <w:bottom w:val="single" w:sz="4" w:space="0" w:color="FFFFFF"/>
            </w:tcBorders>
            <w:shd w:val="clear" w:color="auto" w:fill="D9E2F3"/>
          </w:tcPr>
          <w:p w14:paraId="7AF5A6AD"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84.000 EUR</w:t>
            </w:r>
          </w:p>
        </w:tc>
      </w:tr>
      <w:tr w:rsidR="00A30E6E" w:rsidRPr="00A30E6E" w14:paraId="1D04441F" w14:textId="77777777" w:rsidTr="00241538">
        <w:tc>
          <w:tcPr>
            <w:tcW w:w="3119" w:type="dxa"/>
            <w:tcBorders>
              <w:top w:val="single" w:sz="4" w:space="0" w:color="FFFFFF"/>
              <w:bottom w:val="single" w:sz="4" w:space="0" w:color="FFFFFF"/>
            </w:tcBorders>
            <w:shd w:val="clear" w:color="auto" w:fill="1F3864"/>
          </w:tcPr>
          <w:p w14:paraId="7EE27E12"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 xml:space="preserve">Responsible entity: </w:t>
            </w:r>
          </w:p>
        </w:tc>
        <w:tc>
          <w:tcPr>
            <w:tcW w:w="5719" w:type="dxa"/>
            <w:tcBorders>
              <w:top w:val="single" w:sz="4" w:space="0" w:color="FFFFFF"/>
              <w:bottom w:val="single" w:sz="4" w:space="0" w:color="FFFFFF"/>
            </w:tcBorders>
            <w:shd w:val="clear" w:color="auto" w:fill="D9E2F3"/>
          </w:tcPr>
          <w:p w14:paraId="520B77EB" w14:textId="77777777" w:rsidR="00A30E6E" w:rsidRPr="00A30E6E" w:rsidRDefault="00A30E6E" w:rsidP="00A30E6E">
            <w:pPr>
              <w:spacing w:line="240" w:lineRule="auto"/>
              <w:jc w:val="both"/>
              <w:rPr>
                <w:rFonts w:eastAsia="Times New Roman" w:cs="Calibri"/>
                <w:color w:val="202124"/>
                <w:sz w:val="20"/>
                <w:szCs w:val="20"/>
                <w:lang w:val="en-US"/>
              </w:rPr>
            </w:pPr>
            <w:r w:rsidRPr="00A30E6E">
              <w:rPr>
                <w:rFonts w:eastAsia="Times New Roman" w:cs="Calibri"/>
                <w:color w:val="202124"/>
                <w:sz w:val="20"/>
                <w:szCs w:val="20"/>
                <w:lang w:val="en-US"/>
              </w:rPr>
              <w:t>SAC, MF</w:t>
            </w:r>
          </w:p>
        </w:tc>
      </w:tr>
      <w:tr w:rsidR="00A30E6E" w:rsidRPr="00A30E6E" w14:paraId="59DDF11A" w14:textId="77777777" w:rsidTr="00241538">
        <w:trPr>
          <w:trHeight w:val="784"/>
        </w:trPr>
        <w:tc>
          <w:tcPr>
            <w:tcW w:w="3119" w:type="dxa"/>
            <w:tcBorders>
              <w:top w:val="single" w:sz="4" w:space="0" w:color="FFFFFF"/>
              <w:bottom w:val="nil"/>
            </w:tcBorders>
            <w:shd w:val="clear" w:color="auto" w:fill="1F3864"/>
          </w:tcPr>
          <w:p w14:paraId="47B61342" w14:textId="77777777" w:rsidR="00A30E6E" w:rsidRPr="00A30E6E" w:rsidRDefault="00A30E6E" w:rsidP="00A30E6E">
            <w:pPr>
              <w:spacing w:line="240" w:lineRule="auto"/>
              <w:jc w:val="both"/>
              <w:rPr>
                <w:rFonts w:cs="Calibri"/>
                <w:b/>
                <w:sz w:val="20"/>
                <w:szCs w:val="20"/>
                <w:lang w:val="en-US"/>
              </w:rPr>
            </w:pPr>
            <w:r w:rsidRPr="00A30E6E">
              <w:rPr>
                <w:rFonts w:cs="Calibri"/>
                <w:b/>
                <w:sz w:val="20"/>
                <w:szCs w:val="20"/>
                <w:lang w:val="en-US"/>
              </w:rPr>
              <w:t>Risk:</w:t>
            </w:r>
          </w:p>
        </w:tc>
        <w:tc>
          <w:tcPr>
            <w:tcW w:w="5719" w:type="dxa"/>
            <w:tcBorders>
              <w:top w:val="single" w:sz="4" w:space="0" w:color="FFFFFF"/>
              <w:bottom w:val="nil"/>
            </w:tcBorders>
            <w:shd w:val="clear" w:color="auto" w:fill="D9E2F3"/>
          </w:tcPr>
          <w:p w14:paraId="2F0D9515" w14:textId="77777777" w:rsidR="00A30E6E"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cs="Calibri"/>
                <w:sz w:val="20"/>
                <w:szCs w:val="20"/>
                <w:lang w:val="en-US"/>
              </w:rPr>
              <w:t>Possible outflow of SAC qualified employees and cause of difficulties in the functioning of SAC</w:t>
            </w:r>
            <w:r w:rsidRPr="00A30E6E">
              <w:rPr>
                <w:rFonts w:cs="Calibri"/>
                <w:sz w:val="20"/>
                <w:szCs w:val="20"/>
              </w:rPr>
              <w:t>;</w:t>
            </w:r>
            <w:r w:rsidRPr="00A30E6E">
              <w:rPr>
                <w:rFonts w:cs="Calibri"/>
                <w:sz w:val="20"/>
                <w:szCs w:val="20"/>
                <w:lang w:val="en-US"/>
              </w:rPr>
              <w:t xml:space="preserve"> </w:t>
            </w:r>
          </w:p>
          <w:p w14:paraId="371D12C2" w14:textId="77777777" w:rsidR="00A30E6E" w:rsidRPr="00A30E6E" w:rsidRDefault="00A30E6E" w:rsidP="00A30E6E">
            <w:pPr>
              <w:numPr>
                <w:ilvl w:val="0"/>
                <w:numId w:val="30"/>
              </w:numPr>
              <w:spacing w:after="0" w:line="240" w:lineRule="auto"/>
              <w:ind w:left="212" w:hanging="147"/>
              <w:jc w:val="both"/>
              <w:rPr>
                <w:rFonts w:eastAsia="Times New Roman" w:cs="Calibri"/>
                <w:color w:val="202124"/>
                <w:sz w:val="20"/>
                <w:szCs w:val="20"/>
                <w:lang w:val="en-US"/>
              </w:rPr>
            </w:pPr>
            <w:r w:rsidRPr="00A30E6E">
              <w:rPr>
                <w:rFonts w:eastAsia="Times New Roman" w:cs="Calibri"/>
                <w:color w:val="202124"/>
                <w:sz w:val="20"/>
                <w:szCs w:val="20"/>
                <w:lang w:val="en-US"/>
              </w:rPr>
              <w:t>SAC system failure</w:t>
            </w:r>
            <w:r w:rsidRPr="00A30E6E">
              <w:rPr>
                <w:rFonts w:eastAsia="Times New Roman" w:cs="Calibri"/>
                <w:color w:val="202124"/>
                <w:sz w:val="20"/>
                <w:szCs w:val="20"/>
              </w:rPr>
              <w:t>.</w:t>
            </w:r>
          </w:p>
          <w:p w14:paraId="716564EE" w14:textId="77777777" w:rsidR="00A30E6E" w:rsidRPr="00A30E6E" w:rsidRDefault="00A30E6E" w:rsidP="00A30E6E">
            <w:pPr>
              <w:spacing w:after="0" w:line="240" w:lineRule="auto"/>
              <w:ind w:left="425"/>
              <w:jc w:val="both"/>
              <w:rPr>
                <w:rFonts w:eastAsia="Times New Roman" w:cs="Calibri"/>
                <w:color w:val="202124"/>
                <w:sz w:val="20"/>
                <w:szCs w:val="20"/>
                <w:lang w:val="en-US"/>
              </w:rPr>
            </w:pPr>
          </w:p>
        </w:tc>
      </w:tr>
    </w:tbl>
    <w:p w14:paraId="6FB6563B" w14:textId="77777777" w:rsidR="00860277" w:rsidRPr="008C761D" w:rsidRDefault="00860277" w:rsidP="00E84CD0">
      <w:pPr>
        <w:spacing w:line="240" w:lineRule="auto"/>
        <w:jc w:val="both"/>
        <w:rPr>
          <w:rFonts w:cs="Calibri"/>
          <w:b/>
          <w:color w:val="1F4E79"/>
          <w:lang w:val="en-US"/>
        </w:rPr>
      </w:pPr>
    </w:p>
    <w:p w14:paraId="4116FB09" w14:textId="77777777" w:rsidR="003C20E4" w:rsidRPr="00BD26BA" w:rsidRDefault="00522D07" w:rsidP="00CE2DF4">
      <w:pPr>
        <w:pStyle w:val="Heading1"/>
        <w:jc w:val="both"/>
        <w:rPr>
          <w:rFonts w:ascii="Calibri" w:hAnsi="Calibri" w:cs="Calibri"/>
          <w:color w:val="0070C0"/>
          <w:sz w:val="28"/>
          <w:szCs w:val="28"/>
          <w:lang w:val="en-US"/>
        </w:rPr>
      </w:pPr>
      <w:bookmarkStart w:id="44" w:name="_Toc160611823"/>
      <w:r w:rsidRPr="00BD26BA">
        <w:rPr>
          <w:rFonts w:ascii="Calibri" w:hAnsi="Calibri" w:cs="Calibri"/>
          <w:color w:val="0070C0"/>
          <w:sz w:val="28"/>
          <w:szCs w:val="28"/>
          <w:lang w:val="en-US"/>
        </w:rPr>
        <w:lastRenderedPageBreak/>
        <w:t>Priority 2: Public Private Partnerships (PPPs)</w:t>
      </w:r>
      <w:r w:rsidR="005A6AD5" w:rsidRPr="00BD26BA">
        <w:rPr>
          <w:rFonts w:ascii="Calibri" w:hAnsi="Calibri" w:cs="Calibri"/>
          <w:color w:val="0070C0"/>
          <w:sz w:val="28"/>
          <w:szCs w:val="28"/>
          <w:lang w:val="en-US"/>
        </w:rPr>
        <w:t xml:space="preserve"> and Concession on goods of general interest</w:t>
      </w:r>
      <w:bookmarkEnd w:id="44"/>
    </w:p>
    <w:p w14:paraId="29A96DCD" w14:textId="77777777" w:rsidR="00522D07" w:rsidRPr="008C761D" w:rsidRDefault="00522D07" w:rsidP="00E84CD0">
      <w:pPr>
        <w:spacing w:before="80" w:after="80" w:line="240" w:lineRule="auto"/>
        <w:jc w:val="both"/>
        <w:rPr>
          <w:rFonts w:cs="Calibri"/>
          <w:b/>
          <w:bCs/>
          <w:i/>
          <w:iCs/>
          <w:color w:val="4F81BD"/>
          <w:lang w:val="en-US"/>
        </w:rPr>
      </w:pPr>
      <w:r w:rsidRPr="008C761D">
        <w:rPr>
          <w:rFonts w:cs="Calibri"/>
          <w:b/>
          <w:bCs/>
          <w:i/>
          <w:iCs/>
          <w:color w:val="4F81BD"/>
          <w:lang w:val="en-US"/>
        </w:rPr>
        <w:t>Objective</w:t>
      </w:r>
    </w:p>
    <w:p w14:paraId="63E609AB" w14:textId="77777777" w:rsidR="00522D07" w:rsidRPr="008C761D" w:rsidRDefault="00522D07" w:rsidP="00E84CD0">
      <w:pPr>
        <w:spacing w:line="240" w:lineRule="auto"/>
        <w:jc w:val="both"/>
        <w:rPr>
          <w:rFonts w:cs="Calibri"/>
          <w:lang w:val="en-US"/>
        </w:rPr>
      </w:pPr>
      <w:r w:rsidRPr="008C761D">
        <w:rPr>
          <w:rFonts w:cs="Calibri"/>
          <w:lang w:val="en-US"/>
        </w:rPr>
        <w:t xml:space="preserve">The goal is through new policies in the field of public-private partnership in the Republic of North Macedonia to provide all the prerequisites in the development of an effective public-private partnership system that will enable activation of hitherto inactive funds for construction of large buildings and facilities of public interest, while stimulating competition and achieving the most value for money. </w:t>
      </w:r>
    </w:p>
    <w:p w14:paraId="0B0DC7CE" w14:textId="772645D5" w:rsidR="00522D07" w:rsidRPr="008C761D" w:rsidRDefault="00522D07" w:rsidP="00E84CD0">
      <w:pPr>
        <w:spacing w:line="240" w:lineRule="auto"/>
        <w:jc w:val="both"/>
        <w:rPr>
          <w:rFonts w:cs="Calibri"/>
          <w:lang w:val="en-US"/>
        </w:rPr>
      </w:pPr>
      <w:r w:rsidRPr="008C761D">
        <w:rPr>
          <w:rFonts w:cs="Calibri"/>
          <w:lang w:val="en-US"/>
        </w:rPr>
        <w:t>In the Republic of North Macedonia, the granting of concessions of goods of general interest and the agreements for establishment of public-private partnership, legal protection in the procedure, as well as other issues related to the concessions of goods of general interest and the agreements for establishment of public-private partnership are regulated by Law on Concessions and Public Private Partnership ("Official Gazette of the Republic of Macedonia" No. 6/12, 144/14, 33/15, 104/15, 215/15 and "Official Gazette of the Republic of North Macedonia" No. 153/19</w:t>
      </w:r>
      <w:r w:rsidR="007658A6" w:rsidRPr="008C761D">
        <w:rPr>
          <w:rFonts w:cs="Calibri"/>
          <w:lang w:val="en-US"/>
        </w:rPr>
        <w:t>,</w:t>
      </w:r>
      <w:r w:rsidRPr="008C761D">
        <w:rPr>
          <w:rFonts w:cs="Calibri"/>
          <w:lang w:val="en-US"/>
        </w:rPr>
        <w:t xml:space="preserve"> 261 / 19</w:t>
      </w:r>
      <w:r w:rsidR="007658A6" w:rsidRPr="008C761D">
        <w:rPr>
          <w:rFonts w:cs="Calibri"/>
          <w:lang w:val="en-US"/>
        </w:rPr>
        <w:t>, 89/2022  65/2023</w:t>
      </w:r>
      <w:r w:rsidR="005A6AD5" w:rsidRPr="008C761D">
        <w:rPr>
          <w:rFonts w:cs="Calibri"/>
          <w:lang w:val="en-US"/>
        </w:rPr>
        <w:t>, 89/2022 and 65/2023)</w:t>
      </w:r>
      <w:r w:rsidRPr="008C761D">
        <w:rPr>
          <w:rFonts w:cs="Calibri"/>
          <w:lang w:val="en-US"/>
        </w:rPr>
        <w:t>. This law is based on the principles of transparency, non-discrimination, proportionality, efficiency, equal treatment and mutual recognition. With the adoption of Directive 2014/23 / EU on the award of concession contracts, which change the EU procurement rules, the need to transpose it into domestic law was imposed, ie the need to establish clear rules for the award of contracts for establishment of a public-private partnership, which leads to greater legal certainty and free provision of services.</w:t>
      </w:r>
    </w:p>
    <w:p w14:paraId="2AB6E5C8" w14:textId="58E97951" w:rsidR="00522D07" w:rsidRPr="008C761D" w:rsidRDefault="00522D07" w:rsidP="00E84CD0">
      <w:pPr>
        <w:spacing w:line="240" w:lineRule="auto"/>
        <w:jc w:val="both"/>
        <w:rPr>
          <w:rFonts w:cs="Calibri"/>
          <w:lang w:val="en-US"/>
        </w:rPr>
      </w:pPr>
      <w:r w:rsidRPr="008C761D">
        <w:rPr>
          <w:rFonts w:cs="Calibri"/>
          <w:lang w:val="en-US"/>
        </w:rPr>
        <w:t>In order to transpose the directive and establish an efficient public-private partnership system, in cooperation with and with the technical assistance of World Bank experts, a preliminary analysis of the situation in the field of public-private partnership and concessions was prepared, identifying certain weaknesses in the law</w:t>
      </w:r>
      <w:r w:rsidR="00044C9B">
        <w:rPr>
          <w:rFonts w:cs="Calibri"/>
          <w:lang w:val="en-US"/>
        </w:rPr>
        <w:t>,</w:t>
      </w:r>
      <w:r w:rsidRPr="008C761D">
        <w:rPr>
          <w:rFonts w:cs="Calibri"/>
          <w:lang w:val="en-US"/>
        </w:rPr>
        <w:t xml:space="preserve"> and the need to act through new policies in the field of public-private partnership in the Republic of North Macedonia. To this can be added the status of a partially updated register of contracts for establishing a public-private partnership (which is kept in paper form and in an excel spreadsheet), due to which it does not have complete data on all concluded contracts, because not all public partners act in accordance with the obligation to submit data for a concluded contract for establishing a public-private partnership to the Ministry of Economy. In the process of implementation of the law, certain weaknesses have been recorded in terms of regulating the matter relating to the planning, prioritization and selection, preparation and approval of public-private partnership projects, as well as in terms of monitoring and overseeing the implementation of the procedures for awarding the contracts for establishing a public-private partnership and in relation to the very realization of the concluded contracts, due to which there is no complete insight into the continuity and full transparency in the process of awarding and implementing the contracts for establishing a public-private partnership.</w:t>
      </w:r>
    </w:p>
    <w:p w14:paraId="3C911E55" w14:textId="211904E4" w:rsidR="00893CDE" w:rsidRPr="008C761D" w:rsidRDefault="00522D07" w:rsidP="00893CDE">
      <w:pPr>
        <w:spacing w:line="240" w:lineRule="auto"/>
        <w:jc w:val="both"/>
        <w:rPr>
          <w:rFonts w:cs="Calibri"/>
          <w:lang w:val="en-US"/>
        </w:rPr>
      </w:pPr>
      <w:r w:rsidRPr="008C761D">
        <w:rPr>
          <w:rFonts w:cs="Calibri"/>
          <w:lang w:val="en-US"/>
        </w:rPr>
        <w:t xml:space="preserve">In direction for providing compliance with EU legislation, ie transposition of Directive 2014/23 / EU on the award of concession agreements, as well as the creation of policies in the field of concessions and public-private partnership for preparation and implementation of quality and successful public projects, the Draft Law on Public Private Partnership </w:t>
      </w:r>
      <w:r w:rsidR="00893CDE" w:rsidRPr="008C761D">
        <w:rPr>
          <w:rFonts w:cs="Calibri"/>
          <w:lang w:val="en-US"/>
        </w:rPr>
        <w:t xml:space="preserve">was harmonised with the recommendations from the European </w:t>
      </w:r>
      <w:r w:rsidR="00F50612" w:rsidRPr="008C761D">
        <w:rPr>
          <w:rFonts w:cs="Calibri"/>
          <w:lang w:val="en-US"/>
        </w:rPr>
        <w:t>Commission</w:t>
      </w:r>
      <w:r w:rsidR="00893CDE" w:rsidRPr="008C761D">
        <w:rPr>
          <w:rFonts w:cs="Calibri"/>
          <w:lang w:val="en-US"/>
        </w:rPr>
        <w:t xml:space="preserve"> and is now in the stage of sending the request for opinion from relevant institutions after whic</w:t>
      </w:r>
      <w:r w:rsidR="00C67DE8">
        <w:rPr>
          <w:rFonts w:cs="Calibri"/>
          <w:lang w:val="en-US"/>
        </w:rPr>
        <w:t>h</w:t>
      </w:r>
      <w:r w:rsidR="00893CDE" w:rsidRPr="008C761D">
        <w:rPr>
          <w:rFonts w:cs="Calibri"/>
          <w:lang w:val="en-US"/>
        </w:rPr>
        <w:t xml:space="preserve"> it will be send into Government procedure.</w:t>
      </w:r>
    </w:p>
    <w:p w14:paraId="26457514" w14:textId="3ACFB91F" w:rsidR="00893CDE" w:rsidRPr="008C761D" w:rsidRDefault="00893CDE" w:rsidP="00893CDE">
      <w:pPr>
        <w:spacing w:line="240" w:lineRule="auto"/>
        <w:jc w:val="both"/>
        <w:rPr>
          <w:rFonts w:cs="Calibri"/>
          <w:lang w:val="en-US"/>
        </w:rPr>
      </w:pPr>
      <w:r w:rsidRPr="008C761D">
        <w:rPr>
          <w:rFonts w:cs="Calibri"/>
          <w:lang w:val="en-US"/>
        </w:rPr>
        <w:t xml:space="preserve">In the course of the application of the existing legislation in this area, it has been established that among the involved entities there is a mix of the perception of concessions as public private partnership and concessions of goods of general interest, which is reflected in the appropriate application of the rules and procedure for awarding concessions according to the </w:t>
      </w:r>
      <w:r w:rsidR="00F50612" w:rsidRPr="008C761D">
        <w:rPr>
          <w:rFonts w:cs="Calibri"/>
          <w:lang w:val="en-US"/>
        </w:rPr>
        <w:t>type. The</w:t>
      </w:r>
      <w:r w:rsidRPr="008C761D">
        <w:rPr>
          <w:rFonts w:cs="Calibri"/>
          <w:lang w:val="en-US"/>
        </w:rPr>
        <w:t xml:space="preserve"> priority is to prescribe clear rules for the awarding and realization of concessions of goods of general interest, that is, unifying and sublimating the entire process of their awarding, to ensure traceability both in </w:t>
      </w:r>
      <w:r w:rsidRPr="008C761D">
        <w:rPr>
          <w:rFonts w:cs="Calibri"/>
          <w:lang w:val="en-US"/>
        </w:rPr>
        <w:lastRenderedPageBreak/>
        <w:t>the process of preparation and in the process of managing the concessions of goods of general interest for their successful realization, to ensure greater transparency in the process of awarding and implementing concessions of goods of general interest by introducing a Register of concessions of goods of general interest, as a unique database for this type of concessions, to ensure consistent implementation of the law by introducing misdemeanor provisions for grantors in cases where they will not act in accordance with their obligations and powers established by the law.</w:t>
      </w:r>
    </w:p>
    <w:p w14:paraId="51A93DB5" w14:textId="176800E6" w:rsidR="00893CDE" w:rsidRPr="008C761D" w:rsidRDefault="00893CDE" w:rsidP="00893CDE">
      <w:pPr>
        <w:spacing w:line="240" w:lineRule="auto"/>
        <w:jc w:val="both"/>
        <w:rPr>
          <w:rFonts w:cs="Calibri"/>
          <w:lang w:val="en-US"/>
        </w:rPr>
      </w:pPr>
      <w:r w:rsidRPr="008C761D">
        <w:rPr>
          <w:rFonts w:cs="Calibri"/>
          <w:lang w:val="en-US"/>
        </w:rPr>
        <w:t xml:space="preserve">Concessions of goods of general interest that do not fall within the scope of the directive, as a special type of concession by which public entities make public wealth available to private parties for a long period of time, with no real cooperation between the </w:t>
      </w:r>
      <w:r w:rsidR="00F50612" w:rsidRPr="008C761D">
        <w:rPr>
          <w:rFonts w:cs="Calibri"/>
          <w:lang w:val="en-US"/>
        </w:rPr>
        <w:t>parties. Because</w:t>
      </w:r>
      <w:r w:rsidRPr="008C761D">
        <w:rPr>
          <w:rFonts w:cs="Calibri"/>
          <w:lang w:val="en-US"/>
        </w:rPr>
        <w:t xml:space="preserve"> of all this reason was prepared new Draft Law of concession on goods of general interest.</w:t>
      </w:r>
    </w:p>
    <w:p w14:paraId="64B1207E" w14:textId="2B3D4AD2" w:rsidR="00893CDE" w:rsidRPr="008C761D" w:rsidRDefault="00893CDE" w:rsidP="00893CDE">
      <w:pPr>
        <w:spacing w:line="240" w:lineRule="auto"/>
        <w:jc w:val="both"/>
        <w:rPr>
          <w:rFonts w:cs="Calibri"/>
          <w:lang w:val="en-US"/>
        </w:rPr>
      </w:pPr>
      <w:r w:rsidRPr="008C761D">
        <w:rPr>
          <w:rFonts w:cs="Calibri"/>
          <w:lang w:val="en-US"/>
        </w:rPr>
        <w:t xml:space="preserve">The Draft Law of concession on goods of general interest is also in stage of sending requests for opinion from the relevant institutions after which it will be </w:t>
      </w:r>
      <w:r w:rsidR="00F50612" w:rsidRPr="008C761D">
        <w:rPr>
          <w:rFonts w:cs="Calibri"/>
          <w:lang w:val="en-US"/>
        </w:rPr>
        <w:t>delivered</w:t>
      </w:r>
      <w:r w:rsidRPr="008C761D">
        <w:rPr>
          <w:rFonts w:cs="Calibri"/>
          <w:lang w:val="en-US"/>
        </w:rPr>
        <w:t xml:space="preserve"> into Government procedure in parallel with the Law on Public Private partnership.</w:t>
      </w:r>
    </w:p>
    <w:p w14:paraId="7A387682" w14:textId="2E8F5CE4" w:rsidR="00893CDE" w:rsidRPr="008C761D" w:rsidRDefault="00893CDE" w:rsidP="00893CDE">
      <w:pPr>
        <w:spacing w:line="240" w:lineRule="auto"/>
        <w:jc w:val="both"/>
        <w:rPr>
          <w:rFonts w:cs="Calibri"/>
          <w:lang w:val="en-US"/>
        </w:rPr>
      </w:pPr>
      <w:r w:rsidRPr="008C761D">
        <w:rPr>
          <w:rFonts w:cs="Calibri"/>
          <w:lang w:val="en-US"/>
        </w:rPr>
        <w:t xml:space="preserve">In order to implement </w:t>
      </w:r>
      <w:r w:rsidR="00F50612">
        <w:rPr>
          <w:rFonts w:cs="Calibri"/>
          <w:lang w:val="en-US"/>
        </w:rPr>
        <w:t xml:space="preserve">Measure 1 </w:t>
      </w:r>
      <w:r w:rsidRPr="008C761D">
        <w:rPr>
          <w:rFonts w:cs="Calibri"/>
          <w:lang w:val="en-US"/>
        </w:rPr>
        <w:t xml:space="preserve">establishment of the Unique Electronic System for Public Private Partnership, it is necessary to provide financial resources in the amount up to 1.000.000 </w:t>
      </w:r>
      <w:r w:rsidR="00514D12" w:rsidRPr="008C761D">
        <w:rPr>
          <w:rFonts w:cs="Calibri"/>
          <w:lang w:val="en-US"/>
        </w:rPr>
        <w:t>eur (</w:t>
      </w:r>
      <w:r w:rsidRPr="008C761D">
        <w:rPr>
          <w:rFonts w:cs="Calibri"/>
          <w:lang w:val="en-US"/>
        </w:rPr>
        <w:t>according to the information in the technical specification for the preparation and development of the software provided by experts from the World Bank. We point out that securing of the necessary financial resources is a serious problem despite several attempts to provide them from the Budget of Republic of North Macedonia, so we need help to provide these funds from donors.</w:t>
      </w:r>
    </w:p>
    <w:p w14:paraId="63275947" w14:textId="37532381" w:rsidR="00522D07" w:rsidRPr="008C761D" w:rsidRDefault="00893CDE" w:rsidP="00E84CD0">
      <w:pPr>
        <w:spacing w:line="240" w:lineRule="auto"/>
        <w:jc w:val="both"/>
        <w:rPr>
          <w:rFonts w:cs="Calibri"/>
          <w:lang w:val="en-US"/>
        </w:rPr>
      </w:pPr>
      <w:r w:rsidRPr="008C761D">
        <w:rPr>
          <w:rFonts w:cs="Calibri"/>
          <w:lang w:val="en-US"/>
        </w:rPr>
        <w:t>The Law on PPP is closely related and dependent of the implementation of the UESPPP, so without the appropriate software, the law itself will remain inapplicable, which will affect the deadline for starting its application, which means that until the UESPPP is established, the law will have delayed application.</w:t>
      </w:r>
    </w:p>
    <w:p w14:paraId="14A9F142" w14:textId="77777777" w:rsidR="00A86AFB" w:rsidRPr="008C761D" w:rsidRDefault="00A86AFB" w:rsidP="00A86AFB">
      <w:pPr>
        <w:spacing w:line="240" w:lineRule="auto"/>
        <w:jc w:val="both"/>
        <w:rPr>
          <w:rFonts w:cs="Calibri"/>
          <w:lang w:val="en-US"/>
        </w:rPr>
      </w:pPr>
      <w:r w:rsidRPr="008C761D">
        <w:rPr>
          <w:rFonts w:cs="Calibri"/>
          <w:lang w:val="en-US"/>
        </w:rPr>
        <w:t>The goal of this priority will be achieved through the following measures and activities:</w:t>
      </w:r>
    </w:p>
    <w:tbl>
      <w:tblPr>
        <w:tblW w:w="8538" w:type="dxa"/>
        <w:tblInd w:w="548" w:type="dxa"/>
        <w:tblLook w:val="01E0" w:firstRow="1" w:lastRow="1" w:firstColumn="1" w:lastColumn="1" w:noHBand="0" w:noVBand="0"/>
      </w:tblPr>
      <w:tblGrid>
        <w:gridCol w:w="2112"/>
        <w:gridCol w:w="6426"/>
      </w:tblGrid>
      <w:tr w:rsidR="00A86AFB" w:rsidRPr="008C761D" w14:paraId="34D0685A" w14:textId="77777777" w:rsidTr="00A86AFB">
        <w:trPr>
          <w:trHeight w:val="631"/>
        </w:trPr>
        <w:tc>
          <w:tcPr>
            <w:tcW w:w="2112" w:type="dxa"/>
            <w:shd w:val="clear" w:color="auto" w:fill="auto"/>
          </w:tcPr>
          <w:p w14:paraId="56993084" w14:textId="77777777" w:rsidR="00A86AFB" w:rsidRPr="008C761D" w:rsidRDefault="00A86AFB" w:rsidP="00D3676F">
            <w:pPr>
              <w:spacing w:after="0" w:line="240" w:lineRule="auto"/>
              <w:rPr>
                <w:rFonts w:cs="Calibri"/>
                <w:b/>
                <w:lang w:val="en-US"/>
              </w:rPr>
            </w:pPr>
            <w:r w:rsidRPr="008C761D">
              <w:rPr>
                <w:rFonts w:cs="Calibri"/>
                <w:b/>
                <w:lang w:val="en-US"/>
              </w:rPr>
              <w:t>Measure 1:</w:t>
            </w:r>
          </w:p>
        </w:tc>
        <w:tc>
          <w:tcPr>
            <w:tcW w:w="6426" w:type="dxa"/>
            <w:shd w:val="clear" w:color="auto" w:fill="auto"/>
          </w:tcPr>
          <w:p w14:paraId="4DE712FE" w14:textId="77777777" w:rsidR="00A86AFB" w:rsidRPr="008C761D" w:rsidRDefault="00A86AFB" w:rsidP="00A86AFB">
            <w:pPr>
              <w:spacing w:after="0" w:line="240" w:lineRule="auto"/>
              <w:jc w:val="both"/>
              <w:rPr>
                <w:rFonts w:cs="Calibri"/>
                <w:b/>
                <w:lang w:val="en-US"/>
              </w:rPr>
            </w:pPr>
            <w:r w:rsidRPr="008C761D">
              <w:rPr>
                <w:rFonts w:cs="Calibri"/>
                <w:b/>
                <w:lang w:val="en-US"/>
              </w:rPr>
              <w:t xml:space="preserve">Establishment of the Unified Electronic Public Private Partnership System (UESPPP) </w:t>
            </w:r>
          </w:p>
        </w:tc>
      </w:tr>
      <w:tr w:rsidR="00A86AFB" w:rsidRPr="008C761D" w14:paraId="56B6B071" w14:textId="77777777" w:rsidTr="00A86AFB">
        <w:trPr>
          <w:trHeight w:val="1123"/>
        </w:trPr>
        <w:tc>
          <w:tcPr>
            <w:tcW w:w="2112" w:type="dxa"/>
            <w:shd w:val="clear" w:color="auto" w:fill="auto"/>
          </w:tcPr>
          <w:p w14:paraId="3A400283" w14:textId="77777777" w:rsidR="00A86AFB" w:rsidRPr="008C761D" w:rsidRDefault="00A86AFB" w:rsidP="00D3676F">
            <w:pPr>
              <w:spacing w:after="0" w:line="240" w:lineRule="auto"/>
              <w:rPr>
                <w:rFonts w:cs="Calibri"/>
                <w:lang w:val="en-US"/>
              </w:rPr>
            </w:pPr>
            <w:r w:rsidRPr="008C761D">
              <w:rPr>
                <w:rFonts w:cs="Calibri"/>
                <w:lang w:val="en-US"/>
              </w:rPr>
              <w:t>Activity 1:</w:t>
            </w:r>
          </w:p>
          <w:p w14:paraId="44AD2FCF" w14:textId="77777777" w:rsidR="00A86AFB" w:rsidRPr="008C761D" w:rsidRDefault="00A86AFB" w:rsidP="00D3676F">
            <w:pPr>
              <w:spacing w:after="0" w:line="240" w:lineRule="auto"/>
              <w:rPr>
                <w:rFonts w:cs="Calibri"/>
                <w:lang w:val="en-US"/>
              </w:rPr>
            </w:pPr>
          </w:p>
        </w:tc>
        <w:tc>
          <w:tcPr>
            <w:tcW w:w="6426" w:type="dxa"/>
            <w:shd w:val="clear" w:color="auto" w:fill="auto"/>
          </w:tcPr>
          <w:p w14:paraId="430FF855" w14:textId="77777777" w:rsidR="00A86AFB" w:rsidRPr="008C761D" w:rsidRDefault="00A86AFB" w:rsidP="00A86AFB">
            <w:pPr>
              <w:spacing w:before="80" w:after="0" w:line="240" w:lineRule="auto"/>
              <w:jc w:val="both"/>
              <w:rPr>
                <w:rFonts w:eastAsia="MS PGothic" w:cs="Calibri"/>
                <w:sz w:val="21"/>
                <w:szCs w:val="21"/>
                <w:lang w:val="en-US" w:eastAsia="zh-CN"/>
              </w:rPr>
            </w:pPr>
            <w:r w:rsidRPr="008C761D">
              <w:rPr>
                <w:rFonts w:cs="Calibri"/>
                <w:bCs/>
                <w:iCs/>
                <w:lang w:val="en-US"/>
              </w:rPr>
              <w:t>Selection of an IT company for preparation of the Improving and upgrading the UESPPP and a Register of awarded contracts for the establishment of public-private partnership</w:t>
            </w:r>
            <w:r w:rsidRPr="008C761D">
              <w:rPr>
                <w:rFonts w:eastAsia="MS PGothic" w:cs="Calibri"/>
                <w:sz w:val="21"/>
                <w:szCs w:val="21"/>
                <w:lang w:val="en-US" w:eastAsia="zh-CN"/>
              </w:rPr>
              <w:t>;</w:t>
            </w:r>
          </w:p>
        </w:tc>
      </w:tr>
      <w:tr w:rsidR="00A86AFB" w:rsidRPr="008C761D" w14:paraId="2DC199DC" w14:textId="77777777" w:rsidTr="00A86AFB">
        <w:trPr>
          <w:trHeight w:val="1138"/>
        </w:trPr>
        <w:tc>
          <w:tcPr>
            <w:tcW w:w="2112" w:type="dxa"/>
            <w:shd w:val="clear" w:color="auto" w:fill="auto"/>
          </w:tcPr>
          <w:p w14:paraId="399BB78B" w14:textId="77777777" w:rsidR="00A86AFB" w:rsidRPr="008C761D" w:rsidRDefault="00A86AFB" w:rsidP="00D3676F">
            <w:pPr>
              <w:spacing w:after="0" w:line="240" w:lineRule="auto"/>
              <w:rPr>
                <w:rFonts w:cs="Calibri"/>
                <w:b/>
                <w:lang w:val="en-US"/>
              </w:rPr>
            </w:pPr>
            <w:r w:rsidRPr="008C761D">
              <w:rPr>
                <w:rFonts w:cs="Calibri"/>
                <w:lang w:val="en-US"/>
              </w:rPr>
              <w:t>Activity 2:</w:t>
            </w:r>
          </w:p>
        </w:tc>
        <w:tc>
          <w:tcPr>
            <w:tcW w:w="6426" w:type="dxa"/>
            <w:shd w:val="clear" w:color="auto" w:fill="auto"/>
          </w:tcPr>
          <w:p w14:paraId="25DD16D4" w14:textId="77777777" w:rsidR="00A86AFB" w:rsidRPr="008C761D" w:rsidRDefault="00A86AFB" w:rsidP="00A86AFB">
            <w:pPr>
              <w:spacing w:after="0" w:line="240" w:lineRule="auto"/>
              <w:jc w:val="both"/>
              <w:rPr>
                <w:rFonts w:cs="Calibri"/>
                <w:b/>
                <w:lang w:val="en-US"/>
              </w:rPr>
            </w:pPr>
            <w:r w:rsidRPr="008C761D">
              <w:rPr>
                <w:rFonts w:cs="Calibri"/>
                <w:lang w:val="en-US"/>
              </w:rPr>
              <w:t>Preparation and implementation of the software solution for the establishment of public-private partnership and a Register of awarded contracts</w:t>
            </w:r>
            <w:r w:rsidRPr="008C761D">
              <w:rPr>
                <w:rFonts w:cs="Calibri"/>
                <w:b/>
                <w:lang w:val="en-US"/>
              </w:rPr>
              <w:t xml:space="preserve"> </w:t>
            </w:r>
            <w:r w:rsidRPr="008C761D">
              <w:rPr>
                <w:rFonts w:cs="Calibri"/>
                <w:lang w:val="en-US"/>
              </w:rPr>
              <w:t>the establishment of public-private partnership</w:t>
            </w:r>
            <w:r w:rsidRPr="008C761D">
              <w:rPr>
                <w:rFonts w:cs="Calibri"/>
                <w:b/>
                <w:lang w:val="en-US"/>
              </w:rPr>
              <w:t>.</w:t>
            </w:r>
          </w:p>
        </w:tc>
      </w:tr>
      <w:tr w:rsidR="00A86AFB" w:rsidRPr="008C761D" w14:paraId="0614DBD8" w14:textId="77777777" w:rsidTr="00A86AFB">
        <w:trPr>
          <w:trHeight w:val="714"/>
        </w:trPr>
        <w:tc>
          <w:tcPr>
            <w:tcW w:w="2112" w:type="dxa"/>
            <w:shd w:val="clear" w:color="auto" w:fill="auto"/>
          </w:tcPr>
          <w:p w14:paraId="77385467" w14:textId="77777777" w:rsidR="00A86AFB" w:rsidRPr="008C761D" w:rsidRDefault="00A86AFB" w:rsidP="00D3676F">
            <w:pPr>
              <w:spacing w:after="0" w:line="240" w:lineRule="auto"/>
              <w:rPr>
                <w:rFonts w:cs="Calibri"/>
                <w:b/>
                <w:lang w:val="en-US"/>
              </w:rPr>
            </w:pPr>
            <w:bookmarkStart w:id="45" w:name="_Hlk89265043"/>
            <w:r w:rsidRPr="008C761D">
              <w:rPr>
                <w:rFonts w:cs="Calibri"/>
                <w:b/>
                <w:lang w:val="en-US"/>
              </w:rPr>
              <w:t>Measure 2:</w:t>
            </w:r>
          </w:p>
        </w:tc>
        <w:tc>
          <w:tcPr>
            <w:tcW w:w="6426" w:type="dxa"/>
            <w:shd w:val="clear" w:color="auto" w:fill="auto"/>
          </w:tcPr>
          <w:p w14:paraId="470AD832" w14:textId="77777777" w:rsidR="00A86AFB" w:rsidRPr="008C761D" w:rsidRDefault="00A86AFB" w:rsidP="00A86AFB">
            <w:pPr>
              <w:spacing w:after="0" w:line="240" w:lineRule="auto"/>
              <w:jc w:val="both"/>
              <w:rPr>
                <w:rFonts w:cs="Calibri"/>
                <w:b/>
                <w:lang w:val="en-US"/>
              </w:rPr>
            </w:pPr>
            <w:r w:rsidRPr="008C761D">
              <w:rPr>
                <w:rFonts w:cs="Calibri"/>
                <w:b/>
                <w:lang w:val="en-US"/>
              </w:rPr>
              <w:t>Completing the legal and regulatory framework in the field of public-private partnership</w:t>
            </w:r>
          </w:p>
        </w:tc>
      </w:tr>
      <w:tr w:rsidR="00A86AFB" w:rsidRPr="008C761D" w14:paraId="3D0293A8" w14:textId="77777777" w:rsidTr="00A86AFB">
        <w:trPr>
          <w:trHeight w:val="710"/>
        </w:trPr>
        <w:tc>
          <w:tcPr>
            <w:tcW w:w="2112" w:type="dxa"/>
            <w:shd w:val="clear" w:color="auto" w:fill="auto"/>
          </w:tcPr>
          <w:p w14:paraId="6942B399" w14:textId="77777777" w:rsidR="00A86AFB" w:rsidRPr="008C761D" w:rsidRDefault="00A86AFB" w:rsidP="00D3676F">
            <w:pPr>
              <w:spacing w:after="0" w:line="240" w:lineRule="auto"/>
              <w:rPr>
                <w:rFonts w:cs="Calibri"/>
                <w:lang w:val="en-US"/>
              </w:rPr>
            </w:pPr>
            <w:r w:rsidRPr="008C761D">
              <w:rPr>
                <w:rFonts w:cs="Calibri"/>
                <w:lang w:val="en-US"/>
              </w:rPr>
              <w:t>Activity 1:</w:t>
            </w:r>
          </w:p>
        </w:tc>
        <w:tc>
          <w:tcPr>
            <w:tcW w:w="6426" w:type="dxa"/>
            <w:shd w:val="clear" w:color="auto" w:fill="auto"/>
          </w:tcPr>
          <w:p w14:paraId="3EF0F562" w14:textId="3FAC15AF" w:rsidR="00A86AFB" w:rsidRPr="008C761D" w:rsidRDefault="00A86AFB" w:rsidP="00A86AFB">
            <w:pPr>
              <w:spacing w:after="0" w:line="240" w:lineRule="auto"/>
              <w:jc w:val="both"/>
              <w:rPr>
                <w:rFonts w:cs="Calibri"/>
                <w:lang w:val="en-US"/>
              </w:rPr>
            </w:pPr>
            <w:proofErr w:type="gramStart"/>
            <w:r w:rsidRPr="008C761D">
              <w:rPr>
                <w:rFonts w:cs="Calibri"/>
                <w:lang w:val="en-US"/>
              </w:rPr>
              <w:t>Preparation  and</w:t>
            </w:r>
            <w:proofErr w:type="gramEnd"/>
            <w:r w:rsidRPr="008C761D">
              <w:rPr>
                <w:rFonts w:cs="Calibri"/>
                <w:lang w:val="en-US"/>
              </w:rPr>
              <w:t xml:space="preserve"> adoption of 13 bylaws that will arise from the Law on Public Private Partnership and preparation of the </w:t>
            </w:r>
            <w:r w:rsidR="00514D12" w:rsidRPr="008C761D">
              <w:rPr>
                <w:rFonts w:cs="Calibri"/>
                <w:lang w:val="en-US"/>
              </w:rPr>
              <w:t>Guideline</w:t>
            </w:r>
            <w:r w:rsidRPr="008C761D">
              <w:rPr>
                <w:rFonts w:cs="Calibri"/>
                <w:lang w:val="en-US"/>
              </w:rPr>
              <w:t xml:space="preserve"> with </w:t>
            </w:r>
            <w:r w:rsidR="00514D12" w:rsidRPr="008C761D">
              <w:rPr>
                <w:rFonts w:cs="Calibri"/>
                <w:lang w:val="en-US"/>
              </w:rPr>
              <w:t>examples</w:t>
            </w:r>
            <w:r w:rsidRPr="008C761D">
              <w:rPr>
                <w:rFonts w:cs="Calibri"/>
                <w:lang w:val="en-US"/>
              </w:rPr>
              <w:t xml:space="preserve"> of PPP </w:t>
            </w:r>
            <w:r w:rsidR="00514D12" w:rsidRPr="008C761D">
              <w:rPr>
                <w:rFonts w:cs="Calibri"/>
                <w:lang w:val="en-US"/>
              </w:rPr>
              <w:t>projects</w:t>
            </w:r>
          </w:p>
        </w:tc>
      </w:tr>
      <w:bookmarkEnd w:id="45"/>
      <w:tr w:rsidR="00A86AFB" w:rsidRPr="008C761D" w14:paraId="002FC0C0" w14:textId="77777777" w:rsidTr="00A86AFB">
        <w:trPr>
          <w:trHeight w:val="848"/>
        </w:trPr>
        <w:tc>
          <w:tcPr>
            <w:tcW w:w="2112" w:type="dxa"/>
            <w:shd w:val="clear" w:color="auto" w:fill="auto"/>
          </w:tcPr>
          <w:p w14:paraId="26E772D1" w14:textId="77777777" w:rsidR="00A86AFB" w:rsidRPr="008C761D" w:rsidRDefault="00A86AFB" w:rsidP="00D3676F">
            <w:pPr>
              <w:spacing w:after="0" w:line="240" w:lineRule="auto"/>
              <w:rPr>
                <w:rFonts w:cs="Calibri"/>
                <w:lang w:val="en-US"/>
              </w:rPr>
            </w:pPr>
            <w:r w:rsidRPr="008C761D">
              <w:rPr>
                <w:rFonts w:cs="Calibri"/>
                <w:lang w:val="en-US"/>
              </w:rPr>
              <w:t>Activity 2:</w:t>
            </w:r>
          </w:p>
        </w:tc>
        <w:tc>
          <w:tcPr>
            <w:tcW w:w="6426" w:type="dxa"/>
            <w:shd w:val="clear" w:color="auto" w:fill="auto"/>
          </w:tcPr>
          <w:p w14:paraId="182C8D27" w14:textId="77777777" w:rsidR="00A86AFB" w:rsidRPr="008C761D" w:rsidRDefault="00A86AFB" w:rsidP="00A86AFB">
            <w:pPr>
              <w:spacing w:after="0" w:line="240" w:lineRule="auto"/>
              <w:jc w:val="both"/>
              <w:rPr>
                <w:rFonts w:cs="Calibri"/>
                <w:lang w:val="en-US"/>
              </w:rPr>
            </w:pPr>
            <w:proofErr w:type="gramStart"/>
            <w:r w:rsidRPr="008C761D">
              <w:rPr>
                <w:rFonts w:cs="Calibri"/>
                <w:lang w:val="en-US"/>
              </w:rPr>
              <w:t>Preparation  and</w:t>
            </w:r>
            <w:proofErr w:type="gramEnd"/>
            <w:r w:rsidRPr="008C761D">
              <w:rPr>
                <w:rFonts w:cs="Calibri"/>
                <w:lang w:val="en-US"/>
              </w:rPr>
              <w:t xml:space="preserve"> adoption of the bylaws that will arise from the f the Law on Concession on goods of general interest</w:t>
            </w:r>
          </w:p>
        </w:tc>
      </w:tr>
      <w:tr w:rsidR="00A86AFB" w:rsidRPr="008C761D" w14:paraId="080E6464" w14:textId="77777777" w:rsidTr="00A86AFB">
        <w:tc>
          <w:tcPr>
            <w:tcW w:w="2112" w:type="dxa"/>
            <w:shd w:val="clear" w:color="auto" w:fill="auto"/>
          </w:tcPr>
          <w:p w14:paraId="43024657" w14:textId="77777777" w:rsidR="00A86AFB" w:rsidRPr="008C761D" w:rsidRDefault="00A86AFB" w:rsidP="00D3676F">
            <w:pPr>
              <w:spacing w:after="0" w:line="240" w:lineRule="auto"/>
              <w:rPr>
                <w:rFonts w:cs="Calibri"/>
                <w:b/>
                <w:lang w:val="en-US"/>
              </w:rPr>
            </w:pPr>
            <w:r w:rsidRPr="008C761D">
              <w:rPr>
                <w:rFonts w:cs="Calibri"/>
                <w:b/>
                <w:lang w:val="en-US"/>
              </w:rPr>
              <w:t>Measure 3:</w:t>
            </w:r>
          </w:p>
          <w:p w14:paraId="4951411D" w14:textId="77777777" w:rsidR="00A86AFB" w:rsidRPr="008C761D" w:rsidRDefault="00A86AFB" w:rsidP="00D3676F">
            <w:pPr>
              <w:spacing w:after="0" w:line="240" w:lineRule="auto"/>
              <w:ind w:right="-144"/>
              <w:rPr>
                <w:rFonts w:eastAsia="Times New Roman" w:cs="Calibri"/>
                <w:lang w:val="en-US" w:eastAsia="x-none"/>
              </w:rPr>
            </w:pPr>
          </w:p>
        </w:tc>
        <w:tc>
          <w:tcPr>
            <w:tcW w:w="6426" w:type="dxa"/>
            <w:shd w:val="clear" w:color="auto" w:fill="auto"/>
          </w:tcPr>
          <w:p w14:paraId="4D3BBEAA" w14:textId="77777777" w:rsidR="00A86AFB" w:rsidRPr="008C761D" w:rsidRDefault="00A86AFB" w:rsidP="00A86AFB">
            <w:pPr>
              <w:spacing w:after="0" w:line="240" w:lineRule="auto"/>
              <w:jc w:val="both"/>
              <w:rPr>
                <w:rFonts w:eastAsia="Times New Roman" w:cs="Calibri"/>
                <w:lang w:val="en-US" w:eastAsia="x-none"/>
              </w:rPr>
            </w:pPr>
            <w:r w:rsidRPr="008C761D">
              <w:rPr>
                <w:rFonts w:cs="Calibri"/>
                <w:b/>
                <w:lang w:val="en-US"/>
              </w:rPr>
              <w:t>Strengthening and developing the capacities of the Ministry of Economy in the field of public-private partnership</w:t>
            </w:r>
          </w:p>
        </w:tc>
      </w:tr>
      <w:tr w:rsidR="00A86AFB" w:rsidRPr="008C761D" w14:paraId="147CA0CA" w14:textId="77777777" w:rsidTr="00A86AFB">
        <w:tc>
          <w:tcPr>
            <w:tcW w:w="2112" w:type="dxa"/>
            <w:shd w:val="clear" w:color="auto" w:fill="auto"/>
          </w:tcPr>
          <w:p w14:paraId="2B2E01A2" w14:textId="77777777" w:rsidR="00A86AFB" w:rsidRPr="008C761D" w:rsidRDefault="00A86AFB" w:rsidP="00D3676F">
            <w:pPr>
              <w:spacing w:after="0" w:line="240" w:lineRule="auto"/>
              <w:ind w:right="-144"/>
              <w:rPr>
                <w:rFonts w:eastAsia="Times New Roman" w:cs="Calibri"/>
                <w:lang w:val="en-US" w:eastAsia="x-none"/>
              </w:rPr>
            </w:pPr>
            <w:r w:rsidRPr="008C761D">
              <w:rPr>
                <w:rFonts w:cs="Calibri"/>
                <w:lang w:val="en-US"/>
              </w:rPr>
              <w:t>Activity 1:</w:t>
            </w:r>
          </w:p>
        </w:tc>
        <w:tc>
          <w:tcPr>
            <w:tcW w:w="6426" w:type="dxa"/>
            <w:shd w:val="clear" w:color="auto" w:fill="auto"/>
          </w:tcPr>
          <w:p w14:paraId="1F016B43" w14:textId="77777777" w:rsidR="00A86AFB" w:rsidRPr="008C761D" w:rsidRDefault="00A86AFB" w:rsidP="00A86AFB">
            <w:pPr>
              <w:spacing w:after="0" w:line="240" w:lineRule="auto"/>
              <w:jc w:val="both"/>
              <w:rPr>
                <w:rFonts w:eastAsia="Times New Roman" w:cs="Calibri"/>
                <w:lang w:val="en-US" w:eastAsia="x-none"/>
              </w:rPr>
            </w:pPr>
            <w:r w:rsidRPr="008C761D">
              <w:rPr>
                <w:rFonts w:cs="Calibri"/>
                <w:lang w:val="en-US"/>
              </w:rPr>
              <w:t>Increasing the number of employees in the Ministry of Economy and professional training for public-private partnership</w:t>
            </w:r>
            <w:r w:rsidRPr="008C761D">
              <w:rPr>
                <w:rFonts w:eastAsia="Times New Roman" w:cs="Calibri"/>
                <w:lang w:val="en-US" w:eastAsia="x-none"/>
              </w:rPr>
              <w:t>.</w:t>
            </w:r>
          </w:p>
        </w:tc>
      </w:tr>
    </w:tbl>
    <w:p w14:paraId="4E54DD27" w14:textId="77777777" w:rsidR="00522D07" w:rsidRPr="008C761D" w:rsidRDefault="00522D07" w:rsidP="00E84CD0">
      <w:pPr>
        <w:spacing w:before="80" w:after="80" w:line="240" w:lineRule="auto"/>
        <w:jc w:val="both"/>
        <w:rPr>
          <w:rFonts w:cs="Calibri"/>
          <w:b/>
          <w:bCs/>
          <w:i/>
          <w:iCs/>
          <w:color w:val="4F81BD"/>
          <w:lang w:val="en-US"/>
        </w:rPr>
      </w:pPr>
    </w:p>
    <w:p w14:paraId="28B4F05E" w14:textId="77777777" w:rsidR="00522D07" w:rsidRPr="008C761D" w:rsidRDefault="00522D07" w:rsidP="00E84CD0">
      <w:pPr>
        <w:spacing w:before="80" w:after="80" w:line="240" w:lineRule="auto"/>
        <w:jc w:val="both"/>
        <w:rPr>
          <w:rFonts w:cs="Calibri"/>
          <w:b/>
          <w:bCs/>
          <w:i/>
          <w:iCs/>
          <w:color w:val="4F81BD"/>
          <w:lang w:val="en-US"/>
        </w:rPr>
      </w:pPr>
      <w:r w:rsidRPr="008C761D">
        <w:rPr>
          <w:rFonts w:cs="Calibri"/>
          <w:b/>
          <w:bCs/>
          <w:i/>
          <w:iCs/>
          <w:color w:val="4F81BD"/>
          <w:lang w:val="en-US"/>
        </w:rPr>
        <w:t>Outcome</w:t>
      </w:r>
    </w:p>
    <w:p w14:paraId="40761FC3" w14:textId="77777777" w:rsidR="00522D07" w:rsidRPr="008C761D" w:rsidRDefault="00522D07" w:rsidP="00E84CD0">
      <w:pPr>
        <w:spacing w:line="240" w:lineRule="auto"/>
        <w:jc w:val="both"/>
        <w:rPr>
          <w:rFonts w:cs="Calibri"/>
          <w:lang w:val="en-US"/>
        </w:rPr>
      </w:pPr>
      <w:r w:rsidRPr="008C761D">
        <w:rPr>
          <w:rFonts w:cs="Calibri"/>
          <w:lang w:val="en-US"/>
        </w:rPr>
        <w:t>Unification and digitalization of the process of awarding contracts for establishing public-private partnership, increased transparency and efficiency in the implementation of the Law on Public-Private Partnership and strengthening and developing the capacities of the Ministry of Economy for consistent realization of competencies according to law.</w:t>
      </w:r>
    </w:p>
    <w:p w14:paraId="6BC56967" w14:textId="306E4B7B" w:rsidR="00BD26BA" w:rsidRPr="008C761D" w:rsidRDefault="00AC339B" w:rsidP="00E84CD0">
      <w:pPr>
        <w:spacing w:line="240" w:lineRule="auto"/>
        <w:jc w:val="both"/>
        <w:rPr>
          <w:rFonts w:cs="Calibri"/>
          <w:lang w:val="en-US"/>
        </w:rPr>
      </w:pPr>
      <w:r w:rsidRPr="008C761D">
        <w:rPr>
          <w:rFonts w:cs="Calibri"/>
          <w:lang w:val="en-US"/>
        </w:rPr>
        <w:t xml:space="preserve">In order to realize and implement the activities, responsibilities and obligations of the Ministry of Economy established in the PPP law, employment in the PPP Department and concession was </w:t>
      </w:r>
      <w:r w:rsidR="00514D12" w:rsidRPr="008C761D">
        <w:rPr>
          <w:rFonts w:cs="Calibri"/>
          <w:lang w:val="en-US"/>
        </w:rPr>
        <w:t>planned</w:t>
      </w:r>
      <w:r w:rsidRPr="008C761D">
        <w:rPr>
          <w:rFonts w:cs="Calibri"/>
          <w:lang w:val="en-US"/>
        </w:rPr>
        <w:t xml:space="preserve"> for two new </w:t>
      </w:r>
      <w:r w:rsidR="00514D12" w:rsidRPr="008C761D">
        <w:rPr>
          <w:rFonts w:cs="Calibri"/>
          <w:lang w:val="en-US"/>
        </w:rPr>
        <w:t>employees</w:t>
      </w:r>
      <w:r w:rsidRPr="008C761D">
        <w:rPr>
          <w:rFonts w:cs="Calibri"/>
          <w:lang w:val="en-US"/>
        </w:rPr>
        <w:t xml:space="preserve"> in 2023 and one in </w:t>
      </w:r>
      <w:proofErr w:type="gramStart"/>
      <w:r w:rsidRPr="008C761D">
        <w:rPr>
          <w:rFonts w:cs="Calibri"/>
          <w:lang w:val="en-US"/>
        </w:rPr>
        <w:t>2024,  we</w:t>
      </w:r>
      <w:proofErr w:type="gramEnd"/>
      <w:r w:rsidRPr="008C761D">
        <w:rPr>
          <w:rFonts w:cs="Calibri"/>
          <w:lang w:val="en-US"/>
        </w:rPr>
        <w:t xml:space="preserve"> emphasize that the planed ones have not been realized.</w:t>
      </w:r>
      <w:r w:rsidR="00514D12">
        <w:rPr>
          <w:rFonts w:cs="Calibri"/>
          <w:lang w:val="en-US"/>
        </w:rPr>
        <w:t xml:space="preserve"> </w:t>
      </w:r>
      <w:r w:rsidRPr="008C761D">
        <w:rPr>
          <w:rFonts w:cs="Calibri"/>
          <w:lang w:val="en-US"/>
        </w:rPr>
        <w:t>This is because the competent Ministry that gives approval of the Budget for employment is Ministry of Finance that did not approve two employments for 2023.</w:t>
      </w:r>
      <w:r w:rsidR="00893CDE" w:rsidRPr="008C761D">
        <w:rPr>
          <w:rFonts w:cs="Calibri"/>
          <w:lang w:val="en-US"/>
        </w:rPr>
        <w:t xml:space="preserve">Because of this obstacle </w:t>
      </w:r>
      <w:r w:rsidR="000E2385" w:rsidRPr="008C761D">
        <w:rPr>
          <w:rFonts w:cs="Calibri"/>
          <w:lang w:val="en-US"/>
        </w:rPr>
        <w:t>t</w:t>
      </w:r>
      <w:r w:rsidR="00893CDE" w:rsidRPr="008C761D">
        <w:rPr>
          <w:rFonts w:cs="Calibri"/>
          <w:lang w:val="en-US"/>
        </w:rPr>
        <w:t>he new employment of civil servants will be postponed for 2024-2025.</w:t>
      </w:r>
    </w:p>
    <w:p w14:paraId="111B92F0" w14:textId="0F6992C0" w:rsidR="00522D07" w:rsidRDefault="00522D07" w:rsidP="00E84CD0">
      <w:pPr>
        <w:spacing w:after="0" w:line="240" w:lineRule="auto"/>
        <w:jc w:val="both"/>
        <w:rPr>
          <w:rFonts w:cs="Calibri"/>
          <w:b/>
          <w:bCs/>
          <w:i/>
          <w:iCs/>
          <w:color w:val="4F81BD"/>
          <w:lang w:val="en-US"/>
        </w:rPr>
      </w:pPr>
      <w:r w:rsidRPr="008C761D">
        <w:rPr>
          <w:rFonts w:cs="Calibri"/>
          <w:b/>
          <w:bCs/>
          <w:i/>
          <w:iCs/>
          <w:color w:val="4F81BD"/>
          <w:lang w:val="en-US"/>
        </w:rPr>
        <w:t>Outcome indicators</w:t>
      </w:r>
    </w:p>
    <w:p w14:paraId="602F8CD1" w14:textId="77777777" w:rsidR="00BD26BA" w:rsidRPr="008C761D" w:rsidRDefault="00BD26BA" w:rsidP="00E84CD0">
      <w:pPr>
        <w:spacing w:after="0" w:line="240" w:lineRule="auto"/>
        <w:jc w:val="both"/>
        <w:rPr>
          <w:rFonts w:cs="Calibri"/>
          <w:b/>
          <w:bCs/>
          <w:i/>
          <w:iCs/>
          <w:color w:val="4F81BD"/>
          <w:lang w:val="en-US"/>
        </w:rPr>
      </w:pPr>
    </w:p>
    <w:p w14:paraId="69E0B124" w14:textId="77777777" w:rsidR="00522D07" w:rsidRPr="008C761D" w:rsidRDefault="00522D07" w:rsidP="003A338C">
      <w:pPr>
        <w:numPr>
          <w:ilvl w:val="0"/>
          <w:numId w:val="31"/>
        </w:numPr>
        <w:spacing w:line="240" w:lineRule="auto"/>
        <w:jc w:val="both"/>
        <w:rPr>
          <w:rFonts w:cs="Calibri"/>
          <w:lang w:val="en-US"/>
        </w:rPr>
      </w:pPr>
      <w:r w:rsidRPr="008C761D">
        <w:rPr>
          <w:rFonts w:cs="Calibri"/>
          <w:lang w:val="en-US"/>
        </w:rPr>
        <w:t>Number of concluded agreements for establishing a public-private partnership;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7541EA" w:rsidRPr="008C761D" w14:paraId="39D0D98A" w14:textId="77777777" w:rsidTr="00356610">
        <w:trPr>
          <w:trHeight w:val="395"/>
        </w:trPr>
        <w:tc>
          <w:tcPr>
            <w:tcW w:w="4500" w:type="dxa"/>
            <w:shd w:val="clear" w:color="auto" w:fill="E8E8E8"/>
          </w:tcPr>
          <w:p w14:paraId="6BF89581"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A8C777D" w14:textId="77777777" w:rsidR="007541EA" w:rsidRPr="008C761D" w:rsidRDefault="007541EA"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7541EA" w:rsidRPr="008C761D" w14:paraId="57AA25FE" w14:textId="77777777" w:rsidTr="00356610">
        <w:trPr>
          <w:trHeight w:val="278"/>
        </w:trPr>
        <w:tc>
          <w:tcPr>
            <w:tcW w:w="4500" w:type="dxa"/>
            <w:shd w:val="clear" w:color="auto" w:fill="E8E8E8"/>
          </w:tcPr>
          <w:p w14:paraId="1C3668E3" w14:textId="26CAECEC" w:rsidR="007541EA" w:rsidRPr="008C761D" w:rsidRDefault="00212B38" w:rsidP="00BD26BA">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Five (5) concluded public-private partnership agreements registered in the Register of awarded public-private partnership agreements</w:t>
            </w:r>
          </w:p>
        </w:tc>
        <w:tc>
          <w:tcPr>
            <w:tcW w:w="4608" w:type="dxa"/>
            <w:shd w:val="clear" w:color="auto" w:fill="E8E8E8"/>
          </w:tcPr>
          <w:p w14:paraId="6E629990" w14:textId="236706E5" w:rsidR="007541EA" w:rsidRPr="008C761D" w:rsidRDefault="00212B38" w:rsidP="00BD26BA">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Potential increase in the number of concluded public-private partnership agreements by 5% compared to the previous year</w:t>
            </w:r>
          </w:p>
        </w:tc>
      </w:tr>
    </w:tbl>
    <w:p w14:paraId="358064B4" w14:textId="77777777" w:rsidR="007541EA" w:rsidRPr="008C761D" w:rsidRDefault="007541EA" w:rsidP="007541EA">
      <w:pPr>
        <w:spacing w:line="240" w:lineRule="auto"/>
        <w:ind w:left="720"/>
        <w:jc w:val="both"/>
        <w:rPr>
          <w:rFonts w:cs="Calibri"/>
          <w:lang w:val="en-US"/>
        </w:rPr>
      </w:pPr>
    </w:p>
    <w:p w14:paraId="19A428A8" w14:textId="77777777" w:rsidR="00522D07" w:rsidRPr="008C761D" w:rsidRDefault="00522D07" w:rsidP="003A338C">
      <w:pPr>
        <w:numPr>
          <w:ilvl w:val="0"/>
          <w:numId w:val="31"/>
        </w:numPr>
        <w:spacing w:line="240" w:lineRule="auto"/>
        <w:jc w:val="both"/>
        <w:rPr>
          <w:rFonts w:cs="Calibri"/>
          <w:lang w:val="en-US"/>
        </w:rPr>
      </w:pPr>
      <w:r w:rsidRPr="008C761D">
        <w:rPr>
          <w:rFonts w:cs="Calibri"/>
          <w:lang w:val="en-US"/>
        </w:rPr>
        <w:t>Effective and consistent implementation of the obligations of the contracting parties in   accordance with the agreements for establishment of public-private partnership.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7541EA" w:rsidRPr="008C761D" w14:paraId="6D530B9A" w14:textId="77777777" w:rsidTr="00356610">
        <w:trPr>
          <w:trHeight w:val="395"/>
        </w:trPr>
        <w:tc>
          <w:tcPr>
            <w:tcW w:w="4500" w:type="dxa"/>
            <w:shd w:val="clear" w:color="auto" w:fill="E8E8E8"/>
          </w:tcPr>
          <w:p w14:paraId="49B871A6" w14:textId="77777777" w:rsidR="007541EA" w:rsidRPr="008C761D" w:rsidRDefault="007541EA" w:rsidP="002B77A4">
            <w:pPr>
              <w:spacing w:line="240" w:lineRule="auto"/>
              <w:jc w:val="both"/>
              <w:rPr>
                <w:rFonts w:eastAsia="Times New Roman" w:cs="Calibri"/>
                <w:b/>
                <w:bCs/>
                <w:i/>
                <w:iCs/>
                <w:color w:val="202124"/>
                <w:lang w:val="en-US"/>
              </w:rPr>
            </w:pPr>
            <w:r w:rsidRPr="008C761D">
              <w:rPr>
                <w:rFonts w:eastAsia="Times New Roman" w:cs="Calibri"/>
                <w:b/>
                <w:bCs/>
                <w:i/>
                <w:iCs/>
                <w:color w:val="202124"/>
                <w:lang w:val="en-US"/>
              </w:rPr>
              <w:t>Baseline 2022</w:t>
            </w:r>
          </w:p>
        </w:tc>
        <w:tc>
          <w:tcPr>
            <w:tcW w:w="4608" w:type="dxa"/>
            <w:shd w:val="clear" w:color="auto" w:fill="E8E8E8"/>
          </w:tcPr>
          <w:p w14:paraId="43ECC51F" w14:textId="77777777" w:rsidR="007541EA" w:rsidRPr="008C761D" w:rsidRDefault="007541EA" w:rsidP="002B77A4">
            <w:pPr>
              <w:spacing w:line="240" w:lineRule="auto"/>
              <w:jc w:val="both"/>
              <w:rPr>
                <w:rFonts w:eastAsia="Times New Roman" w:cs="Calibri"/>
                <w:b/>
                <w:bCs/>
                <w:i/>
                <w:iCs/>
                <w:color w:val="202124"/>
                <w:lang w:val="en-US"/>
              </w:rPr>
            </w:pPr>
            <w:r w:rsidRPr="008C761D">
              <w:rPr>
                <w:rFonts w:eastAsia="Times New Roman" w:cs="Calibri"/>
                <w:b/>
                <w:bCs/>
                <w:i/>
                <w:iCs/>
                <w:color w:val="202124"/>
                <w:lang w:val="en-US"/>
              </w:rPr>
              <w:t>Target 2027</w:t>
            </w:r>
          </w:p>
        </w:tc>
      </w:tr>
      <w:tr w:rsidR="007541EA" w:rsidRPr="008C761D" w14:paraId="14F1CFB0" w14:textId="77777777" w:rsidTr="00356610">
        <w:trPr>
          <w:trHeight w:val="278"/>
        </w:trPr>
        <w:tc>
          <w:tcPr>
            <w:tcW w:w="4500" w:type="dxa"/>
            <w:shd w:val="clear" w:color="auto" w:fill="E8E8E8"/>
          </w:tcPr>
          <w:p w14:paraId="25F10EE1" w14:textId="69F7EE2F" w:rsidR="007541EA" w:rsidRPr="008C761D" w:rsidRDefault="00120E2D" w:rsidP="002B77A4">
            <w:pPr>
              <w:spacing w:line="240" w:lineRule="auto"/>
              <w:jc w:val="both"/>
              <w:rPr>
                <w:rFonts w:eastAsia="Times New Roman" w:cs="Calibri"/>
                <w:color w:val="202124"/>
                <w:lang w:val="en-US"/>
              </w:rPr>
            </w:pPr>
            <w:r w:rsidRPr="008C761D">
              <w:rPr>
                <w:rFonts w:eastAsia="Times New Roman" w:cs="Calibri"/>
                <w:color w:val="202124"/>
                <w:lang w:val="en-US"/>
              </w:rPr>
              <w:t>30% of</w:t>
            </w:r>
            <w:r w:rsidR="00212B38" w:rsidRPr="008C761D">
              <w:rPr>
                <w:rFonts w:eastAsia="Times New Roman" w:cs="Calibri"/>
                <w:color w:val="202124"/>
                <w:lang w:val="en-US"/>
              </w:rPr>
              <w:t xml:space="preserve"> </w:t>
            </w:r>
            <w:r w:rsidRPr="008C761D">
              <w:rPr>
                <w:rFonts w:eastAsia="Times New Roman" w:cs="Calibri"/>
                <w:color w:val="202124"/>
                <w:lang w:val="en-US"/>
              </w:rPr>
              <w:t>the</w:t>
            </w:r>
            <w:r w:rsidR="00212B38" w:rsidRPr="008C761D">
              <w:rPr>
                <w:rFonts w:eastAsia="Times New Roman" w:cs="Calibri"/>
                <w:color w:val="202124"/>
                <w:lang w:val="en-US"/>
              </w:rPr>
              <w:t xml:space="preserve"> </w:t>
            </w:r>
            <w:r w:rsidRPr="008C761D">
              <w:rPr>
                <w:rFonts w:eastAsia="Times New Roman" w:cs="Calibri"/>
                <w:color w:val="202124"/>
                <w:lang w:val="en-US"/>
              </w:rPr>
              <w:t>concluded</w:t>
            </w:r>
            <w:r w:rsidR="00212B38" w:rsidRPr="008C761D">
              <w:rPr>
                <w:rFonts w:eastAsia="Times New Roman" w:cs="Calibri"/>
                <w:color w:val="202124"/>
                <w:lang w:val="en-US"/>
              </w:rPr>
              <w:t xml:space="preserve"> </w:t>
            </w:r>
            <w:r w:rsidRPr="008C761D">
              <w:rPr>
                <w:rFonts w:eastAsia="Times New Roman" w:cs="Calibri"/>
                <w:color w:val="202124"/>
                <w:lang w:val="en-US"/>
              </w:rPr>
              <w:t>agreements</w:t>
            </w:r>
            <w:r w:rsidR="00212B38" w:rsidRPr="008C761D">
              <w:rPr>
                <w:rFonts w:eastAsia="Times New Roman" w:cs="Calibri"/>
                <w:color w:val="202124"/>
                <w:lang w:val="en-US"/>
              </w:rPr>
              <w:t xml:space="preserve"> </w:t>
            </w:r>
            <w:r w:rsidRPr="008C761D">
              <w:rPr>
                <w:rFonts w:eastAsia="Times New Roman" w:cs="Calibri"/>
                <w:color w:val="202124"/>
                <w:lang w:val="en-US"/>
              </w:rPr>
              <w:t>for</w:t>
            </w:r>
            <w:r w:rsidR="00212B38" w:rsidRPr="008C761D">
              <w:rPr>
                <w:rFonts w:eastAsia="Times New Roman" w:cs="Calibri"/>
                <w:color w:val="202124"/>
                <w:lang w:val="en-US"/>
              </w:rPr>
              <w:t xml:space="preserve"> </w:t>
            </w:r>
            <w:r w:rsidRPr="008C761D">
              <w:rPr>
                <w:rFonts w:eastAsia="Times New Roman" w:cs="Calibri"/>
                <w:color w:val="202124"/>
                <w:lang w:val="en-US"/>
              </w:rPr>
              <w:t>establishing a public-private</w:t>
            </w:r>
            <w:r w:rsidR="00212B38" w:rsidRPr="008C761D">
              <w:rPr>
                <w:rFonts w:eastAsia="Times New Roman" w:cs="Calibri"/>
                <w:color w:val="202124"/>
                <w:lang w:val="en-US"/>
              </w:rPr>
              <w:t xml:space="preserve"> </w:t>
            </w:r>
            <w:r w:rsidRPr="008C761D">
              <w:rPr>
                <w:rFonts w:eastAsia="Times New Roman" w:cs="Calibri"/>
                <w:color w:val="202124"/>
                <w:lang w:val="en-US"/>
              </w:rPr>
              <w:t>partnership</w:t>
            </w:r>
            <w:r w:rsidR="00212B38" w:rsidRPr="008C761D">
              <w:rPr>
                <w:rFonts w:eastAsia="Times New Roman" w:cs="Calibri"/>
                <w:color w:val="202124"/>
                <w:lang w:val="en-US"/>
              </w:rPr>
              <w:t xml:space="preserve"> </w:t>
            </w:r>
            <w:r w:rsidRPr="008C761D">
              <w:rPr>
                <w:rFonts w:eastAsia="Times New Roman" w:cs="Calibri"/>
                <w:color w:val="202124"/>
                <w:lang w:val="en-US"/>
              </w:rPr>
              <w:t>in</w:t>
            </w:r>
            <w:r w:rsidR="00212B38" w:rsidRPr="008C761D">
              <w:rPr>
                <w:rFonts w:eastAsia="Times New Roman" w:cs="Calibri"/>
                <w:color w:val="202124"/>
                <w:lang w:val="en-US"/>
              </w:rPr>
              <w:t xml:space="preserve"> </w:t>
            </w:r>
            <w:r w:rsidRPr="008C761D">
              <w:rPr>
                <w:rFonts w:eastAsia="Times New Roman" w:cs="Calibri"/>
                <w:color w:val="202124"/>
                <w:lang w:val="en-US"/>
              </w:rPr>
              <w:t>which</w:t>
            </w:r>
            <w:r w:rsidR="00212B38" w:rsidRPr="008C761D">
              <w:rPr>
                <w:rFonts w:eastAsia="Times New Roman" w:cs="Calibri"/>
                <w:color w:val="202124"/>
                <w:lang w:val="en-US"/>
              </w:rPr>
              <w:t xml:space="preserve"> </w:t>
            </w:r>
            <w:r w:rsidRPr="008C761D">
              <w:rPr>
                <w:rFonts w:eastAsia="Times New Roman" w:cs="Calibri"/>
                <w:color w:val="202124"/>
                <w:lang w:val="en-US"/>
              </w:rPr>
              <w:t>certain</w:t>
            </w:r>
            <w:r w:rsidR="00212B38" w:rsidRPr="008C761D">
              <w:rPr>
                <w:rFonts w:eastAsia="Times New Roman" w:cs="Calibri"/>
                <w:color w:val="202124"/>
                <w:lang w:val="en-US"/>
              </w:rPr>
              <w:t xml:space="preserve"> </w:t>
            </w:r>
            <w:r w:rsidRPr="008C761D">
              <w:rPr>
                <w:rFonts w:eastAsia="Times New Roman" w:cs="Calibri"/>
                <w:color w:val="202124"/>
                <w:lang w:val="en-US"/>
              </w:rPr>
              <w:t>legal</w:t>
            </w:r>
            <w:r w:rsidR="00212B38" w:rsidRPr="008C761D">
              <w:rPr>
                <w:rFonts w:eastAsia="Times New Roman" w:cs="Calibri"/>
                <w:color w:val="202124"/>
                <w:lang w:val="en-US"/>
              </w:rPr>
              <w:t xml:space="preserve"> </w:t>
            </w:r>
            <w:r w:rsidRPr="008C761D">
              <w:rPr>
                <w:rFonts w:eastAsia="Times New Roman" w:cs="Calibri"/>
                <w:color w:val="202124"/>
                <w:lang w:val="en-US"/>
              </w:rPr>
              <w:t>obstacles</w:t>
            </w:r>
            <w:r w:rsidR="00212B38" w:rsidRPr="008C761D">
              <w:rPr>
                <w:rFonts w:eastAsia="Times New Roman" w:cs="Calibri"/>
                <w:color w:val="202124"/>
                <w:lang w:val="en-US"/>
              </w:rPr>
              <w:t xml:space="preserve"> </w:t>
            </w:r>
            <w:r w:rsidRPr="008C761D">
              <w:rPr>
                <w:rFonts w:eastAsia="Times New Roman" w:cs="Calibri"/>
                <w:color w:val="202124"/>
                <w:lang w:val="en-US"/>
              </w:rPr>
              <w:t>in</w:t>
            </w:r>
            <w:r w:rsidR="00212B38" w:rsidRPr="008C761D">
              <w:rPr>
                <w:rFonts w:eastAsia="Times New Roman" w:cs="Calibri"/>
                <w:color w:val="202124"/>
                <w:lang w:val="en-US"/>
              </w:rPr>
              <w:t xml:space="preserve"> </w:t>
            </w:r>
            <w:r w:rsidRPr="008C761D">
              <w:rPr>
                <w:rFonts w:eastAsia="Times New Roman" w:cs="Calibri"/>
                <w:color w:val="202124"/>
                <w:lang w:val="en-US"/>
              </w:rPr>
              <w:t>the</w:t>
            </w:r>
            <w:r w:rsidR="00212B38" w:rsidRPr="008C761D">
              <w:rPr>
                <w:rFonts w:eastAsia="Times New Roman" w:cs="Calibri"/>
                <w:color w:val="202124"/>
                <w:lang w:val="en-US"/>
              </w:rPr>
              <w:t xml:space="preserve"> </w:t>
            </w:r>
            <w:r w:rsidRPr="008C761D">
              <w:rPr>
                <w:rFonts w:eastAsia="Times New Roman" w:cs="Calibri"/>
                <w:color w:val="202124"/>
                <w:lang w:val="en-US"/>
              </w:rPr>
              <w:t>realization</w:t>
            </w:r>
            <w:r w:rsidR="00212B38" w:rsidRPr="008C761D">
              <w:rPr>
                <w:rFonts w:eastAsia="Times New Roman" w:cs="Calibri"/>
                <w:color w:val="202124"/>
                <w:lang w:val="en-US"/>
              </w:rPr>
              <w:t xml:space="preserve"> </w:t>
            </w:r>
            <w:r w:rsidR="00514D12" w:rsidRPr="008C761D">
              <w:rPr>
                <w:rFonts w:eastAsia="Times New Roman" w:cs="Calibri"/>
                <w:color w:val="202124"/>
                <w:lang w:val="en-US"/>
              </w:rPr>
              <w:t>occurred</w:t>
            </w:r>
          </w:p>
        </w:tc>
        <w:tc>
          <w:tcPr>
            <w:tcW w:w="4608" w:type="dxa"/>
            <w:shd w:val="clear" w:color="auto" w:fill="E8E8E8"/>
          </w:tcPr>
          <w:p w14:paraId="2BD49200" w14:textId="2F52F342" w:rsidR="007541EA" w:rsidRPr="008C761D" w:rsidRDefault="00212B38" w:rsidP="002B77A4">
            <w:pPr>
              <w:spacing w:line="240" w:lineRule="auto"/>
              <w:jc w:val="both"/>
              <w:rPr>
                <w:rFonts w:eastAsia="Times New Roman" w:cs="Calibri"/>
                <w:color w:val="202124"/>
                <w:lang w:val="en-US"/>
              </w:rPr>
            </w:pPr>
            <w:r w:rsidRPr="008C761D">
              <w:rPr>
                <w:rFonts w:eastAsia="Times New Roman" w:cs="Calibri"/>
                <w:color w:val="202124"/>
                <w:lang w:val="en-US"/>
              </w:rPr>
              <w:t>Potential reduction by 10% of concluded public-private partnership agreements in which certain legal obstacles in the realization occurred, compared to the previous year</w:t>
            </w:r>
          </w:p>
        </w:tc>
      </w:tr>
    </w:tbl>
    <w:p w14:paraId="2D61E718" w14:textId="44DE42AF" w:rsidR="00522D07" w:rsidRPr="008C761D" w:rsidRDefault="00522D07" w:rsidP="00E84CD0">
      <w:pPr>
        <w:spacing w:line="240" w:lineRule="auto"/>
        <w:jc w:val="both"/>
        <w:rPr>
          <w:rFonts w:eastAsia="Times New Roman" w:cs="Calibri"/>
          <w:color w:val="202124"/>
          <w:lang w:val="en-US"/>
        </w:rPr>
      </w:pPr>
      <w:bookmarkStart w:id="46" w:name="_Hlk89266934"/>
    </w:p>
    <w:bookmarkEnd w:id="46"/>
    <w:p w14:paraId="1FEB6042" w14:textId="77777777" w:rsidR="00522D07" w:rsidRPr="008C761D" w:rsidRDefault="00522D07" w:rsidP="00E84CD0">
      <w:pPr>
        <w:spacing w:line="240" w:lineRule="auto"/>
        <w:jc w:val="both"/>
        <w:rPr>
          <w:rFonts w:cs="Calibri"/>
          <w:b/>
          <w:color w:val="0070C0"/>
          <w:sz w:val="24"/>
          <w:szCs w:val="24"/>
          <w:lang w:val="en-US"/>
        </w:rPr>
      </w:pPr>
      <w:r w:rsidRPr="008C761D">
        <w:rPr>
          <w:rFonts w:cs="Calibri"/>
          <w:b/>
          <w:color w:val="0070C0"/>
          <w:sz w:val="24"/>
          <w:szCs w:val="24"/>
          <w:lang w:val="en-US"/>
        </w:rPr>
        <w:t>Measure 1: Establishment of the Unified Electronic Public Private Partnership System (UESPPP)</w:t>
      </w:r>
    </w:p>
    <w:p w14:paraId="23D883F8" w14:textId="77777777" w:rsidR="00522D07" w:rsidRPr="008C761D" w:rsidRDefault="00522D07" w:rsidP="00E84CD0">
      <w:pPr>
        <w:spacing w:line="240" w:lineRule="auto"/>
        <w:jc w:val="both"/>
        <w:rPr>
          <w:rFonts w:cs="Calibri"/>
          <w:b/>
          <w:bCs/>
          <w:i/>
          <w:iCs/>
          <w:color w:val="4F81BD"/>
          <w:lang w:val="en-US"/>
        </w:rPr>
      </w:pPr>
      <w:r w:rsidRPr="008C761D">
        <w:rPr>
          <w:rFonts w:cs="Calibri"/>
          <w:b/>
          <w:bCs/>
          <w:i/>
          <w:iCs/>
          <w:color w:val="4F81BD"/>
          <w:lang w:val="en-US"/>
        </w:rPr>
        <w:t>Measure objective</w:t>
      </w:r>
    </w:p>
    <w:p w14:paraId="444B7937" w14:textId="77777777" w:rsidR="00522D07" w:rsidRPr="008C761D" w:rsidRDefault="00522D07" w:rsidP="00E84CD0">
      <w:pPr>
        <w:spacing w:line="240" w:lineRule="auto"/>
        <w:jc w:val="both"/>
        <w:rPr>
          <w:rFonts w:cs="Calibri"/>
          <w:lang w:val="en-US"/>
        </w:rPr>
      </w:pPr>
      <w:r w:rsidRPr="008C761D">
        <w:rPr>
          <w:rFonts w:cs="Calibri"/>
          <w:lang w:val="en-US"/>
        </w:rPr>
        <w:t>Ensuring greater transparency in the awarding and implementation of public-private partnership agreements, ie unifying and sublimating the entire process for their awarding through the establishment of a Unified Electronic Public-Private Partnership system as the only digital database of public-private partnership agreements will generate the Register of awarded contracts for establishing a public-private partnership.</w:t>
      </w:r>
    </w:p>
    <w:p w14:paraId="1E760EB2" w14:textId="77777777" w:rsidR="00522D07" w:rsidRPr="008C761D" w:rsidRDefault="00522D07" w:rsidP="00E84CD0">
      <w:pPr>
        <w:spacing w:line="240" w:lineRule="auto"/>
        <w:jc w:val="both"/>
        <w:rPr>
          <w:rFonts w:cs="Calibri"/>
          <w:b/>
          <w:bCs/>
          <w:i/>
          <w:iCs/>
          <w:color w:val="4F81BD"/>
          <w:lang w:val="en-US"/>
        </w:rPr>
      </w:pPr>
      <w:r w:rsidRPr="008C761D">
        <w:rPr>
          <w:rFonts w:cs="Calibri"/>
          <w:b/>
          <w:bCs/>
          <w:i/>
          <w:iCs/>
          <w:color w:val="4F81BD"/>
          <w:lang w:val="en-US"/>
        </w:rPr>
        <w:t xml:space="preserve">Reference to the external </w:t>
      </w:r>
      <w:proofErr w:type="gramStart"/>
      <w:r w:rsidRPr="008C761D">
        <w:rPr>
          <w:rFonts w:cs="Calibri"/>
          <w:b/>
          <w:bCs/>
          <w:i/>
          <w:iCs/>
          <w:color w:val="4F81BD"/>
          <w:lang w:val="en-US"/>
        </w:rPr>
        <w:t>assessments</w:t>
      </w:r>
      <w:proofErr w:type="gramEnd"/>
      <w:r w:rsidRPr="008C761D">
        <w:rPr>
          <w:rFonts w:cs="Calibri"/>
          <w:b/>
          <w:bCs/>
          <w:i/>
          <w:iCs/>
          <w:color w:val="4F81BD"/>
          <w:lang w:val="en-US"/>
        </w:rPr>
        <w:t xml:space="preserve"> findings: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4"/>
        <w:gridCol w:w="7578"/>
      </w:tblGrid>
      <w:tr w:rsidR="00522D07" w:rsidRPr="008C761D" w14:paraId="640960C5" w14:textId="77777777" w:rsidTr="00356610">
        <w:tc>
          <w:tcPr>
            <w:tcW w:w="1494" w:type="dxa"/>
            <w:shd w:val="clear" w:color="auto" w:fill="DDDDDD"/>
          </w:tcPr>
          <w:p w14:paraId="321E82BB"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WB:</w:t>
            </w:r>
          </w:p>
        </w:tc>
        <w:tc>
          <w:tcPr>
            <w:tcW w:w="7578" w:type="dxa"/>
            <w:shd w:val="clear" w:color="auto" w:fill="DDDDDD"/>
          </w:tcPr>
          <w:p w14:paraId="5789FF06" w14:textId="77777777" w:rsidR="00522D07" w:rsidRPr="008C761D" w:rsidRDefault="00522D07" w:rsidP="00E84CD0">
            <w:pPr>
              <w:spacing w:line="240" w:lineRule="auto"/>
              <w:jc w:val="both"/>
              <w:rPr>
                <w:rFonts w:cs="Calibri"/>
                <w:sz w:val="20"/>
                <w:szCs w:val="20"/>
                <w:lang w:val="en-US"/>
              </w:rPr>
            </w:pPr>
            <w:r w:rsidRPr="008C761D">
              <w:rPr>
                <w:rFonts w:cs="Calibri"/>
                <w:sz w:val="20"/>
                <w:szCs w:val="20"/>
                <w:lang w:val="en-US"/>
              </w:rPr>
              <w:t>- Strengthening the regulatory framework and policies for public-private partnership</w:t>
            </w:r>
          </w:p>
        </w:tc>
      </w:tr>
      <w:tr w:rsidR="00522D07" w:rsidRPr="008C761D" w14:paraId="15E5AC9E" w14:textId="77777777" w:rsidTr="00356610">
        <w:tc>
          <w:tcPr>
            <w:tcW w:w="1494" w:type="dxa"/>
            <w:shd w:val="clear" w:color="auto" w:fill="DDDDDD"/>
          </w:tcPr>
          <w:p w14:paraId="56D24C5E"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ЕU:</w:t>
            </w:r>
          </w:p>
        </w:tc>
        <w:tc>
          <w:tcPr>
            <w:tcW w:w="7578" w:type="dxa"/>
            <w:shd w:val="clear" w:color="auto" w:fill="DDDDDD"/>
          </w:tcPr>
          <w:p w14:paraId="5CC89414" w14:textId="77777777" w:rsidR="00522D07" w:rsidRPr="008C761D" w:rsidRDefault="00522D07" w:rsidP="00E84CD0">
            <w:pPr>
              <w:spacing w:line="240" w:lineRule="auto"/>
              <w:jc w:val="both"/>
              <w:rPr>
                <w:rFonts w:cs="Calibri"/>
                <w:sz w:val="20"/>
                <w:szCs w:val="20"/>
                <w:lang w:val="en-US"/>
              </w:rPr>
            </w:pPr>
            <w:r w:rsidRPr="008C761D">
              <w:rPr>
                <w:rFonts w:cs="Calibri"/>
                <w:sz w:val="20"/>
                <w:szCs w:val="20"/>
                <w:lang w:val="en-US"/>
              </w:rPr>
              <w:t>- To ensure effective implementation of the legal framework in the field of public-private partnership and concessions;</w:t>
            </w:r>
          </w:p>
        </w:tc>
      </w:tr>
    </w:tbl>
    <w:p w14:paraId="271BEBB6" w14:textId="77777777" w:rsidR="00522D07" w:rsidRPr="008C761D" w:rsidRDefault="00522D07" w:rsidP="00E84CD0">
      <w:pPr>
        <w:spacing w:line="240" w:lineRule="auto"/>
        <w:jc w:val="both"/>
        <w:rPr>
          <w:rFonts w:cs="Calibri"/>
          <w:b/>
          <w:bCs/>
          <w:i/>
          <w:iCs/>
          <w:color w:val="4F81BD"/>
          <w:lang w:val="en-US"/>
        </w:rPr>
      </w:pPr>
    </w:p>
    <w:p w14:paraId="752E7570" w14:textId="77777777" w:rsidR="00522D07" w:rsidRPr="008C761D" w:rsidRDefault="00522D07" w:rsidP="00E84CD0">
      <w:pPr>
        <w:spacing w:line="240" w:lineRule="auto"/>
        <w:jc w:val="both"/>
        <w:rPr>
          <w:rFonts w:cs="Calibri"/>
          <w:b/>
          <w:bCs/>
          <w:i/>
          <w:iCs/>
          <w:color w:val="4F81BD"/>
          <w:lang w:val="en-US"/>
        </w:rPr>
      </w:pPr>
      <w:r w:rsidRPr="008C761D">
        <w:rPr>
          <w:rFonts w:cs="Calibri"/>
          <w:b/>
          <w:bCs/>
          <w:i/>
          <w:iCs/>
          <w:color w:val="4F81BD"/>
          <w:lang w:val="en-US"/>
        </w:rPr>
        <w:t>Context / Background</w:t>
      </w:r>
    </w:p>
    <w:p w14:paraId="249ADD14" w14:textId="77777777" w:rsidR="002E7714" w:rsidRPr="008C761D" w:rsidRDefault="002E7714" w:rsidP="002E7714">
      <w:pPr>
        <w:spacing w:line="240" w:lineRule="auto"/>
        <w:jc w:val="both"/>
        <w:rPr>
          <w:rFonts w:cs="Calibri"/>
          <w:lang w:val="en-US"/>
        </w:rPr>
      </w:pPr>
      <w:r w:rsidRPr="008C761D">
        <w:rPr>
          <w:rFonts w:cs="Calibri"/>
          <w:lang w:val="en-US"/>
        </w:rPr>
        <w:t>After the prepared Analysis of the situation in the field of public-private partnership and concessions in cooperation and with the technical assistance of the World Bank experts within the project "Strengthening the regulatory framework and policy for public-private partnership", certain weaknesses in this area and the need were identified for acting through new policies in the field of public-private partnership in the Republic of North Macedonia. In that direction is the need to transpose Directive 2014/23 / EU on the award of concession agreements</w:t>
      </w:r>
      <w:r w:rsidRPr="008C761D">
        <w:rPr>
          <w:rFonts w:cs="Calibri"/>
          <w:color w:val="00B050"/>
          <w:lang w:val="en-US"/>
        </w:rPr>
        <w:t xml:space="preserve">, </w:t>
      </w:r>
      <w:r w:rsidRPr="008C761D">
        <w:rPr>
          <w:rFonts w:cs="Calibri"/>
          <w:lang w:val="en-US"/>
        </w:rPr>
        <w:t>in order to create legislation for awarding contracts for the establishment of public-private partnership that will provide efficient, balanced and non-discriminatory market access for all economic operators, especially small and medium enterprises (SMEs) and real market opening and fair balance in the application of the rules for awarding contracts for establishing a public-private partnership, more precisely, a legal framework that will enable the development of models for public-private partnership (concession / public procurement ) and activation of hitherto inactive assets or construction of large facilities and facilities of public interest, while stimulating competition and achieving the most favorable value for money.</w:t>
      </w:r>
    </w:p>
    <w:p w14:paraId="77ED9432" w14:textId="77777777" w:rsidR="00522D07" w:rsidRPr="00BD26BA" w:rsidRDefault="00522D07" w:rsidP="00E84CD0">
      <w:pPr>
        <w:spacing w:line="240" w:lineRule="auto"/>
        <w:jc w:val="both"/>
        <w:rPr>
          <w:rFonts w:cs="Calibri"/>
          <w:b/>
          <w:bCs/>
          <w:iCs/>
          <w:color w:val="0070C0"/>
          <w:lang w:val="en-US"/>
        </w:rPr>
      </w:pPr>
      <w:r w:rsidRPr="00BD26BA">
        <w:rPr>
          <w:rFonts w:cs="Calibri"/>
          <w:b/>
          <w:bCs/>
          <w:iCs/>
          <w:color w:val="0070C0"/>
          <w:lang w:val="en-US"/>
        </w:rPr>
        <w:t>Activity 1: Selection of an IT company for preparation of the Improving and upgrading the UESPPP and a Register of awarded contracts for the establishment of public-private partnership</w:t>
      </w:r>
    </w:p>
    <w:p w14:paraId="705B3481" w14:textId="75F76ED8" w:rsidR="00522D07" w:rsidRPr="008C761D" w:rsidRDefault="00522D07" w:rsidP="00E84CD0">
      <w:pPr>
        <w:spacing w:line="240" w:lineRule="auto"/>
        <w:jc w:val="both"/>
        <w:rPr>
          <w:rFonts w:cs="Calibri"/>
          <w:lang w:val="en-US"/>
        </w:rPr>
      </w:pPr>
      <w:r w:rsidRPr="008C761D">
        <w:rPr>
          <w:rFonts w:cs="Calibri"/>
          <w:lang w:val="en-US"/>
        </w:rPr>
        <w:t xml:space="preserve">The activity implies implementation of the procedural activities for selection of an IT company that will prepare the software solution of the </w:t>
      </w:r>
      <w:r w:rsidR="00C67DE8">
        <w:rPr>
          <w:rFonts w:cs="Calibri"/>
          <w:lang w:val="en-US"/>
        </w:rPr>
        <w:t>UE</w:t>
      </w:r>
      <w:r w:rsidR="00893CDE" w:rsidRPr="008C761D">
        <w:rPr>
          <w:rFonts w:cs="Calibri"/>
          <w:lang w:val="en-US"/>
        </w:rPr>
        <w:t>SSPP</w:t>
      </w:r>
      <w:r w:rsidR="00C67DE8">
        <w:rPr>
          <w:rFonts w:cs="Calibri"/>
          <w:lang w:val="en-US"/>
        </w:rPr>
        <w:t>P</w:t>
      </w:r>
      <w:r w:rsidR="008C761D" w:rsidRPr="008C761D">
        <w:rPr>
          <w:rFonts w:cs="Calibri"/>
          <w:lang w:val="en-US"/>
        </w:rPr>
        <w:t xml:space="preserve"> </w:t>
      </w:r>
      <w:r w:rsidR="00893CDE" w:rsidRPr="008C761D">
        <w:rPr>
          <w:rFonts w:cs="Calibri"/>
          <w:lang w:val="en-US"/>
        </w:rPr>
        <w:t>P</w:t>
      </w:r>
      <w:r w:rsidRPr="008C761D">
        <w:rPr>
          <w:rFonts w:cs="Calibri"/>
          <w:lang w:val="en-US"/>
        </w:rPr>
        <w:t>and the Register of awarded contracts for establishing a public-private partnership.</w:t>
      </w:r>
    </w:p>
    <w:p w14:paraId="75FA19E4" w14:textId="7D59F0C3" w:rsidR="00522D07" w:rsidRPr="008C761D" w:rsidRDefault="00522D07" w:rsidP="00E84CD0">
      <w:pPr>
        <w:spacing w:line="240" w:lineRule="auto"/>
        <w:jc w:val="both"/>
        <w:rPr>
          <w:rFonts w:cs="Calibri"/>
          <w:b/>
          <w:bCs/>
          <w:iCs/>
          <w:color w:val="4F81BD"/>
          <w:lang w:val="en-US"/>
        </w:rPr>
      </w:pPr>
      <w:r w:rsidRPr="00BD26BA">
        <w:rPr>
          <w:rFonts w:cs="Calibri"/>
          <w:b/>
          <w:bCs/>
          <w:iCs/>
          <w:color w:val="0070C0"/>
          <w:lang w:val="en-US"/>
        </w:rPr>
        <w:t>Activity 2: Preparation and implementation of the software solution for the establishment of public-private partnership and a Register of awarded contracts</w:t>
      </w:r>
      <w:r w:rsidRPr="008C761D">
        <w:rPr>
          <w:rFonts w:cs="Calibri"/>
          <w:b/>
          <w:bCs/>
          <w:iCs/>
          <w:color w:val="4F81BD"/>
          <w:lang w:val="en-US"/>
        </w:rPr>
        <w:t xml:space="preserve"> </w:t>
      </w:r>
      <w:r w:rsidRPr="008C761D">
        <w:rPr>
          <w:rFonts w:cs="Calibri"/>
          <w:lang w:val="en-US"/>
        </w:rPr>
        <w:t>the establishment of public-private partnership</w:t>
      </w:r>
    </w:p>
    <w:p w14:paraId="16C048BA" w14:textId="77777777" w:rsidR="00522D07" w:rsidRPr="008C761D" w:rsidRDefault="00522D07" w:rsidP="00E84CD0">
      <w:pPr>
        <w:spacing w:line="240" w:lineRule="auto"/>
        <w:jc w:val="both"/>
        <w:rPr>
          <w:rFonts w:cs="Calibri"/>
          <w:lang w:val="en-US"/>
        </w:rPr>
      </w:pPr>
      <w:r w:rsidRPr="008C761D">
        <w:rPr>
          <w:rFonts w:cs="Calibri"/>
          <w:lang w:val="en-US"/>
        </w:rPr>
        <w:t>The activity means preparation of the software solution of the ECHR and the Register of awarded contracts for establishment of public-private partnership and start with its implementation.</w:t>
      </w:r>
    </w:p>
    <w:p w14:paraId="69B2B5A6" w14:textId="77777777" w:rsidR="00522D07" w:rsidRPr="008C761D" w:rsidRDefault="00522D07" w:rsidP="00E84CD0">
      <w:pPr>
        <w:spacing w:line="240" w:lineRule="auto"/>
        <w:jc w:val="both"/>
        <w:rPr>
          <w:rFonts w:cs="Calibri"/>
          <w:b/>
          <w:i/>
          <w:color w:val="2E74B5"/>
          <w:lang w:val="en-US"/>
        </w:rPr>
      </w:pPr>
      <w:r w:rsidRPr="008C761D">
        <w:rPr>
          <w:rFonts w:cs="Calibri"/>
          <w:b/>
          <w:i/>
          <w:color w:val="2E74B5"/>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140"/>
      </w:tblGrid>
      <w:tr w:rsidR="00522D07" w:rsidRPr="008C761D" w14:paraId="5639B43C" w14:textId="77777777" w:rsidTr="00BD26BA">
        <w:tc>
          <w:tcPr>
            <w:tcW w:w="2518" w:type="dxa"/>
            <w:tcBorders>
              <w:top w:val="nil"/>
              <w:bottom w:val="single" w:sz="4" w:space="0" w:color="FFFFFF"/>
            </w:tcBorders>
            <w:shd w:val="clear" w:color="auto" w:fill="1F3864"/>
          </w:tcPr>
          <w:p w14:paraId="07EF9659"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Completed in year:</w:t>
            </w:r>
          </w:p>
        </w:tc>
        <w:tc>
          <w:tcPr>
            <w:tcW w:w="6140" w:type="dxa"/>
            <w:tcBorders>
              <w:top w:val="nil"/>
              <w:bottom w:val="single" w:sz="4" w:space="0" w:color="FFFFFF"/>
            </w:tcBorders>
            <w:shd w:val="clear" w:color="auto" w:fill="D9E2F3"/>
          </w:tcPr>
          <w:p w14:paraId="0D677D2C" w14:textId="4F0860E7" w:rsidR="00522D07" w:rsidRPr="008C761D" w:rsidRDefault="008D3EBF" w:rsidP="00E84CD0">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E91F45" w:rsidRPr="008C761D">
              <w:rPr>
                <w:rFonts w:eastAsia="Times New Roman" w:cs="Calibri"/>
                <w:color w:val="202124"/>
                <w:sz w:val="20"/>
                <w:szCs w:val="20"/>
                <w:lang w:val="en-US"/>
              </w:rPr>
              <w:t>5</w:t>
            </w:r>
          </w:p>
        </w:tc>
      </w:tr>
      <w:tr w:rsidR="00522D07" w:rsidRPr="008C761D" w14:paraId="55A70172" w14:textId="77777777" w:rsidTr="00BD26BA">
        <w:tc>
          <w:tcPr>
            <w:tcW w:w="2518" w:type="dxa"/>
            <w:tcBorders>
              <w:top w:val="single" w:sz="4" w:space="0" w:color="FFFFFF"/>
              <w:bottom w:val="single" w:sz="4" w:space="0" w:color="FFFFFF"/>
            </w:tcBorders>
            <w:shd w:val="clear" w:color="auto" w:fill="1F3864"/>
          </w:tcPr>
          <w:p w14:paraId="7EC444EC"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Deliverables:</w:t>
            </w:r>
          </w:p>
        </w:tc>
        <w:tc>
          <w:tcPr>
            <w:tcW w:w="6140" w:type="dxa"/>
            <w:tcBorders>
              <w:top w:val="single" w:sz="4" w:space="0" w:color="FFFFFF"/>
              <w:bottom w:val="single" w:sz="4" w:space="0" w:color="FFFFFF"/>
            </w:tcBorders>
            <w:shd w:val="clear" w:color="auto" w:fill="D9E2F3"/>
          </w:tcPr>
          <w:p w14:paraId="4A951DDA" w14:textId="77777777" w:rsidR="00522D07" w:rsidRPr="008C761D" w:rsidRDefault="00522D07" w:rsidP="00BD26BA">
            <w:pPr>
              <w:numPr>
                <w:ilvl w:val="0"/>
                <w:numId w:val="60"/>
              </w:numPr>
              <w:spacing w:line="240" w:lineRule="auto"/>
              <w:ind w:left="183" w:hanging="155"/>
              <w:jc w:val="both"/>
              <w:rPr>
                <w:rFonts w:eastAsia="Times New Roman" w:cs="Calibri"/>
                <w:color w:val="202124"/>
                <w:sz w:val="20"/>
                <w:szCs w:val="20"/>
                <w:lang w:val="en-US"/>
              </w:rPr>
            </w:pPr>
            <w:r w:rsidRPr="008C761D">
              <w:rPr>
                <w:rFonts w:eastAsia="Times New Roman" w:cs="Calibri"/>
                <w:color w:val="202124"/>
                <w:sz w:val="20"/>
                <w:szCs w:val="20"/>
                <w:lang w:val="en-US"/>
              </w:rPr>
              <w:t>Established UEPPPS as a single digital database for public-private partnership.</w:t>
            </w:r>
          </w:p>
        </w:tc>
      </w:tr>
      <w:tr w:rsidR="00522D07" w:rsidRPr="008C761D" w14:paraId="58BDE7B6" w14:textId="77777777" w:rsidTr="00BD26BA">
        <w:tc>
          <w:tcPr>
            <w:tcW w:w="2518" w:type="dxa"/>
            <w:tcBorders>
              <w:top w:val="single" w:sz="4" w:space="0" w:color="FFFFFF"/>
              <w:bottom w:val="single" w:sz="4" w:space="0" w:color="FFFFFF"/>
            </w:tcBorders>
            <w:shd w:val="clear" w:color="auto" w:fill="1F3864"/>
          </w:tcPr>
          <w:p w14:paraId="02EF56AC"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Costs implications:</w:t>
            </w:r>
          </w:p>
        </w:tc>
        <w:tc>
          <w:tcPr>
            <w:tcW w:w="6140" w:type="dxa"/>
            <w:tcBorders>
              <w:top w:val="single" w:sz="4" w:space="0" w:color="FFFFFF"/>
              <w:bottom w:val="single" w:sz="4" w:space="0" w:color="FFFFFF"/>
            </w:tcBorders>
            <w:shd w:val="clear" w:color="auto" w:fill="D9E2F3"/>
          </w:tcPr>
          <w:p w14:paraId="32DCB94F" w14:textId="77777777" w:rsidR="00522D07" w:rsidRPr="008C761D" w:rsidRDefault="00522D07" w:rsidP="00E84CD0">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EUR 1,000,000 </w:t>
            </w:r>
          </w:p>
        </w:tc>
      </w:tr>
      <w:tr w:rsidR="00522D07" w:rsidRPr="008C761D" w14:paraId="340A999C" w14:textId="77777777" w:rsidTr="00BD26BA">
        <w:tc>
          <w:tcPr>
            <w:tcW w:w="2518" w:type="dxa"/>
            <w:tcBorders>
              <w:top w:val="single" w:sz="4" w:space="0" w:color="FFFFFF"/>
              <w:bottom w:val="single" w:sz="4" w:space="0" w:color="FFFFFF"/>
            </w:tcBorders>
            <w:shd w:val="clear" w:color="auto" w:fill="1F3864"/>
          </w:tcPr>
          <w:p w14:paraId="086F2410"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 xml:space="preserve">Responsible entity: </w:t>
            </w:r>
          </w:p>
        </w:tc>
        <w:tc>
          <w:tcPr>
            <w:tcW w:w="6140" w:type="dxa"/>
            <w:tcBorders>
              <w:top w:val="single" w:sz="4" w:space="0" w:color="FFFFFF"/>
              <w:bottom w:val="single" w:sz="4" w:space="0" w:color="FFFFFF"/>
            </w:tcBorders>
            <w:shd w:val="clear" w:color="auto" w:fill="D9E2F3"/>
          </w:tcPr>
          <w:p w14:paraId="2AC71F5A" w14:textId="77777777" w:rsidR="00522D07" w:rsidRPr="008C761D" w:rsidRDefault="00522D07" w:rsidP="00E84CD0">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Ministry of Economy</w:t>
            </w:r>
          </w:p>
        </w:tc>
      </w:tr>
      <w:tr w:rsidR="00522D07" w:rsidRPr="008C761D" w14:paraId="1D8C937B" w14:textId="77777777" w:rsidTr="00BD26BA">
        <w:tc>
          <w:tcPr>
            <w:tcW w:w="2518" w:type="dxa"/>
            <w:tcBorders>
              <w:top w:val="single" w:sz="4" w:space="0" w:color="FFFFFF"/>
              <w:bottom w:val="nil"/>
            </w:tcBorders>
            <w:shd w:val="clear" w:color="auto" w:fill="1F3864"/>
          </w:tcPr>
          <w:p w14:paraId="15B3CE51"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Risk:</w:t>
            </w:r>
          </w:p>
        </w:tc>
        <w:tc>
          <w:tcPr>
            <w:tcW w:w="6140" w:type="dxa"/>
            <w:tcBorders>
              <w:top w:val="single" w:sz="4" w:space="0" w:color="FFFFFF"/>
              <w:bottom w:val="nil"/>
            </w:tcBorders>
            <w:shd w:val="clear" w:color="auto" w:fill="D9E2F3"/>
          </w:tcPr>
          <w:p w14:paraId="2DFEA855" w14:textId="0AC1CA2F" w:rsidR="00522D07" w:rsidRPr="008C761D" w:rsidRDefault="002E7714" w:rsidP="00BD26BA">
            <w:pPr>
              <w:numPr>
                <w:ilvl w:val="0"/>
                <w:numId w:val="57"/>
              </w:numPr>
              <w:spacing w:line="240" w:lineRule="auto"/>
              <w:ind w:left="183" w:hanging="155"/>
              <w:jc w:val="both"/>
              <w:rPr>
                <w:rFonts w:eastAsia="Times New Roman" w:cs="Calibri"/>
                <w:color w:val="202124"/>
                <w:sz w:val="20"/>
                <w:szCs w:val="20"/>
                <w:lang w:val="en-US"/>
              </w:rPr>
            </w:pPr>
            <w:r w:rsidRPr="008C761D">
              <w:rPr>
                <w:rFonts w:eastAsia="Times New Roman" w:cs="Calibri"/>
                <w:color w:val="202124"/>
                <w:sz w:val="20"/>
                <w:szCs w:val="20"/>
                <w:lang w:val="en-US" w:eastAsia="x-none"/>
              </w:rPr>
              <w:t>Inability to provide financial and technical assistance, breach of deadlines for implementation.</w:t>
            </w:r>
          </w:p>
        </w:tc>
      </w:tr>
    </w:tbl>
    <w:p w14:paraId="35029DEA" w14:textId="77777777" w:rsidR="00522D07" w:rsidRPr="008C761D" w:rsidRDefault="00522D07" w:rsidP="00E84CD0">
      <w:pPr>
        <w:spacing w:line="240" w:lineRule="auto"/>
        <w:jc w:val="both"/>
        <w:rPr>
          <w:rFonts w:cs="Calibri"/>
          <w:lang w:val="en-US"/>
        </w:rPr>
      </w:pPr>
    </w:p>
    <w:p w14:paraId="4070F7BE" w14:textId="62F0F6FB" w:rsidR="00522D07" w:rsidRPr="00BD26BA" w:rsidRDefault="00522D07" w:rsidP="00E84CD0">
      <w:pPr>
        <w:spacing w:line="240" w:lineRule="auto"/>
        <w:jc w:val="both"/>
        <w:rPr>
          <w:rFonts w:cs="Calibri"/>
          <w:b/>
          <w:color w:val="0070C0"/>
          <w:sz w:val="24"/>
          <w:szCs w:val="24"/>
          <w:lang w:val="en-US"/>
        </w:rPr>
      </w:pPr>
      <w:r w:rsidRPr="00BD26BA">
        <w:rPr>
          <w:rFonts w:cs="Calibri"/>
          <w:b/>
          <w:color w:val="0070C0"/>
          <w:sz w:val="24"/>
          <w:szCs w:val="24"/>
          <w:lang w:val="en-US"/>
        </w:rPr>
        <w:t>Measure 2:</w:t>
      </w:r>
      <w:r w:rsidR="00356610" w:rsidRPr="00BD26BA">
        <w:rPr>
          <w:rFonts w:cs="Calibri"/>
          <w:b/>
          <w:color w:val="0070C0"/>
          <w:sz w:val="24"/>
          <w:szCs w:val="24"/>
          <w:lang w:val="en-US"/>
        </w:rPr>
        <w:t xml:space="preserve"> </w:t>
      </w:r>
      <w:r w:rsidRPr="00BD26BA">
        <w:rPr>
          <w:rFonts w:cs="Calibri"/>
          <w:b/>
          <w:color w:val="0070C0"/>
          <w:sz w:val="24"/>
          <w:szCs w:val="24"/>
          <w:lang w:val="en-US"/>
        </w:rPr>
        <w:t xml:space="preserve">Completing the legal and regulatory framework in the field of public-private </w:t>
      </w:r>
      <w:r w:rsidR="00514D12" w:rsidRPr="00BD26BA">
        <w:rPr>
          <w:rFonts w:cs="Calibri"/>
          <w:b/>
          <w:color w:val="0070C0"/>
          <w:sz w:val="24"/>
          <w:szCs w:val="24"/>
          <w:lang w:val="en-US"/>
        </w:rPr>
        <w:t>partnership and</w:t>
      </w:r>
      <w:r w:rsidR="00893CDE" w:rsidRPr="00BD26BA">
        <w:rPr>
          <w:rFonts w:cs="Calibri"/>
          <w:b/>
          <w:color w:val="0070C0"/>
          <w:sz w:val="24"/>
          <w:szCs w:val="24"/>
          <w:lang w:val="en-US"/>
        </w:rPr>
        <w:t xml:space="preserve"> the legal and regulatory framework in the field of concession on goods of general interest</w:t>
      </w:r>
    </w:p>
    <w:p w14:paraId="48DD16C7" w14:textId="77777777" w:rsidR="00522D07" w:rsidRPr="008C761D" w:rsidRDefault="00522D07" w:rsidP="00E84CD0">
      <w:pPr>
        <w:spacing w:line="240" w:lineRule="auto"/>
        <w:jc w:val="both"/>
        <w:rPr>
          <w:rFonts w:cs="Calibri"/>
          <w:lang w:val="en-US"/>
        </w:rPr>
      </w:pPr>
      <w:r w:rsidRPr="008C761D">
        <w:rPr>
          <w:rFonts w:cs="Calibri"/>
          <w:lang w:val="en-US"/>
        </w:rPr>
        <w:t>The purpose of the measure is to adopt the bylaws that will arise from the Law on Public Private Partnership in order to complete the process of normative regulation in the field of public private partnership.</w:t>
      </w:r>
    </w:p>
    <w:p w14:paraId="64BFB991" w14:textId="77777777" w:rsidR="00522D07" w:rsidRPr="008C761D" w:rsidRDefault="00522D07" w:rsidP="00E84CD0">
      <w:pPr>
        <w:keepNext/>
        <w:keepLines/>
        <w:spacing w:before="160" w:after="60" w:line="240" w:lineRule="auto"/>
        <w:jc w:val="both"/>
        <w:outlineLvl w:val="3"/>
        <w:rPr>
          <w:rFonts w:cs="Calibri"/>
          <w:i/>
          <w:color w:val="2E74B5"/>
          <w:lang w:val="en-US"/>
        </w:rPr>
      </w:pPr>
      <w:r w:rsidRPr="008C761D">
        <w:rPr>
          <w:rFonts w:cs="Calibri"/>
          <w:i/>
          <w:color w:val="2E74B5"/>
          <w:lang w:val="en-US"/>
        </w:rPr>
        <w:lastRenderedPageBreak/>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4"/>
        <w:gridCol w:w="7086"/>
      </w:tblGrid>
      <w:tr w:rsidR="00522D07" w:rsidRPr="008C761D" w14:paraId="0444A80A" w14:textId="77777777" w:rsidTr="00356610">
        <w:tc>
          <w:tcPr>
            <w:tcW w:w="1494" w:type="dxa"/>
            <w:shd w:val="clear" w:color="auto" w:fill="DDDDDD"/>
          </w:tcPr>
          <w:p w14:paraId="2A3ED162"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WB:</w:t>
            </w:r>
          </w:p>
        </w:tc>
        <w:tc>
          <w:tcPr>
            <w:tcW w:w="7086" w:type="dxa"/>
            <w:shd w:val="clear" w:color="auto" w:fill="DDDDDD"/>
          </w:tcPr>
          <w:p w14:paraId="46F3710C" w14:textId="77777777" w:rsidR="00522D07" w:rsidRPr="008C761D" w:rsidRDefault="00522D07" w:rsidP="00E84CD0">
            <w:pPr>
              <w:spacing w:line="240" w:lineRule="auto"/>
              <w:jc w:val="both"/>
              <w:rPr>
                <w:rFonts w:cs="Calibri"/>
                <w:sz w:val="20"/>
                <w:szCs w:val="20"/>
                <w:lang w:val="en-US"/>
              </w:rPr>
            </w:pPr>
            <w:r w:rsidRPr="008C761D">
              <w:rPr>
                <w:rFonts w:cs="Calibri"/>
                <w:sz w:val="20"/>
                <w:szCs w:val="20"/>
                <w:lang w:val="en-US"/>
              </w:rPr>
              <w:t>Strengthening the regulatory framework and policies for public-private partnership.</w:t>
            </w:r>
          </w:p>
        </w:tc>
      </w:tr>
      <w:tr w:rsidR="00522D07" w:rsidRPr="008C761D" w14:paraId="4322E562" w14:textId="77777777" w:rsidTr="00356610">
        <w:tc>
          <w:tcPr>
            <w:tcW w:w="1494" w:type="dxa"/>
            <w:shd w:val="clear" w:color="auto" w:fill="DDDDDD"/>
          </w:tcPr>
          <w:p w14:paraId="58EF3078"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ЕU:</w:t>
            </w:r>
          </w:p>
        </w:tc>
        <w:tc>
          <w:tcPr>
            <w:tcW w:w="7086" w:type="dxa"/>
            <w:shd w:val="clear" w:color="auto" w:fill="DDDDDD"/>
          </w:tcPr>
          <w:p w14:paraId="6B234535" w14:textId="77777777" w:rsidR="00522D07" w:rsidRPr="008C761D" w:rsidRDefault="00522D07" w:rsidP="00E84CD0">
            <w:pPr>
              <w:spacing w:after="0" w:line="240" w:lineRule="auto"/>
              <w:jc w:val="both"/>
              <w:rPr>
                <w:rFonts w:cs="Calibri"/>
                <w:sz w:val="20"/>
                <w:szCs w:val="20"/>
                <w:lang w:val="en-US"/>
              </w:rPr>
            </w:pPr>
            <w:r w:rsidRPr="008C761D">
              <w:rPr>
                <w:rFonts w:cs="Calibri"/>
                <w:sz w:val="20"/>
                <w:szCs w:val="20"/>
                <w:lang w:val="en-US"/>
              </w:rPr>
              <w:t>To ensure full compliance with EU legislation in the field of public-private partnerships and concessions.</w:t>
            </w:r>
            <w:r w:rsidR="00893CDE" w:rsidRPr="008C761D">
              <w:rPr>
                <w:sz w:val="20"/>
                <w:szCs w:val="20"/>
                <w:lang w:val="en-US"/>
              </w:rPr>
              <w:t xml:space="preserve"> A</w:t>
            </w:r>
            <w:r w:rsidR="00893CDE" w:rsidRPr="008C761D">
              <w:rPr>
                <w:rFonts w:cs="Calibri"/>
                <w:sz w:val="20"/>
                <w:szCs w:val="20"/>
                <w:lang w:val="en-US"/>
              </w:rPr>
              <w:t>doption of the public-private partnership law and the law on concessions, to further align the legal framework in these areas with the EU acquis;</w:t>
            </w:r>
          </w:p>
        </w:tc>
      </w:tr>
    </w:tbl>
    <w:p w14:paraId="01CF6532" w14:textId="77777777" w:rsidR="009F4DFA" w:rsidRDefault="009F4DFA" w:rsidP="00E84CD0">
      <w:pPr>
        <w:spacing w:line="240" w:lineRule="auto"/>
        <w:jc w:val="both"/>
        <w:rPr>
          <w:rFonts w:cs="Calibri"/>
          <w:b/>
          <w:i/>
          <w:color w:val="2E74B5"/>
          <w:lang w:val="en-US"/>
        </w:rPr>
      </w:pPr>
    </w:p>
    <w:p w14:paraId="60B73E07" w14:textId="54D81CA2" w:rsidR="00522D07" w:rsidRPr="008C761D" w:rsidRDefault="00522D07" w:rsidP="00E84CD0">
      <w:pPr>
        <w:spacing w:line="240" w:lineRule="auto"/>
        <w:jc w:val="both"/>
        <w:rPr>
          <w:rFonts w:cs="Calibri"/>
          <w:b/>
          <w:i/>
          <w:color w:val="2E74B5"/>
          <w:lang w:val="en-US"/>
        </w:rPr>
      </w:pPr>
      <w:r w:rsidRPr="008C761D">
        <w:rPr>
          <w:rFonts w:cs="Calibri"/>
          <w:b/>
          <w:i/>
          <w:color w:val="2E74B5"/>
          <w:lang w:val="en-US"/>
        </w:rPr>
        <w:t>Context / Background</w:t>
      </w:r>
    </w:p>
    <w:p w14:paraId="70D38B1A" w14:textId="64C94CD6" w:rsidR="00522D07" w:rsidRPr="008C761D" w:rsidRDefault="00522D07" w:rsidP="00E84CD0">
      <w:pPr>
        <w:spacing w:line="240" w:lineRule="auto"/>
        <w:jc w:val="both"/>
        <w:rPr>
          <w:rFonts w:cs="Calibri"/>
          <w:lang w:val="en-US"/>
        </w:rPr>
      </w:pPr>
      <w:r w:rsidRPr="008C761D">
        <w:rPr>
          <w:rFonts w:cs="Calibri"/>
          <w:lang w:val="en-US"/>
        </w:rPr>
        <w:t xml:space="preserve">The </w:t>
      </w:r>
      <w:r w:rsidR="00514D12" w:rsidRPr="008C761D">
        <w:rPr>
          <w:rFonts w:cs="Calibri"/>
          <w:lang w:val="en-US"/>
        </w:rPr>
        <w:t>transposing</w:t>
      </w:r>
      <w:r w:rsidRPr="008C761D">
        <w:rPr>
          <w:rFonts w:cs="Calibri"/>
          <w:lang w:val="en-US"/>
        </w:rPr>
        <w:t xml:space="preserve"> of the Directive 2014/23 / EU on the award of concessions and full implementation of the Law on Public Private Partnership will be achieved through the adoption of bylaws that will prescribe in more detail certain provisions of it. After the adoption of the Draft Law</w:t>
      </w:r>
      <w:r w:rsidR="00514D12">
        <w:rPr>
          <w:rFonts w:cs="Calibri"/>
          <w:lang w:val="en-US"/>
        </w:rPr>
        <w:t xml:space="preserve"> on Public Private </w:t>
      </w:r>
      <w:proofErr w:type="gramStart"/>
      <w:r w:rsidR="00514D12">
        <w:rPr>
          <w:rFonts w:cs="Calibri"/>
          <w:lang w:val="en-US"/>
        </w:rPr>
        <w:t>Partnership,</w:t>
      </w:r>
      <w:r w:rsidR="003174D5" w:rsidRPr="008C761D">
        <w:rPr>
          <w:rFonts w:cs="Calibri"/>
          <w:lang w:val="en-US"/>
        </w:rPr>
        <w:t>,</w:t>
      </w:r>
      <w:proofErr w:type="gramEnd"/>
      <w:r w:rsidR="003174D5" w:rsidRPr="008C761D">
        <w:rPr>
          <w:rFonts w:cs="Calibri"/>
          <w:lang w:val="en-US"/>
        </w:rPr>
        <w:t xml:space="preserve"> which is in the phase of sending the requests for opinion from the relevan institutions </w:t>
      </w:r>
      <w:r w:rsidRPr="008C761D">
        <w:rPr>
          <w:rFonts w:cs="Calibri"/>
          <w:lang w:val="en-US"/>
        </w:rPr>
        <w:t xml:space="preserve">before its submission to the government procedure, </w:t>
      </w:r>
      <w:r w:rsidR="003174D5" w:rsidRPr="008C761D">
        <w:rPr>
          <w:rFonts w:cs="Calibri"/>
          <w:lang w:val="en-US"/>
        </w:rPr>
        <w:t xml:space="preserve">after which will </w:t>
      </w:r>
      <w:r w:rsidR="00514D12" w:rsidRPr="008C761D">
        <w:rPr>
          <w:rFonts w:cs="Calibri"/>
          <w:lang w:val="en-US"/>
        </w:rPr>
        <w:t>follow preparation</w:t>
      </w:r>
      <w:r w:rsidRPr="008C761D">
        <w:rPr>
          <w:rFonts w:cs="Calibri"/>
          <w:lang w:val="en-US"/>
        </w:rPr>
        <w:t xml:space="preserve"> and adoption of bylaws arising from it, a complete normative regulation of the area of ​​public private partnership will be performed.</w:t>
      </w:r>
    </w:p>
    <w:p w14:paraId="18FBC38D" w14:textId="4EDC4AFC" w:rsidR="00F2397B" w:rsidRPr="00BD26BA" w:rsidRDefault="00514D12" w:rsidP="00F2397B">
      <w:pPr>
        <w:spacing w:line="240" w:lineRule="auto"/>
        <w:jc w:val="both"/>
        <w:rPr>
          <w:rFonts w:cs="Calibri"/>
          <w:b/>
          <w:color w:val="0070C0"/>
          <w:lang w:val="en-US"/>
        </w:rPr>
      </w:pPr>
      <w:r w:rsidRPr="00BD26BA">
        <w:rPr>
          <w:rFonts w:cs="Calibri"/>
          <w:b/>
          <w:color w:val="0070C0"/>
          <w:lang w:val="en-US"/>
        </w:rPr>
        <w:t xml:space="preserve">Activity 1: Preparation </w:t>
      </w:r>
      <w:r w:rsidR="00F2397B" w:rsidRPr="00BD26BA">
        <w:rPr>
          <w:rFonts w:cs="Calibri"/>
          <w:b/>
          <w:color w:val="0070C0"/>
          <w:lang w:val="en-US"/>
        </w:rPr>
        <w:t xml:space="preserve">and adoption of 13 bylaws that will arise from the Law on Public Private Partnership and preparation of the </w:t>
      </w:r>
      <w:r w:rsidRPr="00BD26BA">
        <w:rPr>
          <w:rFonts w:cs="Calibri"/>
          <w:b/>
          <w:color w:val="0070C0"/>
          <w:lang w:val="en-US"/>
        </w:rPr>
        <w:t>Guideline</w:t>
      </w:r>
      <w:r w:rsidR="00F2397B" w:rsidRPr="00BD26BA">
        <w:rPr>
          <w:rFonts w:cs="Calibri"/>
          <w:b/>
          <w:color w:val="0070C0"/>
          <w:lang w:val="en-US"/>
        </w:rPr>
        <w:t xml:space="preserve"> with </w:t>
      </w:r>
      <w:r w:rsidRPr="00BD26BA">
        <w:rPr>
          <w:rFonts w:cs="Calibri"/>
          <w:b/>
          <w:color w:val="0070C0"/>
          <w:lang w:val="en-US"/>
        </w:rPr>
        <w:t>examples</w:t>
      </w:r>
      <w:r w:rsidR="00F2397B" w:rsidRPr="00BD26BA">
        <w:rPr>
          <w:rFonts w:cs="Calibri"/>
          <w:b/>
          <w:color w:val="0070C0"/>
          <w:lang w:val="en-US"/>
        </w:rPr>
        <w:t xml:space="preserve"> of PPP </w:t>
      </w:r>
      <w:r w:rsidRPr="00BD26BA">
        <w:rPr>
          <w:rFonts w:cs="Calibri"/>
          <w:b/>
          <w:color w:val="0070C0"/>
          <w:lang w:val="en-US"/>
        </w:rPr>
        <w:t>projects</w:t>
      </w:r>
    </w:p>
    <w:p w14:paraId="66BC96FD" w14:textId="7510FD26" w:rsidR="00522D07" w:rsidRPr="008C761D" w:rsidRDefault="00522D07" w:rsidP="00E84CD0">
      <w:pPr>
        <w:spacing w:line="240" w:lineRule="auto"/>
        <w:jc w:val="both"/>
        <w:rPr>
          <w:rFonts w:cs="Calibri"/>
          <w:lang w:val="en-US"/>
        </w:rPr>
      </w:pPr>
      <w:r w:rsidRPr="008C761D">
        <w:rPr>
          <w:rFonts w:cs="Calibri"/>
          <w:lang w:val="en-US"/>
        </w:rPr>
        <w:t xml:space="preserve">The activity means preparation </w:t>
      </w:r>
      <w:r w:rsidR="00581F48" w:rsidRPr="008C761D">
        <w:rPr>
          <w:rFonts w:cs="Calibri"/>
          <w:lang w:val="en-US"/>
        </w:rPr>
        <w:t xml:space="preserve">and </w:t>
      </w:r>
      <w:r w:rsidR="00514D12" w:rsidRPr="008C761D">
        <w:rPr>
          <w:rFonts w:cs="Calibri"/>
          <w:lang w:val="en-US"/>
        </w:rPr>
        <w:t>adoption</w:t>
      </w:r>
      <w:r w:rsidR="00514D12">
        <w:rPr>
          <w:rFonts w:cs="Calibri"/>
          <w:lang w:val="en-US"/>
        </w:rPr>
        <w:t xml:space="preserve"> </w:t>
      </w:r>
      <w:r w:rsidRPr="008C761D">
        <w:rPr>
          <w:rFonts w:cs="Calibri"/>
          <w:lang w:val="en-US"/>
        </w:rPr>
        <w:t>of the bylaws that will arise from the Law on Public Private Partnership which will regulate in more detail certain issues in the law.</w:t>
      </w:r>
    </w:p>
    <w:p w14:paraId="0358D56B" w14:textId="4D9BC6E5" w:rsidR="003174D5" w:rsidRPr="00BD26BA" w:rsidRDefault="00F2397B" w:rsidP="003174D5">
      <w:pPr>
        <w:spacing w:line="240" w:lineRule="auto"/>
        <w:jc w:val="both"/>
        <w:rPr>
          <w:rFonts w:cs="Calibri"/>
          <w:b/>
          <w:color w:val="0070C0"/>
          <w:lang w:val="en-US"/>
        </w:rPr>
      </w:pPr>
      <w:r w:rsidRPr="00BD26BA">
        <w:rPr>
          <w:rFonts w:cs="Calibri"/>
          <w:b/>
          <w:color w:val="0070C0"/>
          <w:lang w:val="en-US"/>
        </w:rPr>
        <w:t>Activi</w:t>
      </w:r>
      <w:r w:rsidR="00514D12" w:rsidRPr="00BD26BA">
        <w:rPr>
          <w:rFonts w:cs="Calibri"/>
          <w:b/>
          <w:color w:val="0070C0"/>
          <w:lang w:val="en-US"/>
        </w:rPr>
        <w:t>ty 2: Preparation</w:t>
      </w:r>
      <w:r w:rsidRPr="00BD26BA">
        <w:rPr>
          <w:rFonts w:cs="Calibri"/>
          <w:b/>
          <w:color w:val="0070C0"/>
          <w:lang w:val="en-US"/>
        </w:rPr>
        <w:t xml:space="preserve"> and adoption of the bylaws that will arise from the f the Law on Concession on goods of general interest </w:t>
      </w:r>
    </w:p>
    <w:p w14:paraId="02000D17" w14:textId="4C62A465" w:rsidR="003174D5" w:rsidRPr="008C761D" w:rsidRDefault="003174D5" w:rsidP="00E84CD0">
      <w:pPr>
        <w:spacing w:line="240" w:lineRule="auto"/>
        <w:jc w:val="both"/>
        <w:rPr>
          <w:rFonts w:cs="Calibri"/>
          <w:lang w:val="en-US"/>
        </w:rPr>
      </w:pPr>
      <w:r w:rsidRPr="008C761D">
        <w:rPr>
          <w:rFonts w:cs="Calibri"/>
          <w:lang w:val="en-US"/>
        </w:rPr>
        <w:t xml:space="preserve">The activity implies implementation of a procedure for </w:t>
      </w:r>
      <w:r w:rsidR="00581F48" w:rsidRPr="008C761D">
        <w:rPr>
          <w:rFonts w:cs="Calibri"/>
          <w:lang w:val="en-US"/>
        </w:rPr>
        <w:t xml:space="preserve">preparation and </w:t>
      </w:r>
      <w:r w:rsidR="00514D12">
        <w:rPr>
          <w:rFonts w:cs="Calibri"/>
          <w:lang w:val="en-US"/>
        </w:rPr>
        <w:t xml:space="preserve">adoption of </w:t>
      </w:r>
      <w:r w:rsidRPr="008C761D">
        <w:rPr>
          <w:rFonts w:cs="Calibri"/>
          <w:lang w:val="en-US"/>
        </w:rPr>
        <w:t>bylaw</w:t>
      </w:r>
      <w:r w:rsidR="00581F48" w:rsidRPr="008C761D">
        <w:rPr>
          <w:rFonts w:cs="Calibri"/>
          <w:lang w:val="en-US"/>
        </w:rPr>
        <w:t>s</w:t>
      </w:r>
      <w:r w:rsidRPr="008C761D">
        <w:rPr>
          <w:rFonts w:cs="Calibri"/>
          <w:lang w:val="en-US"/>
        </w:rPr>
        <w:t xml:space="preserve"> that will arise from the Law on the concession on goods of general interest</w:t>
      </w:r>
      <w:r w:rsidR="00581F48" w:rsidRPr="008C761D">
        <w:rPr>
          <w:rFonts w:cs="Calibri"/>
          <w:lang w:val="en-US"/>
        </w:rPr>
        <w:t>.</w:t>
      </w:r>
    </w:p>
    <w:p w14:paraId="5702ED11" w14:textId="77777777" w:rsidR="00522D07" w:rsidRPr="008C761D" w:rsidRDefault="00522D07" w:rsidP="00E84CD0">
      <w:pPr>
        <w:spacing w:line="240" w:lineRule="auto"/>
        <w:jc w:val="both"/>
        <w:rPr>
          <w:rFonts w:cs="Calibri"/>
          <w:b/>
          <w:i/>
          <w:color w:val="2E74B5"/>
          <w:lang w:val="en-US"/>
        </w:rPr>
      </w:pPr>
      <w:r w:rsidRPr="008C761D">
        <w:rPr>
          <w:rFonts w:cs="Calibri"/>
          <w:b/>
          <w:i/>
          <w:color w:val="2E74B5"/>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22D07" w:rsidRPr="008C761D" w14:paraId="62F6FC95" w14:textId="77777777" w:rsidTr="00BA5E44">
        <w:tc>
          <w:tcPr>
            <w:tcW w:w="2518" w:type="dxa"/>
            <w:tcBorders>
              <w:top w:val="nil"/>
              <w:bottom w:val="single" w:sz="4" w:space="0" w:color="FFFFFF"/>
            </w:tcBorders>
            <w:shd w:val="clear" w:color="auto" w:fill="1F3864"/>
          </w:tcPr>
          <w:p w14:paraId="264D8A7C"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Completed in year:</w:t>
            </w:r>
          </w:p>
        </w:tc>
        <w:tc>
          <w:tcPr>
            <w:tcW w:w="6246" w:type="dxa"/>
            <w:tcBorders>
              <w:top w:val="nil"/>
              <w:bottom w:val="single" w:sz="4" w:space="0" w:color="FFFFFF"/>
            </w:tcBorders>
            <w:shd w:val="clear" w:color="auto" w:fill="D9E2F3"/>
          </w:tcPr>
          <w:p w14:paraId="07C67158" w14:textId="4161B6AB" w:rsidR="00522D07" w:rsidRPr="008C761D" w:rsidRDefault="0082572C" w:rsidP="00E84CD0">
            <w:pPr>
              <w:spacing w:line="240" w:lineRule="auto"/>
              <w:jc w:val="both"/>
              <w:rPr>
                <w:rFonts w:cs="Calibri"/>
                <w:color w:val="202124"/>
                <w:sz w:val="20"/>
                <w:szCs w:val="20"/>
                <w:lang w:val="en-US"/>
              </w:rPr>
            </w:pPr>
            <w:r w:rsidRPr="008C761D">
              <w:rPr>
                <w:rFonts w:cs="Calibri"/>
                <w:color w:val="202124"/>
                <w:sz w:val="20"/>
                <w:szCs w:val="20"/>
                <w:lang w:val="en-US"/>
              </w:rPr>
              <w:t>202</w:t>
            </w:r>
            <w:r w:rsidR="00581F48" w:rsidRPr="008C761D">
              <w:rPr>
                <w:rFonts w:cs="Calibri"/>
                <w:color w:val="202124"/>
                <w:sz w:val="20"/>
                <w:szCs w:val="20"/>
                <w:lang w:val="en-US"/>
              </w:rPr>
              <w:t>5</w:t>
            </w:r>
          </w:p>
        </w:tc>
      </w:tr>
      <w:tr w:rsidR="00522D07" w:rsidRPr="008C761D" w14:paraId="04BE9D64" w14:textId="77777777" w:rsidTr="00BA5E44">
        <w:tc>
          <w:tcPr>
            <w:tcW w:w="2518" w:type="dxa"/>
            <w:tcBorders>
              <w:top w:val="single" w:sz="4" w:space="0" w:color="FFFFFF"/>
              <w:bottom w:val="single" w:sz="4" w:space="0" w:color="FFFFFF"/>
            </w:tcBorders>
            <w:shd w:val="clear" w:color="auto" w:fill="1F3864"/>
          </w:tcPr>
          <w:p w14:paraId="3844C223"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Deliverables:</w:t>
            </w:r>
          </w:p>
        </w:tc>
        <w:tc>
          <w:tcPr>
            <w:tcW w:w="6246" w:type="dxa"/>
            <w:tcBorders>
              <w:top w:val="single" w:sz="4" w:space="0" w:color="FFFFFF"/>
              <w:bottom w:val="single" w:sz="4" w:space="0" w:color="FFFFFF"/>
            </w:tcBorders>
            <w:shd w:val="clear" w:color="auto" w:fill="D9E2F3"/>
          </w:tcPr>
          <w:p w14:paraId="40D882AB" w14:textId="77777777" w:rsidR="003174D5" w:rsidRPr="008C761D" w:rsidRDefault="003174D5" w:rsidP="00BD26BA">
            <w:pPr>
              <w:numPr>
                <w:ilvl w:val="0"/>
                <w:numId w:val="61"/>
              </w:numPr>
              <w:spacing w:line="240" w:lineRule="auto"/>
              <w:ind w:left="183" w:hanging="183"/>
              <w:jc w:val="both"/>
              <w:rPr>
                <w:rFonts w:cs="Calibri"/>
                <w:sz w:val="20"/>
                <w:szCs w:val="20"/>
                <w:lang w:val="en-US"/>
              </w:rPr>
            </w:pPr>
            <w:r w:rsidRPr="008C761D">
              <w:rPr>
                <w:rFonts w:cs="Calibri"/>
                <w:sz w:val="20"/>
                <w:szCs w:val="20"/>
                <w:lang w:val="en-US"/>
              </w:rPr>
              <w:t>By-laws will be prepared and adopted within six months after the adoption of the Law on Public Private Partnership.</w:t>
            </w:r>
          </w:p>
          <w:p w14:paraId="6FB4C38B" w14:textId="02145BD1" w:rsidR="00522D07" w:rsidRPr="008C761D" w:rsidRDefault="003174D5" w:rsidP="00BD26BA">
            <w:pPr>
              <w:numPr>
                <w:ilvl w:val="0"/>
                <w:numId w:val="61"/>
              </w:numPr>
              <w:spacing w:line="240" w:lineRule="auto"/>
              <w:ind w:left="183" w:hanging="183"/>
              <w:jc w:val="both"/>
              <w:rPr>
                <w:rFonts w:cs="Calibri"/>
                <w:sz w:val="20"/>
                <w:szCs w:val="20"/>
                <w:lang w:val="en-US"/>
              </w:rPr>
            </w:pPr>
            <w:r w:rsidRPr="008C761D">
              <w:rPr>
                <w:rFonts w:cs="Calibri"/>
                <w:sz w:val="20"/>
                <w:szCs w:val="20"/>
                <w:lang w:val="en-US"/>
              </w:rPr>
              <w:t xml:space="preserve">By-laws will be prepared and adopted within three months after the adoption of the Law on </w:t>
            </w:r>
            <w:r w:rsidR="001C748D" w:rsidRPr="008C761D">
              <w:rPr>
                <w:rFonts w:cs="Calibri"/>
                <w:sz w:val="20"/>
                <w:szCs w:val="20"/>
                <w:lang w:val="en-US"/>
              </w:rPr>
              <w:t xml:space="preserve">Concession on </w:t>
            </w:r>
            <w:r w:rsidRPr="008C761D">
              <w:rPr>
                <w:rFonts w:cs="Calibri"/>
                <w:sz w:val="20"/>
                <w:szCs w:val="20"/>
                <w:lang w:val="en-US"/>
              </w:rPr>
              <w:t>goods of general interest.</w:t>
            </w:r>
          </w:p>
        </w:tc>
      </w:tr>
      <w:tr w:rsidR="00522D07" w:rsidRPr="008C761D" w14:paraId="56A3975E" w14:textId="77777777" w:rsidTr="00BA5E44">
        <w:tc>
          <w:tcPr>
            <w:tcW w:w="2518" w:type="dxa"/>
            <w:tcBorders>
              <w:top w:val="single" w:sz="4" w:space="0" w:color="FFFFFF"/>
              <w:bottom w:val="single" w:sz="4" w:space="0" w:color="FFFFFF"/>
            </w:tcBorders>
            <w:shd w:val="clear" w:color="auto" w:fill="1F3864"/>
          </w:tcPr>
          <w:p w14:paraId="1FA8BC67"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Costs implications:</w:t>
            </w:r>
          </w:p>
        </w:tc>
        <w:tc>
          <w:tcPr>
            <w:tcW w:w="6246" w:type="dxa"/>
            <w:tcBorders>
              <w:top w:val="single" w:sz="4" w:space="0" w:color="FFFFFF"/>
              <w:bottom w:val="single" w:sz="4" w:space="0" w:color="FFFFFF"/>
            </w:tcBorders>
            <w:shd w:val="clear" w:color="auto" w:fill="D9E2F3"/>
          </w:tcPr>
          <w:p w14:paraId="2750824D" w14:textId="400967A2" w:rsidR="00522D07" w:rsidRPr="008C761D" w:rsidRDefault="00E91F45" w:rsidP="00E84CD0">
            <w:pPr>
              <w:spacing w:line="240" w:lineRule="auto"/>
              <w:jc w:val="both"/>
              <w:rPr>
                <w:rFonts w:cs="Calibri"/>
                <w:color w:val="202124"/>
                <w:sz w:val="20"/>
                <w:szCs w:val="20"/>
                <w:lang w:val="en-US"/>
              </w:rPr>
            </w:pPr>
            <w:r w:rsidRPr="008C761D">
              <w:rPr>
                <w:rFonts w:cs="Calibri"/>
                <w:color w:val="202124"/>
                <w:sz w:val="20"/>
                <w:szCs w:val="20"/>
                <w:lang w:val="en-US"/>
              </w:rPr>
              <w:t>EUR 22,000</w:t>
            </w:r>
          </w:p>
        </w:tc>
      </w:tr>
      <w:tr w:rsidR="00522D07" w:rsidRPr="008C761D" w14:paraId="1176DF3A" w14:textId="77777777" w:rsidTr="00BA5E44">
        <w:tc>
          <w:tcPr>
            <w:tcW w:w="2518" w:type="dxa"/>
            <w:tcBorders>
              <w:top w:val="single" w:sz="4" w:space="0" w:color="FFFFFF"/>
              <w:bottom w:val="single" w:sz="4" w:space="0" w:color="FFFFFF"/>
            </w:tcBorders>
            <w:shd w:val="clear" w:color="auto" w:fill="1F3864"/>
          </w:tcPr>
          <w:p w14:paraId="5CF2D15B"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 xml:space="preserve">Responsible entity: </w:t>
            </w:r>
          </w:p>
        </w:tc>
        <w:tc>
          <w:tcPr>
            <w:tcW w:w="6246" w:type="dxa"/>
            <w:tcBorders>
              <w:top w:val="single" w:sz="4" w:space="0" w:color="FFFFFF"/>
              <w:bottom w:val="single" w:sz="4" w:space="0" w:color="FFFFFF"/>
            </w:tcBorders>
            <w:shd w:val="clear" w:color="auto" w:fill="D9E2F3"/>
          </w:tcPr>
          <w:p w14:paraId="6A567296" w14:textId="77777777" w:rsidR="00522D07" w:rsidRPr="008C761D" w:rsidRDefault="00522D07" w:rsidP="00E84CD0">
            <w:pPr>
              <w:spacing w:line="240" w:lineRule="auto"/>
              <w:jc w:val="both"/>
              <w:rPr>
                <w:rFonts w:cs="Calibri"/>
                <w:color w:val="202124"/>
                <w:sz w:val="20"/>
                <w:szCs w:val="20"/>
                <w:lang w:val="en-US"/>
              </w:rPr>
            </w:pPr>
            <w:r w:rsidRPr="008C761D">
              <w:rPr>
                <w:rFonts w:cs="Calibri"/>
                <w:color w:val="202124"/>
                <w:sz w:val="20"/>
                <w:szCs w:val="20"/>
                <w:lang w:val="en-US"/>
              </w:rPr>
              <w:t>Ministry of Economy</w:t>
            </w:r>
            <w:r w:rsidR="001C748D" w:rsidRPr="008C761D">
              <w:rPr>
                <w:rFonts w:cs="Calibri"/>
                <w:color w:val="202124"/>
                <w:sz w:val="20"/>
                <w:szCs w:val="20"/>
                <w:lang w:val="en-US"/>
              </w:rPr>
              <w:t>/Ministry of finance</w:t>
            </w:r>
            <w:r w:rsidRPr="008C761D">
              <w:rPr>
                <w:rFonts w:cs="Calibri"/>
                <w:color w:val="202124"/>
                <w:sz w:val="20"/>
                <w:szCs w:val="20"/>
                <w:lang w:val="en-US"/>
              </w:rPr>
              <w:t>.</w:t>
            </w:r>
          </w:p>
        </w:tc>
      </w:tr>
      <w:tr w:rsidR="00522D07" w:rsidRPr="008C761D" w14:paraId="761DE446" w14:textId="77777777" w:rsidTr="00BA5E44">
        <w:tc>
          <w:tcPr>
            <w:tcW w:w="2518" w:type="dxa"/>
            <w:tcBorders>
              <w:top w:val="single" w:sz="4" w:space="0" w:color="FFFFFF"/>
              <w:bottom w:val="nil"/>
            </w:tcBorders>
            <w:shd w:val="clear" w:color="auto" w:fill="1F3864"/>
          </w:tcPr>
          <w:p w14:paraId="185E7BC8"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Risk:</w:t>
            </w:r>
          </w:p>
        </w:tc>
        <w:tc>
          <w:tcPr>
            <w:tcW w:w="6246" w:type="dxa"/>
            <w:tcBorders>
              <w:top w:val="single" w:sz="4" w:space="0" w:color="FFFFFF"/>
              <w:bottom w:val="nil"/>
            </w:tcBorders>
            <w:shd w:val="clear" w:color="auto" w:fill="D9E2F3"/>
          </w:tcPr>
          <w:p w14:paraId="7BBF549C" w14:textId="77777777" w:rsidR="00522D07" w:rsidRPr="008C761D" w:rsidRDefault="00522D07" w:rsidP="00BD26BA">
            <w:pPr>
              <w:numPr>
                <w:ilvl w:val="0"/>
                <w:numId w:val="61"/>
              </w:numPr>
              <w:spacing w:line="240" w:lineRule="auto"/>
              <w:ind w:left="183" w:hanging="183"/>
              <w:jc w:val="both"/>
              <w:rPr>
                <w:rFonts w:cs="Calibri"/>
                <w:color w:val="202124"/>
                <w:sz w:val="20"/>
                <w:szCs w:val="20"/>
                <w:lang w:val="en-US"/>
              </w:rPr>
            </w:pPr>
            <w:r w:rsidRPr="008C761D">
              <w:rPr>
                <w:rFonts w:cs="Calibri"/>
                <w:sz w:val="20"/>
                <w:szCs w:val="20"/>
                <w:lang w:val="en-US"/>
              </w:rPr>
              <w:t>Extension of deadlines for adoption of bylaws.</w:t>
            </w:r>
          </w:p>
        </w:tc>
      </w:tr>
    </w:tbl>
    <w:p w14:paraId="73CB3827" w14:textId="77777777" w:rsidR="00522D07" w:rsidRPr="008C761D" w:rsidRDefault="00522D07" w:rsidP="00E84CD0">
      <w:pPr>
        <w:spacing w:line="240" w:lineRule="auto"/>
        <w:jc w:val="both"/>
        <w:rPr>
          <w:rFonts w:eastAsia="Times New Roman" w:cs="Calibri"/>
          <w:b/>
          <w:color w:val="1F4E79"/>
          <w:lang w:val="en-US"/>
        </w:rPr>
      </w:pPr>
    </w:p>
    <w:p w14:paraId="56363191" w14:textId="77777777" w:rsidR="00522D07" w:rsidRPr="00BD26BA" w:rsidRDefault="00522D07" w:rsidP="00E84CD0">
      <w:pPr>
        <w:spacing w:line="240" w:lineRule="auto"/>
        <w:jc w:val="both"/>
        <w:rPr>
          <w:rFonts w:cs="Calibri"/>
          <w:b/>
          <w:color w:val="0070C0"/>
          <w:sz w:val="24"/>
          <w:szCs w:val="24"/>
          <w:lang w:val="en-US"/>
        </w:rPr>
      </w:pPr>
      <w:r w:rsidRPr="00BD26BA">
        <w:rPr>
          <w:rFonts w:cs="Calibri"/>
          <w:b/>
          <w:color w:val="0070C0"/>
          <w:sz w:val="24"/>
          <w:szCs w:val="24"/>
          <w:lang w:val="en-US"/>
        </w:rPr>
        <w:t>Measure 3: Strengthening and developing the capacities of the Ministry of Economy in the field of public-private partnership</w:t>
      </w:r>
    </w:p>
    <w:p w14:paraId="78187C30" w14:textId="09121FC9" w:rsidR="00522D07" w:rsidRPr="008C761D" w:rsidRDefault="00514D12" w:rsidP="00E84CD0">
      <w:pPr>
        <w:spacing w:before="80" w:after="80" w:line="240" w:lineRule="auto"/>
        <w:jc w:val="both"/>
        <w:rPr>
          <w:rFonts w:cs="Calibri"/>
          <w:b/>
          <w:bCs/>
          <w:i/>
          <w:iCs/>
          <w:color w:val="4F81BD"/>
          <w:lang w:val="en-US"/>
        </w:rPr>
      </w:pPr>
      <w:r w:rsidRPr="008C761D">
        <w:rPr>
          <w:rFonts w:cs="Calibri"/>
          <w:b/>
          <w:bCs/>
          <w:i/>
          <w:iCs/>
          <w:color w:val="4F81BD"/>
          <w:lang w:val="en-US"/>
        </w:rPr>
        <w:t>Objective measure</w:t>
      </w:r>
    </w:p>
    <w:p w14:paraId="5E612895" w14:textId="77777777" w:rsidR="00522D07" w:rsidRPr="008C761D" w:rsidRDefault="00522D07" w:rsidP="00E84CD0">
      <w:pPr>
        <w:spacing w:line="240" w:lineRule="auto"/>
        <w:jc w:val="both"/>
        <w:rPr>
          <w:rFonts w:cs="Calibri"/>
          <w:lang w:val="en-US"/>
        </w:rPr>
      </w:pPr>
      <w:r w:rsidRPr="008C761D">
        <w:rPr>
          <w:rFonts w:cs="Calibri"/>
          <w:lang w:val="en-US"/>
        </w:rPr>
        <w:t>The purpose of the measure is to strengthen the administrative capacity of the Ministry of Economy, ie to increase the number of civil servants who will work on this issue and their training for effective and consistent execution of competencies in accordance with law.</w:t>
      </w:r>
    </w:p>
    <w:p w14:paraId="505ED2BD" w14:textId="77777777" w:rsidR="00522D07" w:rsidRPr="008C761D" w:rsidRDefault="00522D07" w:rsidP="00E84CD0">
      <w:pPr>
        <w:spacing w:before="80" w:after="80" w:line="240" w:lineRule="auto"/>
        <w:jc w:val="both"/>
        <w:rPr>
          <w:rFonts w:eastAsia="Times New Roman" w:cs="Calibri"/>
          <w:color w:val="202124"/>
          <w:lang w:val="en-US"/>
        </w:rPr>
      </w:pPr>
      <w:r w:rsidRPr="008C761D">
        <w:rPr>
          <w:rFonts w:cs="Calibri"/>
          <w:b/>
          <w:i/>
          <w:color w:val="2E74B5"/>
          <w:lang w:val="en-US"/>
        </w:rPr>
        <w:lastRenderedPageBreak/>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4"/>
        <w:gridCol w:w="7086"/>
      </w:tblGrid>
      <w:tr w:rsidR="00522D07" w:rsidRPr="008C761D" w14:paraId="7410D74E" w14:textId="77777777" w:rsidTr="008C761D">
        <w:tc>
          <w:tcPr>
            <w:tcW w:w="1494" w:type="dxa"/>
            <w:shd w:val="clear" w:color="auto" w:fill="DDDDDD"/>
          </w:tcPr>
          <w:p w14:paraId="60C78B1A"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WB:</w:t>
            </w:r>
          </w:p>
        </w:tc>
        <w:tc>
          <w:tcPr>
            <w:tcW w:w="7086" w:type="dxa"/>
            <w:shd w:val="clear" w:color="auto" w:fill="DDDDDD"/>
          </w:tcPr>
          <w:p w14:paraId="62305A9B" w14:textId="77777777" w:rsidR="00522D07" w:rsidRPr="008C761D" w:rsidRDefault="00522D07" w:rsidP="00E84CD0">
            <w:pPr>
              <w:spacing w:line="240" w:lineRule="auto"/>
              <w:jc w:val="both"/>
              <w:rPr>
                <w:rFonts w:cs="Calibri"/>
                <w:sz w:val="20"/>
                <w:szCs w:val="20"/>
                <w:lang w:val="en-US"/>
              </w:rPr>
            </w:pPr>
            <w:r w:rsidRPr="008C761D">
              <w:rPr>
                <w:rFonts w:cs="Calibri"/>
                <w:sz w:val="20"/>
                <w:szCs w:val="20"/>
                <w:lang w:val="en-US"/>
              </w:rPr>
              <w:t>Strengthening the regulatory framework and policies for public-private partnership.</w:t>
            </w:r>
          </w:p>
        </w:tc>
      </w:tr>
      <w:tr w:rsidR="00522D07" w:rsidRPr="008C761D" w14:paraId="41E768A6" w14:textId="77777777" w:rsidTr="008C761D">
        <w:tc>
          <w:tcPr>
            <w:tcW w:w="1494" w:type="dxa"/>
            <w:shd w:val="clear" w:color="auto" w:fill="DDDDDD"/>
          </w:tcPr>
          <w:p w14:paraId="4520B3DC" w14:textId="77777777" w:rsidR="00522D07" w:rsidRPr="00BD26BA" w:rsidRDefault="00522D07" w:rsidP="00E84CD0">
            <w:pPr>
              <w:spacing w:line="240" w:lineRule="auto"/>
              <w:jc w:val="both"/>
              <w:rPr>
                <w:rFonts w:cs="Calibri"/>
                <w:b/>
                <w:sz w:val="20"/>
                <w:szCs w:val="20"/>
                <w:lang w:val="en-US"/>
              </w:rPr>
            </w:pPr>
            <w:r w:rsidRPr="00BD26BA">
              <w:rPr>
                <w:rFonts w:cs="Calibri"/>
                <w:b/>
                <w:sz w:val="20"/>
                <w:szCs w:val="20"/>
                <w:lang w:val="en-US"/>
              </w:rPr>
              <w:t>ЕU:</w:t>
            </w:r>
          </w:p>
        </w:tc>
        <w:tc>
          <w:tcPr>
            <w:tcW w:w="7086" w:type="dxa"/>
            <w:shd w:val="clear" w:color="auto" w:fill="DDDDDD"/>
          </w:tcPr>
          <w:p w14:paraId="12A0E7C0" w14:textId="77777777" w:rsidR="00522D07" w:rsidRPr="008C761D" w:rsidRDefault="00522D07" w:rsidP="00E84CD0">
            <w:pPr>
              <w:spacing w:line="240" w:lineRule="auto"/>
              <w:jc w:val="both"/>
              <w:rPr>
                <w:rFonts w:cs="Calibri"/>
                <w:sz w:val="20"/>
                <w:szCs w:val="20"/>
                <w:lang w:val="en-US"/>
              </w:rPr>
            </w:pPr>
            <w:r w:rsidRPr="008C761D">
              <w:rPr>
                <w:rFonts w:cs="Calibri"/>
                <w:sz w:val="20"/>
                <w:szCs w:val="20"/>
                <w:lang w:val="en-US"/>
              </w:rPr>
              <w:t>To ensure effective implementation of the legal framework in the field of public-private partnership and concessions.</w:t>
            </w:r>
          </w:p>
        </w:tc>
      </w:tr>
    </w:tbl>
    <w:p w14:paraId="65A66F1C" w14:textId="77777777" w:rsidR="00522D07" w:rsidRPr="008C761D" w:rsidRDefault="00522D07" w:rsidP="00E84CD0">
      <w:pPr>
        <w:keepNext/>
        <w:keepLines/>
        <w:spacing w:before="160" w:after="60" w:line="240" w:lineRule="auto"/>
        <w:jc w:val="both"/>
        <w:outlineLvl w:val="3"/>
        <w:rPr>
          <w:rFonts w:cs="Calibri"/>
          <w:b/>
          <w:bCs/>
          <w:i/>
          <w:iCs/>
          <w:color w:val="4F81BD"/>
          <w:lang w:val="en-US"/>
        </w:rPr>
      </w:pPr>
    </w:p>
    <w:p w14:paraId="3D0177F6" w14:textId="77777777" w:rsidR="00522D07" w:rsidRPr="008C761D" w:rsidRDefault="00522D07" w:rsidP="00E84CD0">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Context / Background</w:t>
      </w:r>
    </w:p>
    <w:p w14:paraId="7C63FCB1" w14:textId="77777777" w:rsidR="00522D07" w:rsidRPr="008C761D" w:rsidRDefault="00522D07" w:rsidP="00E84CD0">
      <w:pPr>
        <w:spacing w:line="240" w:lineRule="auto"/>
        <w:jc w:val="both"/>
        <w:rPr>
          <w:rFonts w:cs="Calibri"/>
          <w:b/>
          <w:lang w:val="en-US"/>
        </w:rPr>
      </w:pPr>
      <w:r w:rsidRPr="008C761D">
        <w:rPr>
          <w:rFonts w:cs="Calibri"/>
          <w:lang w:val="en-US"/>
        </w:rPr>
        <w:t>According to the proposed regulation on public-private partnership and consistent implementation of the same, there is a need to increase the number of civil servants to timely perform all activities within their competencies. There is a great need to strengthen the capacity through the employment of professional staff who have relevant experience in this area, which would be reflected in achieving the required level of efficiency of the Ministry of Economy, and analogously to the proper functioning of the public-private partnership system in general.</w:t>
      </w:r>
    </w:p>
    <w:p w14:paraId="22E21AD2" w14:textId="081A873B" w:rsidR="00522D07" w:rsidRPr="00BD26BA" w:rsidRDefault="00522D07" w:rsidP="00E84CD0">
      <w:pPr>
        <w:keepNext/>
        <w:keepLines/>
        <w:spacing w:before="160" w:after="60" w:line="240" w:lineRule="auto"/>
        <w:jc w:val="both"/>
        <w:outlineLvl w:val="3"/>
        <w:rPr>
          <w:rFonts w:cs="Calibri"/>
          <w:b/>
          <w:color w:val="0070C0"/>
          <w:lang w:val="en-US"/>
        </w:rPr>
      </w:pPr>
      <w:r w:rsidRPr="00BD26BA">
        <w:rPr>
          <w:rFonts w:cs="Calibri"/>
          <w:b/>
          <w:color w:val="0070C0"/>
          <w:lang w:val="en-US"/>
        </w:rPr>
        <w:t>Activity 1:</w:t>
      </w:r>
      <w:r w:rsidR="00356610" w:rsidRPr="00BD26BA">
        <w:rPr>
          <w:rFonts w:cs="Calibri"/>
          <w:b/>
          <w:color w:val="0070C0"/>
          <w:lang w:val="en-US"/>
        </w:rPr>
        <w:t xml:space="preserve"> </w:t>
      </w:r>
      <w:r w:rsidRPr="00BD26BA">
        <w:rPr>
          <w:rFonts w:cs="Calibri"/>
          <w:b/>
          <w:color w:val="0070C0"/>
          <w:lang w:val="en-US"/>
        </w:rPr>
        <w:t>Increasing the number of employees in the Ministry of Economy and professional training for public-private partnership</w:t>
      </w:r>
    </w:p>
    <w:p w14:paraId="572BC254" w14:textId="77777777" w:rsidR="00522D07" w:rsidRPr="008C761D" w:rsidRDefault="00522D07" w:rsidP="00E84CD0">
      <w:pPr>
        <w:keepNext/>
        <w:keepLines/>
        <w:spacing w:before="160" w:after="60" w:line="240" w:lineRule="auto"/>
        <w:jc w:val="both"/>
        <w:outlineLvl w:val="3"/>
        <w:rPr>
          <w:rFonts w:cs="Calibri"/>
          <w:lang w:val="en-US"/>
        </w:rPr>
      </w:pPr>
      <w:r w:rsidRPr="008C761D">
        <w:rPr>
          <w:rFonts w:cs="Calibri"/>
          <w:lang w:val="en-US"/>
        </w:rPr>
        <w:t>The activity implies new employments in the Department for Public Private Partnership and their professional training in this field.</w:t>
      </w:r>
    </w:p>
    <w:p w14:paraId="44CAFAC4" w14:textId="77777777" w:rsidR="00522D07" w:rsidRPr="008C761D" w:rsidRDefault="00522D07" w:rsidP="00E84CD0">
      <w:pPr>
        <w:keepNext/>
        <w:keepLines/>
        <w:spacing w:before="160" w:after="60" w:line="240" w:lineRule="auto"/>
        <w:jc w:val="both"/>
        <w:outlineLvl w:val="3"/>
        <w:rPr>
          <w:rFonts w:cs="Calibri"/>
          <w:lang w:val="en-US"/>
        </w:rPr>
      </w:pPr>
    </w:p>
    <w:p w14:paraId="3A02FA69" w14:textId="77777777" w:rsidR="00522D07" w:rsidRPr="008C761D" w:rsidRDefault="00522D07" w:rsidP="00E84CD0">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22D07" w:rsidRPr="008C761D" w14:paraId="1AC07DCE" w14:textId="77777777" w:rsidTr="00BA5E44">
        <w:tc>
          <w:tcPr>
            <w:tcW w:w="2518" w:type="dxa"/>
            <w:tcBorders>
              <w:top w:val="nil"/>
              <w:bottom w:val="single" w:sz="4" w:space="0" w:color="FFFFFF"/>
            </w:tcBorders>
            <w:shd w:val="clear" w:color="auto" w:fill="1F3864"/>
          </w:tcPr>
          <w:p w14:paraId="1F4D5361"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Completed in year:</w:t>
            </w:r>
          </w:p>
        </w:tc>
        <w:tc>
          <w:tcPr>
            <w:tcW w:w="6246" w:type="dxa"/>
            <w:tcBorders>
              <w:top w:val="nil"/>
              <w:bottom w:val="single" w:sz="4" w:space="0" w:color="FFFFFF"/>
            </w:tcBorders>
            <w:shd w:val="clear" w:color="auto" w:fill="D9E2F3"/>
          </w:tcPr>
          <w:p w14:paraId="748483C8" w14:textId="77777777" w:rsidR="00522D07" w:rsidRPr="008C761D" w:rsidRDefault="00CF40C4" w:rsidP="00E84CD0">
            <w:pPr>
              <w:tabs>
                <w:tab w:val="left" w:pos="1526"/>
              </w:tabs>
              <w:spacing w:after="0" w:line="240" w:lineRule="auto"/>
              <w:jc w:val="both"/>
              <w:rPr>
                <w:rFonts w:cs="Calibri"/>
                <w:sz w:val="20"/>
                <w:szCs w:val="20"/>
                <w:lang w:val="en-US"/>
              </w:rPr>
            </w:pPr>
            <w:r w:rsidRPr="008C761D">
              <w:rPr>
                <w:rFonts w:cs="Calibri"/>
                <w:sz w:val="20"/>
                <w:szCs w:val="20"/>
                <w:lang w:val="en-US"/>
              </w:rPr>
              <w:t>2025</w:t>
            </w:r>
          </w:p>
        </w:tc>
      </w:tr>
      <w:tr w:rsidR="00522D07" w:rsidRPr="008C761D" w14:paraId="441925C9" w14:textId="77777777" w:rsidTr="00BA5E44">
        <w:tc>
          <w:tcPr>
            <w:tcW w:w="2518" w:type="dxa"/>
            <w:tcBorders>
              <w:top w:val="single" w:sz="4" w:space="0" w:color="FFFFFF"/>
              <w:bottom w:val="single" w:sz="4" w:space="0" w:color="FFFFFF"/>
            </w:tcBorders>
            <w:shd w:val="clear" w:color="auto" w:fill="1F3864"/>
          </w:tcPr>
          <w:p w14:paraId="65A6FBE9"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Deliverables:</w:t>
            </w:r>
          </w:p>
        </w:tc>
        <w:tc>
          <w:tcPr>
            <w:tcW w:w="6246" w:type="dxa"/>
            <w:tcBorders>
              <w:top w:val="single" w:sz="4" w:space="0" w:color="FFFFFF"/>
              <w:bottom w:val="single" w:sz="4" w:space="0" w:color="FFFFFF"/>
            </w:tcBorders>
            <w:shd w:val="clear" w:color="auto" w:fill="D9E2F3"/>
          </w:tcPr>
          <w:p w14:paraId="521AFCB3" w14:textId="77777777" w:rsidR="00522D07" w:rsidRPr="008C761D" w:rsidRDefault="00522D07" w:rsidP="00BD26BA">
            <w:pPr>
              <w:numPr>
                <w:ilvl w:val="0"/>
                <w:numId w:val="58"/>
              </w:numPr>
              <w:tabs>
                <w:tab w:val="left" w:pos="183"/>
              </w:tabs>
              <w:spacing w:after="0" w:line="240" w:lineRule="auto"/>
              <w:ind w:left="183" w:hanging="180"/>
              <w:jc w:val="both"/>
              <w:rPr>
                <w:rFonts w:cs="Calibri"/>
                <w:sz w:val="20"/>
                <w:szCs w:val="20"/>
                <w:lang w:val="en-US"/>
              </w:rPr>
            </w:pPr>
            <w:r w:rsidRPr="008C761D">
              <w:rPr>
                <w:rFonts w:cs="Calibri"/>
                <w:sz w:val="20"/>
                <w:szCs w:val="20"/>
                <w:lang w:val="en-US"/>
              </w:rPr>
              <w:t xml:space="preserve"> Strengthened staff capacity of the Ministry of Economy in the field of public-private partnership;</w:t>
            </w:r>
          </w:p>
          <w:p w14:paraId="705D3DCF" w14:textId="77777777" w:rsidR="00522D07" w:rsidRPr="008C761D" w:rsidRDefault="00522D07" w:rsidP="00BD26BA">
            <w:pPr>
              <w:numPr>
                <w:ilvl w:val="0"/>
                <w:numId w:val="58"/>
              </w:numPr>
              <w:tabs>
                <w:tab w:val="left" w:pos="183"/>
              </w:tabs>
              <w:spacing w:after="0" w:line="240" w:lineRule="auto"/>
              <w:ind w:left="183" w:hanging="180"/>
              <w:jc w:val="both"/>
              <w:rPr>
                <w:rFonts w:cs="Calibri"/>
                <w:sz w:val="20"/>
                <w:szCs w:val="20"/>
                <w:lang w:val="en-US"/>
              </w:rPr>
            </w:pPr>
            <w:r w:rsidRPr="008C761D">
              <w:rPr>
                <w:rFonts w:cs="Calibri"/>
                <w:sz w:val="20"/>
                <w:szCs w:val="20"/>
                <w:lang w:val="en-US"/>
              </w:rPr>
              <w:t>Conducted trainings for the employees of the Ministry of Economy in the field of public-private partnership.</w:t>
            </w:r>
          </w:p>
        </w:tc>
      </w:tr>
      <w:tr w:rsidR="00522D07" w:rsidRPr="008C761D" w14:paraId="6E88944B" w14:textId="77777777" w:rsidTr="00BA5E44">
        <w:tc>
          <w:tcPr>
            <w:tcW w:w="2518" w:type="dxa"/>
            <w:tcBorders>
              <w:top w:val="single" w:sz="4" w:space="0" w:color="FFFFFF"/>
              <w:bottom w:val="single" w:sz="4" w:space="0" w:color="FFFFFF"/>
            </w:tcBorders>
            <w:shd w:val="clear" w:color="auto" w:fill="1F3864"/>
          </w:tcPr>
          <w:p w14:paraId="13CB65F7"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Costs implications:</w:t>
            </w:r>
          </w:p>
        </w:tc>
        <w:tc>
          <w:tcPr>
            <w:tcW w:w="6246" w:type="dxa"/>
            <w:tcBorders>
              <w:top w:val="single" w:sz="4" w:space="0" w:color="FFFFFF"/>
              <w:bottom w:val="single" w:sz="4" w:space="0" w:color="FFFFFF"/>
            </w:tcBorders>
            <w:shd w:val="clear" w:color="auto" w:fill="D9E2F3"/>
          </w:tcPr>
          <w:p w14:paraId="7D137551" w14:textId="77777777" w:rsidR="00522D07" w:rsidRPr="008C761D" w:rsidRDefault="00522D07" w:rsidP="00E84CD0">
            <w:pPr>
              <w:tabs>
                <w:tab w:val="left" w:pos="1526"/>
              </w:tabs>
              <w:spacing w:after="0" w:line="240" w:lineRule="auto"/>
              <w:jc w:val="both"/>
              <w:rPr>
                <w:rFonts w:cs="Calibri"/>
                <w:sz w:val="20"/>
                <w:szCs w:val="20"/>
                <w:lang w:val="en-US"/>
              </w:rPr>
            </w:pPr>
            <w:r w:rsidRPr="008C761D">
              <w:rPr>
                <w:rFonts w:cs="Calibri"/>
                <w:sz w:val="20"/>
                <w:szCs w:val="20"/>
                <w:lang w:val="en-US"/>
              </w:rPr>
              <w:t xml:space="preserve">EUR 96,000 </w:t>
            </w:r>
          </w:p>
        </w:tc>
      </w:tr>
      <w:tr w:rsidR="00522D07" w:rsidRPr="008C761D" w14:paraId="1B76384E" w14:textId="77777777" w:rsidTr="00BA5E44">
        <w:tc>
          <w:tcPr>
            <w:tcW w:w="2518" w:type="dxa"/>
            <w:tcBorders>
              <w:top w:val="single" w:sz="4" w:space="0" w:color="FFFFFF"/>
              <w:bottom w:val="single" w:sz="4" w:space="0" w:color="FFFFFF"/>
            </w:tcBorders>
            <w:shd w:val="clear" w:color="auto" w:fill="1F3864"/>
          </w:tcPr>
          <w:p w14:paraId="08ADE26F"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 xml:space="preserve">Responsible entity: </w:t>
            </w:r>
          </w:p>
        </w:tc>
        <w:tc>
          <w:tcPr>
            <w:tcW w:w="6246" w:type="dxa"/>
            <w:tcBorders>
              <w:top w:val="single" w:sz="4" w:space="0" w:color="FFFFFF"/>
              <w:bottom w:val="single" w:sz="4" w:space="0" w:color="FFFFFF"/>
            </w:tcBorders>
            <w:shd w:val="clear" w:color="auto" w:fill="D9E2F3"/>
          </w:tcPr>
          <w:p w14:paraId="11D46011" w14:textId="77777777" w:rsidR="00522D07" w:rsidRPr="008C761D" w:rsidRDefault="00522D07" w:rsidP="00E84CD0">
            <w:pPr>
              <w:tabs>
                <w:tab w:val="left" w:pos="4219"/>
              </w:tabs>
              <w:spacing w:after="0" w:line="240" w:lineRule="auto"/>
              <w:jc w:val="both"/>
              <w:rPr>
                <w:rFonts w:cs="Calibri"/>
                <w:sz w:val="20"/>
                <w:szCs w:val="20"/>
                <w:lang w:val="en-US"/>
              </w:rPr>
            </w:pPr>
            <w:r w:rsidRPr="008C761D">
              <w:rPr>
                <w:rFonts w:cs="Calibri"/>
                <w:sz w:val="20"/>
                <w:szCs w:val="20"/>
                <w:lang w:val="en-US"/>
              </w:rPr>
              <w:t>Ministry of Economy</w:t>
            </w:r>
          </w:p>
        </w:tc>
      </w:tr>
      <w:tr w:rsidR="00522D07" w:rsidRPr="008C761D" w14:paraId="4FEE6492" w14:textId="77777777" w:rsidTr="00BA5E44">
        <w:tc>
          <w:tcPr>
            <w:tcW w:w="2518" w:type="dxa"/>
            <w:tcBorders>
              <w:top w:val="single" w:sz="4" w:space="0" w:color="FFFFFF"/>
              <w:bottom w:val="nil"/>
            </w:tcBorders>
            <w:shd w:val="clear" w:color="auto" w:fill="1F3864"/>
          </w:tcPr>
          <w:p w14:paraId="215AD0CB" w14:textId="77777777" w:rsidR="00522D07" w:rsidRPr="008C761D" w:rsidRDefault="00522D07" w:rsidP="00E84CD0">
            <w:pPr>
              <w:spacing w:line="240" w:lineRule="auto"/>
              <w:jc w:val="both"/>
              <w:rPr>
                <w:rFonts w:cs="Calibri"/>
                <w:b/>
                <w:sz w:val="20"/>
                <w:szCs w:val="20"/>
                <w:lang w:val="en-US"/>
              </w:rPr>
            </w:pPr>
            <w:r w:rsidRPr="008C761D">
              <w:rPr>
                <w:rFonts w:cs="Calibri"/>
                <w:b/>
                <w:sz w:val="20"/>
                <w:szCs w:val="20"/>
                <w:lang w:val="en-US"/>
              </w:rPr>
              <w:t>Risk:</w:t>
            </w:r>
          </w:p>
        </w:tc>
        <w:tc>
          <w:tcPr>
            <w:tcW w:w="6246" w:type="dxa"/>
            <w:tcBorders>
              <w:top w:val="single" w:sz="4" w:space="0" w:color="FFFFFF"/>
              <w:bottom w:val="nil"/>
            </w:tcBorders>
            <w:shd w:val="clear" w:color="auto" w:fill="D9E2F3"/>
          </w:tcPr>
          <w:p w14:paraId="3408C806" w14:textId="4E21ADD1" w:rsidR="00522D07" w:rsidRPr="008C761D" w:rsidRDefault="002E7714" w:rsidP="00555720">
            <w:pPr>
              <w:numPr>
                <w:ilvl w:val="0"/>
                <w:numId w:val="59"/>
              </w:numPr>
              <w:spacing w:after="0" w:line="240" w:lineRule="auto"/>
              <w:ind w:left="183" w:hanging="149"/>
              <w:jc w:val="both"/>
              <w:rPr>
                <w:rFonts w:cs="Calibri"/>
                <w:sz w:val="20"/>
                <w:szCs w:val="20"/>
                <w:lang w:val="en-US"/>
              </w:rPr>
            </w:pPr>
            <w:r w:rsidRPr="008C761D">
              <w:rPr>
                <w:rFonts w:cs="Calibri"/>
                <w:sz w:val="20"/>
                <w:szCs w:val="20"/>
                <w:lang w:val="en-US"/>
              </w:rPr>
              <w:t>Difficult functioning and execution of the determined competencies in accordance with the law, because of lack of stаff capacity.</w:t>
            </w:r>
          </w:p>
        </w:tc>
      </w:tr>
    </w:tbl>
    <w:p w14:paraId="370FA4C4" w14:textId="30C184ED" w:rsidR="00555720" w:rsidRDefault="00555720" w:rsidP="007E7BAE">
      <w:pPr>
        <w:pStyle w:val="Heading1"/>
        <w:rPr>
          <w:lang w:val="en-US"/>
        </w:rPr>
      </w:pPr>
    </w:p>
    <w:p w14:paraId="0B154BB9" w14:textId="0ED86659" w:rsidR="007E7BAE" w:rsidRPr="00555720" w:rsidRDefault="00522D07" w:rsidP="007E7BAE">
      <w:pPr>
        <w:pStyle w:val="Heading1"/>
        <w:rPr>
          <w:rFonts w:ascii="Calibri" w:hAnsi="Calibri" w:cs="Calibri"/>
          <w:color w:val="2F5496"/>
          <w:lang w:val="en-US"/>
        </w:rPr>
      </w:pPr>
      <w:r w:rsidRPr="00555720">
        <w:rPr>
          <w:lang w:val="en-US"/>
        </w:rPr>
        <w:br w:type="page"/>
      </w:r>
      <w:bookmarkStart w:id="47" w:name="_Toc160611824"/>
      <w:r w:rsidR="00E91F45" w:rsidRPr="00555720">
        <w:rPr>
          <w:rFonts w:ascii="Calibri" w:hAnsi="Calibri" w:cs="Calibri"/>
          <w:color w:val="2F5496"/>
          <w:lang w:val="en-US"/>
        </w:rPr>
        <w:lastRenderedPageBreak/>
        <w:t>Pillar V</w:t>
      </w:r>
      <w:r w:rsidR="007E7BAE" w:rsidRPr="00555720">
        <w:rPr>
          <w:rFonts w:ascii="Calibri" w:hAnsi="Calibri" w:cs="Calibri"/>
          <w:color w:val="2F5496"/>
          <w:lang w:val="en-US"/>
        </w:rPr>
        <w:t xml:space="preserve">: </w:t>
      </w:r>
      <w:r w:rsidR="002B305F">
        <w:rPr>
          <w:rFonts w:ascii="Calibri" w:hAnsi="Calibri" w:cs="Calibri"/>
          <w:color w:val="2F5496"/>
          <w:lang w:val="en-US"/>
        </w:rPr>
        <w:t>P</w:t>
      </w:r>
      <w:r w:rsidR="002E7714" w:rsidRPr="00555720">
        <w:rPr>
          <w:rFonts w:ascii="Calibri" w:hAnsi="Calibri" w:cs="Calibri"/>
          <w:color w:val="2F5496"/>
          <w:lang w:val="en-US"/>
        </w:rPr>
        <w:t xml:space="preserve">ublic </w:t>
      </w:r>
      <w:r w:rsidR="007F497B" w:rsidRPr="007F497B">
        <w:rPr>
          <w:rFonts w:ascii="Calibri" w:hAnsi="Calibri" w:cs="Calibri"/>
          <w:color w:val="2F5496"/>
          <w:lang w:val="en-US"/>
        </w:rPr>
        <w:t>finance digitalisation and continu</w:t>
      </w:r>
      <w:r w:rsidR="001111E8">
        <w:rPr>
          <w:rFonts w:ascii="Calibri" w:hAnsi="Calibri" w:cs="Calibri"/>
          <w:color w:val="2F5496"/>
        </w:rPr>
        <w:t>о</w:t>
      </w:r>
      <w:r w:rsidR="001111E8">
        <w:rPr>
          <w:rFonts w:ascii="Calibri" w:hAnsi="Calibri" w:cs="Calibri"/>
          <w:color w:val="2F5496"/>
          <w:lang w:val="en-US"/>
        </w:rPr>
        <w:t>u</w:t>
      </w:r>
      <w:r w:rsidR="007F497B" w:rsidRPr="007F497B">
        <w:rPr>
          <w:rFonts w:ascii="Calibri" w:hAnsi="Calibri" w:cs="Calibri"/>
          <w:color w:val="2F5496"/>
          <w:lang w:val="en-US"/>
        </w:rPr>
        <w:t>s learning</w:t>
      </w:r>
      <w:bookmarkEnd w:id="47"/>
    </w:p>
    <w:p w14:paraId="671F7B12" w14:textId="57CBE0DA" w:rsidR="007E7BAE" w:rsidRPr="008C761D" w:rsidRDefault="00514D12" w:rsidP="007E7BAE">
      <w:pPr>
        <w:spacing w:line="240" w:lineRule="auto"/>
        <w:jc w:val="both"/>
        <w:rPr>
          <w:rFonts w:eastAsia="MS PGothic"/>
          <w:b/>
          <w:bCs/>
          <w:color w:val="4F81BD"/>
          <w:lang w:val="en-US" w:eastAsia="zh-CN"/>
        </w:rPr>
      </w:pPr>
      <w:r w:rsidRPr="008C761D">
        <w:rPr>
          <w:rFonts w:eastAsia="MS PGothic"/>
          <w:b/>
          <w:bCs/>
          <w:color w:val="4F81BD"/>
          <w:lang w:val="en-US" w:eastAsia="zh-CN"/>
        </w:rPr>
        <w:t>Introduction</w:t>
      </w:r>
    </w:p>
    <w:p w14:paraId="3DC13D1A"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r w:rsidRPr="008C761D">
        <w:rPr>
          <w:rFonts w:eastAsia="StobiSerifRegular-Identity-H" w:cs="Calibri"/>
          <w:lang w:val="en-US"/>
        </w:rPr>
        <w:t>Robust public finances are crucial for maintaining fiscal discipline, ensuring the allocation of public resources aligns with the government strategic priorities, optimizing operational efficiency, as well as promoting accountability and transparency. The integration of Public Financial Management (PFM) operations by leveraging the latest digital advancements, and the capacity building of public administration employees play key roles in enhancing and advancing the public finances in the Republic of North Macedonia.</w:t>
      </w:r>
    </w:p>
    <w:p w14:paraId="3951E6F0"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p>
    <w:p w14:paraId="16154C86"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r w:rsidRPr="008C761D">
        <w:rPr>
          <w:rFonts w:eastAsia="StobiSerifRegular-Identity-H" w:cs="Calibri"/>
          <w:lang w:val="en-US"/>
        </w:rPr>
        <w:t>The main objective of IFMIS development is to improve the efficiency and transparency of PFM operations by transitioning from existing fragmented and disconnected systems to a centralized web-based shared platform benefiting from the latest digital technologies to support the PFM reforms and the implementation of the Organic Budget law (OBL).</w:t>
      </w:r>
    </w:p>
    <w:p w14:paraId="4A256128"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p>
    <w:p w14:paraId="170D2961"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r w:rsidRPr="008C761D">
        <w:rPr>
          <w:rFonts w:eastAsia="StobiSerifRegular-Identity-H" w:cs="Calibri"/>
          <w:lang w:val="en-US"/>
        </w:rPr>
        <w:t>More precisely, the IFMIS is expected to play a crucial role in amending the legal and institutional budget framework and addressing existing challenges in PFM systems. It aims to broaden the scope of budget execution monitoring and fiscal reporting, covering all stages of the expenditure cycle, from procurement to payment, and ensuring a consolidated overview of public spending on time. Among its functionalities, IFMIS will enable the establishment of a multi-year budgetary framework, introduce a public investment management function, and implement an automated system for supervising commitments, including multi-year commitments. The system will centralize data on commitments incurred, as well as asset and debt management. Integration of IFMIS is expected to provide comprehensive and timely access to public finance data, contributing to improved efficiency in liquidity forecasting and the management of financial flows within the budget.</w:t>
      </w:r>
    </w:p>
    <w:p w14:paraId="6EF92CA7" w14:textId="77777777" w:rsidR="007E7BAE" w:rsidRPr="008C761D"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US"/>
        </w:rPr>
      </w:pPr>
    </w:p>
    <w:p w14:paraId="6832E845" w14:textId="17F59DED" w:rsidR="007E7BAE" w:rsidRPr="008C761D" w:rsidRDefault="007E7BAE" w:rsidP="007E7BAE">
      <w:pPr>
        <w:autoSpaceDE w:val="0"/>
        <w:autoSpaceDN w:val="0"/>
        <w:adjustRightInd w:val="0"/>
        <w:spacing w:line="240" w:lineRule="auto"/>
        <w:jc w:val="both"/>
        <w:rPr>
          <w:rFonts w:eastAsia="StobiSerifRegular-Identity-H" w:cs="Calibri"/>
          <w:lang w:val="en-US"/>
        </w:rPr>
      </w:pPr>
      <w:r w:rsidRPr="008C761D">
        <w:rPr>
          <w:rFonts w:eastAsia="StobiSerifRegular-Identity-H" w:cs="Calibri"/>
          <w:lang w:val="en-US"/>
        </w:rPr>
        <w:t xml:space="preserve">The Public Finance Academy will contribute to the development of qualified professionals in public finance, which will lead to more efficient and effective management of public funds. Training programs will emphasize the importance of fiscal responsibility, leading to better budgeting, reduced deficits and overall financial stability. Furthermore, education about transparency and accountability can lead to more open and accountable governance, reducing corruption and promoting trust in public institutions. Enhanced financial skills can help policy makers make the right decisions about resource allocation, ensuring that funds are targeted to priority areas with the greatest impact on citizens and businesses. The Academy's focus is on </w:t>
      </w:r>
      <w:r w:rsidR="00514D12">
        <w:rPr>
          <w:rFonts w:eastAsia="StobiSerifRegular-Identity-H" w:cs="Calibri"/>
          <w:lang w:val="en-US"/>
        </w:rPr>
        <w:t>building</w:t>
      </w:r>
      <w:r w:rsidRPr="008C761D">
        <w:rPr>
          <w:rFonts w:eastAsia="StobiSerifRegular-Identity-H" w:cs="Calibri"/>
          <w:lang w:val="en-US"/>
        </w:rPr>
        <w:t xml:space="preserve"> fiscal policies that will contribute to establishing long-term economic stability and sustainable development. </w:t>
      </w:r>
    </w:p>
    <w:p w14:paraId="04058499" w14:textId="77777777" w:rsidR="007E7BAE" w:rsidRPr="008C761D" w:rsidRDefault="007E7BAE" w:rsidP="007E7BAE">
      <w:pPr>
        <w:autoSpaceDE w:val="0"/>
        <w:autoSpaceDN w:val="0"/>
        <w:adjustRightInd w:val="0"/>
        <w:spacing w:line="240" w:lineRule="auto"/>
        <w:jc w:val="both"/>
        <w:rPr>
          <w:rFonts w:eastAsia="StobiSerifRegular-Identity-H" w:cs="Calibri"/>
          <w:lang w:val="en-US"/>
        </w:rPr>
      </w:pPr>
      <w:r w:rsidRPr="008C761D">
        <w:rPr>
          <w:rFonts w:eastAsia="StobiSerifRegular-Identity-H" w:cs="Calibri"/>
          <w:lang w:val="en-US"/>
        </w:rPr>
        <w:t xml:space="preserve">Providing continuous education to the public administration in the field of public financial management is especially important for both the overall process of public financial management and the creating of a modern and competent administration to provide quality and prompt services to citizens and businesses. </w:t>
      </w:r>
    </w:p>
    <w:p w14:paraId="62BC99C7" w14:textId="5F514D81" w:rsidR="007E7BAE" w:rsidRPr="008C761D" w:rsidRDefault="007E7BAE" w:rsidP="007E7BAE">
      <w:pPr>
        <w:spacing w:line="240" w:lineRule="auto"/>
        <w:rPr>
          <w:rFonts w:eastAsia="StobiSerifRegular-Identity-H" w:cs="Calibri"/>
          <w:lang w:val="en-US"/>
        </w:rPr>
      </w:pPr>
      <w:r w:rsidRPr="008C761D">
        <w:rPr>
          <w:rFonts w:eastAsia="StobiSerifRegular-Identity-H" w:cs="Calibri"/>
          <w:lang w:val="en-US"/>
        </w:rPr>
        <w:t xml:space="preserve">This pillar is covering the </w:t>
      </w:r>
      <w:r w:rsidR="00514D12" w:rsidRPr="008C761D">
        <w:rPr>
          <w:rFonts w:eastAsia="StobiSerifRegular-Identity-H" w:cs="Calibri"/>
          <w:lang w:val="en-US"/>
        </w:rPr>
        <w:t>following priorities</w:t>
      </w:r>
      <w:r w:rsidRPr="008C761D">
        <w:rPr>
          <w:rFonts w:eastAsia="StobiSerifRegular-Identity-H" w:cs="Calibri"/>
          <w:lang w:val="en-US"/>
        </w:rPr>
        <w:t>:</w:t>
      </w:r>
    </w:p>
    <w:p w14:paraId="786449F8" w14:textId="36B8E425" w:rsidR="007E7BAE" w:rsidRPr="00555720" w:rsidRDefault="008C761D" w:rsidP="008C761D">
      <w:pPr>
        <w:pStyle w:val="ListParagraph"/>
        <w:numPr>
          <w:ilvl w:val="0"/>
          <w:numId w:val="115"/>
        </w:numPr>
        <w:spacing w:line="240" w:lineRule="auto"/>
        <w:rPr>
          <w:b/>
          <w:lang w:val="en-US"/>
        </w:rPr>
      </w:pPr>
      <w:r w:rsidRPr="00555720">
        <w:rPr>
          <w:b/>
          <w:lang w:val="en-US"/>
        </w:rPr>
        <w:t xml:space="preserve">Priority 1: </w:t>
      </w:r>
      <w:r w:rsidR="007E7BAE" w:rsidRPr="00555720">
        <w:rPr>
          <w:b/>
          <w:lang w:val="en-US"/>
        </w:rPr>
        <w:t xml:space="preserve">Implementation of an Integrated Financial Management Information System (IFMIS) </w:t>
      </w:r>
    </w:p>
    <w:p w14:paraId="5631AC33" w14:textId="0BCF7F2D" w:rsidR="008C761D" w:rsidRPr="00555720" w:rsidRDefault="008C761D" w:rsidP="008C761D">
      <w:pPr>
        <w:pStyle w:val="ListParagraph"/>
        <w:numPr>
          <w:ilvl w:val="0"/>
          <w:numId w:val="115"/>
        </w:numPr>
        <w:autoSpaceDE w:val="0"/>
        <w:autoSpaceDN w:val="0"/>
        <w:adjustRightInd w:val="0"/>
        <w:spacing w:line="240" w:lineRule="auto"/>
        <w:rPr>
          <w:b/>
          <w:lang w:val="en-US"/>
        </w:rPr>
      </w:pPr>
      <w:r w:rsidRPr="00555720">
        <w:rPr>
          <w:rFonts w:eastAsia="StobiSerifRegular-Identity-H" w:cs="Calibri"/>
          <w:b/>
          <w:lang w:val="en-US"/>
        </w:rPr>
        <w:t>Priority 2</w:t>
      </w:r>
      <w:r w:rsidR="00555720">
        <w:rPr>
          <w:b/>
          <w:lang w:val="mk-MK"/>
        </w:rPr>
        <w:t xml:space="preserve">: </w:t>
      </w:r>
      <w:r w:rsidRPr="00555720">
        <w:rPr>
          <w:b/>
          <w:lang w:val="en-US"/>
        </w:rPr>
        <w:t>Public Finance Academy (learning organization)</w:t>
      </w:r>
    </w:p>
    <w:p w14:paraId="3A76B7C3" w14:textId="74E53CB5" w:rsidR="007E7BAE" w:rsidRPr="005C0E14" w:rsidRDefault="008C761D" w:rsidP="005C0E14">
      <w:pPr>
        <w:spacing w:line="240" w:lineRule="auto"/>
        <w:rPr>
          <w:b/>
          <w:lang w:val="en-US"/>
        </w:rPr>
      </w:pPr>
      <w:r w:rsidRPr="008C761D">
        <w:rPr>
          <w:b/>
          <w:lang w:val="en-US"/>
        </w:rPr>
        <w:t xml:space="preserve">Priority 1: Implementation of an Integrated Financial Management Information System (IFMIS) </w:t>
      </w:r>
    </w:p>
    <w:p w14:paraId="6999CED0" w14:textId="0A22A383" w:rsidR="007E7BAE" w:rsidRPr="008C761D" w:rsidRDefault="007E7BAE" w:rsidP="00CE2DF4">
      <w:pPr>
        <w:autoSpaceDE w:val="0"/>
        <w:autoSpaceDN w:val="0"/>
        <w:adjustRightInd w:val="0"/>
        <w:spacing w:line="240" w:lineRule="auto"/>
        <w:jc w:val="both"/>
        <w:rPr>
          <w:rFonts w:eastAsia="StobiSerifRegular-Identity-H" w:cs="Calibri"/>
          <w:lang w:val="en-US"/>
        </w:rPr>
      </w:pPr>
      <w:r w:rsidRPr="008C761D">
        <w:rPr>
          <w:rFonts w:eastAsia="StobiSerifRegular-Identity-H" w:cs="Calibri"/>
          <w:lang w:val="en-US"/>
        </w:rPr>
        <w:t xml:space="preserve">The development of IFMIS aims to enhance the efficiency and transparency of PFM operations, playing a crucial role in amending the legal and institutional budget framework, addressing existing </w:t>
      </w:r>
      <w:r w:rsidRPr="008C761D">
        <w:rPr>
          <w:rFonts w:eastAsia="StobiSerifRegular-Identity-H" w:cs="Calibri"/>
          <w:lang w:val="en-US"/>
        </w:rPr>
        <w:lastRenderedPageBreak/>
        <w:t>challenges, and providing a centralized web-based platform with advanced functionalities to support comprehensive budget execution monitoring and fiscal reporting</w:t>
      </w:r>
    </w:p>
    <w:p w14:paraId="31A7BB74" w14:textId="5B0C1FF8" w:rsidR="004F61A2" w:rsidRPr="008C761D" w:rsidRDefault="005C0E14" w:rsidP="00CE2DF4">
      <w:pPr>
        <w:autoSpaceDE w:val="0"/>
        <w:autoSpaceDN w:val="0"/>
        <w:adjustRightInd w:val="0"/>
        <w:spacing w:line="240" w:lineRule="auto"/>
        <w:jc w:val="both"/>
        <w:rPr>
          <w:b/>
          <w:lang w:val="en-US"/>
        </w:rPr>
      </w:pPr>
      <w:r>
        <w:rPr>
          <w:b/>
          <w:lang w:val="en-US"/>
        </w:rPr>
        <w:t xml:space="preserve">Priority </w:t>
      </w:r>
      <w:r w:rsidR="00514D12" w:rsidRPr="008C761D">
        <w:rPr>
          <w:rFonts w:eastAsia="StobiSerifRegular-Identity-H" w:cs="Calibri"/>
          <w:b/>
          <w:lang w:val="en-US"/>
        </w:rPr>
        <w:t>2</w:t>
      </w:r>
      <w:r w:rsidR="00514D12" w:rsidRPr="008C761D">
        <w:rPr>
          <w:b/>
          <w:lang w:val="en-US"/>
        </w:rPr>
        <w:t>. Public</w:t>
      </w:r>
      <w:r w:rsidR="004F61A2" w:rsidRPr="008C761D">
        <w:rPr>
          <w:b/>
          <w:lang w:val="en-US"/>
        </w:rPr>
        <w:t xml:space="preserve"> Finance Academy (learning organization)</w:t>
      </w:r>
    </w:p>
    <w:p w14:paraId="0ACF2849" w14:textId="48A33EC4" w:rsidR="004F61A2" w:rsidRPr="008C761D" w:rsidRDefault="004F61A2" w:rsidP="004F61A2">
      <w:pPr>
        <w:spacing w:line="240" w:lineRule="auto"/>
        <w:jc w:val="both"/>
        <w:rPr>
          <w:lang w:val="en-US"/>
        </w:rPr>
      </w:pPr>
      <w:r w:rsidRPr="008C761D">
        <w:rPr>
          <w:lang w:val="en-US"/>
        </w:rPr>
        <w:t>This priority is to provide continuous education of the public administration in the field of public financial management and to create a modern and competent administration for rendering quality and fast services to citizens and businesses</w:t>
      </w:r>
      <w:r w:rsidR="004B70A2">
        <w:rPr>
          <w:lang w:val="en-US"/>
        </w:rPr>
        <w:t>.</w:t>
      </w:r>
    </w:p>
    <w:p w14:paraId="0B2BA263" w14:textId="5420F51E" w:rsidR="008D1B70" w:rsidRPr="00356610" w:rsidRDefault="008D1B70" w:rsidP="00F4681C">
      <w:pPr>
        <w:pStyle w:val="Heading1"/>
        <w:jc w:val="both"/>
        <w:rPr>
          <w:rFonts w:ascii="Calibri" w:hAnsi="Calibri" w:cs="Calibri"/>
          <w:color w:val="0070C0"/>
          <w:sz w:val="28"/>
          <w:szCs w:val="28"/>
          <w:lang w:val="en-US"/>
        </w:rPr>
      </w:pPr>
      <w:bookmarkStart w:id="48" w:name="_Toc160611825"/>
      <w:r w:rsidRPr="00356610">
        <w:rPr>
          <w:rFonts w:ascii="Calibri" w:hAnsi="Calibri" w:cs="Calibri"/>
          <w:color w:val="0070C0"/>
          <w:sz w:val="28"/>
          <w:szCs w:val="28"/>
          <w:lang w:val="en-US"/>
        </w:rPr>
        <w:t>Priority 1:</w:t>
      </w:r>
      <w:r w:rsidR="00356610">
        <w:rPr>
          <w:rFonts w:ascii="Calibri" w:hAnsi="Calibri" w:cs="Calibri"/>
          <w:color w:val="0070C0"/>
          <w:sz w:val="28"/>
          <w:szCs w:val="28"/>
          <w:lang w:val="en-US"/>
        </w:rPr>
        <w:t xml:space="preserve"> </w:t>
      </w:r>
      <w:r w:rsidRPr="00356610">
        <w:rPr>
          <w:rFonts w:ascii="Calibri" w:hAnsi="Calibri" w:cs="Calibri"/>
          <w:color w:val="0070C0"/>
          <w:sz w:val="28"/>
          <w:szCs w:val="28"/>
          <w:lang w:val="en-US"/>
        </w:rPr>
        <w:t>Implementation of an Integrated Financial Management Information System (IFMIS)</w:t>
      </w:r>
      <w:bookmarkEnd w:id="48"/>
      <w:r w:rsidRPr="00356610">
        <w:rPr>
          <w:rFonts w:ascii="Calibri" w:hAnsi="Calibri" w:cs="Calibri"/>
          <w:color w:val="0070C0"/>
          <w:sz w:val="28"/>
          <w:szCs w:val="28"/>
          <w:lang w:val="en-US"/>
        </w:rPr>
        <w:t xml:space="preserve"> </w:t>
      </w:r>
    </w:p>
    <w:p w14:paraId="44031955" w14:textId="77777777" w:rsidR="008D1B70" w:rsidRPr="008C761D" w:rsidRDefault="008D1B70" w:rsidP="00E84CD0">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45EFAABE" w14:textId="77777777" w:rsidR="00890621" w:rsidRPr="008C761D" w:rsidRDefault="00890621" w:rsidP="00E84CD0">
      <w:pPr>
        <w:spacing w:after="120" w:line="240" w:lineRule="auto"/>
        <w:jc w:val="both"/>
        <w:rPr>
          <w:rFonts w:eastAsia="MS PGothic" w:cs="Calibri"/>
          <w:lang w:val="en-US" w:eastAsia="zh-CN"/>
        </w:rPr>
      </w:pPr>
      <w:r w:rsidRPr="008C761D">
        <w:rPr>
          <w:rFonts w:eastAsia="MS PGothic" w:cs="Calibri"/>
          <w:lang w:val="en-US" w:eastAsia="zh-CN"/>
        </w:rPr>
        <w:t xml:space="preserve">Implementation of a contemporary Integrated Financial Management Information System (IFMIS) is an important part of the Public Financial Management (PFM) reforms initiated by the Ministry of Finance (MoF). The main objective of IFMIS development is to improve the efficiency and transparency of PFM operations by transitioning from existing fragmented and disconnected systems to a centralized web-based shared platform benefiting from the latest digital technologies to support the PFM reforms and the implementation of the new Organic Budget law (OBL) adopted in September 2022, and scheduled for enactment on January 1, 2025. </w:t>
      </w:r>
    </w:p>
    <w:p w14:paraId="16762533" w14:textId="77777777" w:rsidR="008D1B70" w:rsidRPr="008C761D" w:rsidRDefault="008D1B70" w:rsidP="00E84CD0">
      <w:pPr>
        <w:spacing w:after="120" w:line="240" w:lineRule="auto"/>
        <w:jc w:val="both"/>
        <w:rPr>
          <w:rFonts w:eastAsia="MS PGothic" w:cs="Calibri"/>
          <w:lang w:val="en-US" w:eastAsia="zh-CN"/>
        </w:rPr>
      </w:pPr>
      <w:r w:rsidRPr="008C761D">
        <w:rPr>
          <w:rFonts w:eastAsia="MS PGothic" w:cs="Calibri"/>
          <w:lang w:val="en-US" w:eastAsia="zh-CN"/>
        </w:rPr>
        <w:t>The IFMIS is expected to support the amendment of the legal and institutional organic budget framework and address existing challenges in PFM systems by broadening the scope of budget execution monitoring and fiscal reporting, covering all stages of the expenditure cycle (from procurement to payment), and obtaining a consolidated picture of the public spending on a timely basis. The IFMIS will allow, among other things, the establishment of a multi-year budgetary framework, introduction of public investment management function linked with the future public-private investment system, an automated system of supervision over commitments, including multi-year commitments and centralized data on the commitments incurred, fixed asset management, and debt management. Furthermore, its integration will enable comprehensive and timely availability of public finance data which will contribute to increased efficiency in liquidity forecasting and management of financial flows of the budget.</w:t>
      </w:r>
    </w:p>
    <w:p w14:paraId="4D7DD7C3" w14:textId="77777777" w:rsidR="00890621" w:rsidRPr="008C761D" w:rsidRDefault="00890621" w:rsidP="00890621">
      <w:pPr>
        <w:spacing w:after="120" w:line="240" w:lineRule="auto"/>
        <w:jc w:val="both"/>
        <w:rPr>
          <w:rFonts w:eastAsia="MS PGothic" w:cs="Calibri"/>
          <w:lang w:val="en-US" w:eastAsia="zh-CN"/>
        </w:rPr>
      </w:pPr>
      <w:r w:rsidRPr="008C761D">
        <w:rPr>
          <w:rFonts w:eastAsia="MS PGothic" w:cs="Calibri"/>
          <w:lang w:val="en-US" w:eastAsia="zh-CN"/>
        </w:rPr>
        <w:t>The IFMIS implementation is funded by a 20 million euros World Bank loan and a 5 million euros European Commission grant. A portion of the World Bank loan has been used to established a Project Unit aimed to oversee the implementation as part of the "Building Effective, Transparent, and Accountable Public Financial Management Institutions Project."</w:t>
      </w:r>
    </w:p>
    <w:p w14:paraId="6FCB438E" w14:textId="77777777" w:rsidR="00890621" w:rsidRPr="008C761D" w:rsidRDefault="00890621" w:rsidP="00890621">
      <w:pPr>
        <w:spacing w:after="120" w:line="240" w:lineRule="auto"/>
        <w:jc w:val="both"/>
        <w:rPr>
          <w:rFonts w:eastAsia="MS PGothic" w:cs="Calibri"/>
          <w:lang w:val="en-US" w:eastAsia="zh-CN"/>
        </w:rPr>
      </w:pPr>
      <w:r w:rsidRPr="008C761D">
        <w:rPr>
          <w:rFonts w:eastAsia="MS PGothic" w:cs="Calibri"/>
          <w:lang w:val="en-US" w:eastAsia="zh-CN"/>
        </w:rPr>
        <w:t>Additionally, the Minister of Finance has established a Working Body with a five-year mandate to be responsible for implementation, upgrading, optimization, execution, regulation, maintenance, control, staff education, and analysis of all system processes and functionalities. The upcoming establishment of expert commissions and working groups will play a key role in advancing the development and implementation of individual IFMIS modules.</w:t>
      </w:r>
    </w:p>
    <w:p w14:paraId="63EB981E" w14:textId="77777777" w:rsidR="00890621" w:rsidRPr="008C761D" w:rsidRDefault="00890621" w:rsidP="00890621">
      <w:pPr>
        <w:spacing w:after="120" w:line="240" w:lineRule="auto"/>
        <w:jc w:val="both"/>
        <w:rPr>
          <w:rFonts w:eastAsia="MS PGothic" w:cs="Calibri"/>
          <w:lang w:val="en-US" w:eastAsia="zh-CN"/>
        </w:rPr>
      </w:pPr>
    </w:p>
    <w:p w14:paraId="6037A8B6" w14:textId="77777777" w:rsidR="008D1B70" w:rsidRPr="008C761D" w:rsidRDefault="008D1B70" w:rsidP="00E84CD0">
      <w:pPr>
        <w:spacing w:after="60" w:line="240" w:lineRule="auto"/>
        <w:jc w:val="both"/>
        <w:rPr>
          <w:rFonts w:eastAsia="MS PGothic" w:cs="Calibri"/>
          <w:lang w:val="en-US" w:eastAsia="zh-CN"/>
        </w:rPr>
      </w:pPr>
      <w:r w:rsidRPr="008C761D">
        <w:rPr>
          <w:rFonts w:eastAsia="MS PGothic" w:cs="Calibri"/>
          <w:lang w:val="en-US" w:eastAsia="zh-CN"/>
        </w:rPr>
        <w:t>The objective of this priority will be achieved through the following measures and activities:</w:t>
      </w:r>
    </w:p>
    <w:tbl>
      <w:tblPr>
        <w:tblW w:w="9108" w:type="dxa"/>
        <w:tblInd w:w="360" w:type="dxa"/>
        <w:tblLook w:val="01E0" w:firstRow="1" w:lastRow="1" w:firstColumn="1" w:lastColumn="1" w:noHBand="0" w:noVBand="0"/>
      </w:tblPr>
      <w:tblGrid>
        <w:gridCol w:w="1540"/>
        <w:gridCol w:w="7568"/>
      </w:tblGrid>
      <w:tr w:rsidR="008D1B70" w:rsidRPr="008C761D" w14:paraId="6781F82D" w14:textId="77777777" w:rsidTr="000C4FB2">
        <w:tc>
          <w:tcPr>
            <w:tcW w:w="1540" w:type="dxa"/>
            <w:shd w:val="clear" w:color="auto" w:fill="auto"/>
          </w:tcPr>
          <w:p w14:paraId="52504AF2" w14:textId="77777777" w:rsidR="008D1B70" w:rsidRPr="008C761D" w:rsidRDefault="008D1B70" w:rsidP="007D6CD2">
            <w:pPr>
              <w:spacing w:after="60"/>
              <w:jc w:val="both"/>
              <w:rPr>
                <w:rFonts w:cs="Calibri"/>
                <w:b/>
                <w:lang w:val="en-US"/>
              </w:rPr>
            </w:pPr>
            <w:r w:rsidRPr="008C761D">
              <w:rPr>
                <w:rFonts w:cs="Calibri"/>
                <w:b/>
                <w:lang w:val="en-US"/>
              </w:rPr>
              <w:t>Measure 1:</w:t>
            </w:r>
          </w:p>
        </w:tc>
        <w:tc>
          <w:tcPr>
            <w:tcW w:w="7568" w:type="dxa"/>
            <w:shd w:val="clear" w:color="auto" w:fill="auto"/>
          </w:tcPr>
          <w:p w14:paraId="6D581747" w14:textId="04BA23EE" w:rsidR="008D1B70" w:rsidRPr="008C761D" w:rsidRDefault="000C4FB2" w:rsidP="007D6CD2">
            <w:pPr>
              <w:spacing w:after="60"/>
              <w:jc w:val="both"/>
              <w:rPr>
                <w:rFonts w:cs="Calibri"/>
                <w:b/>
                <w:lang w:val="en-US"/>
              </w:rPr>
            </w:pPr>
            <w:r w:rsidRPr="008C761D">
              <w:rPr>
                <w:rFonts w:cs="Calibri"/>
                <w:b/>
                <w:lang w:val="en-US"/>
              </w:rPr>
              <w:t xml:space="preserve">Development of IFMIS as an integrated centralized web-based system </w:t>
            </w:r>
          </w:p>
        </w:tc>
      </w:tr>
      <w:tr w:rsidR="008D1B70" w:rsidRPr="008C761D" w14:paraId="5EFAEC21" w14:textId="77777777" w:rsidTr="000C4FB2">
        <w:tc>
          <w:tcPr>
            <w:tcW w:w="1540" w:type="dxa"/>
            <w:shd w:val="clear" w:color="auto" w:fill="auto"/>
          </w:tcPr>
          <w:p w14:paraId="001ABA15" w14:textId="77777777" w:rsidR="008D1B70" w:rsidRPr="008C761D" w:rsidRDefault="008D1B70" w:rsidP="007D6CD2">
            <w:pPr>
              <w:spacing w:after="60"/>
              <w:jc w:val="both"/>
              <w:rPr>
                <w:rFonts w:cs="Calibri"/>
                <w:lang w:val="en-US"/>
              </w:rPr>
            </w:pPr>
            <w:r w:rsidRPr="008C761D">
              <w:rPr>
                <w:rFonts w:cs="Calibri"/>
                <w:lang w:val="en-US"/>
              </w:rPr>
              <w:t>Activity 1</w:t>
            </w:r>
            <w:r w:rsidRPr="008C761D">
              <w:rPr>
                <w:rFonts w:cs="Calibri"/>
                <w:b/>
                <w:lang w:val="en-US"/>
              </w:rPr>
              <w:t>:</w:t>
            </w:r>
          </w:p>
        </w:tc>
        <w:tc>
          <w:tcPr>
            <w:tcW w:w="7568" w:type="dxa"/>
            <w:shd w:val="clear" w:color="auto" w:fill="auto"/>
          </w:tcPr>
          <w:p w14:paraId="1C61620A" w14:textId="59622BAE" w:rsidR="008D1B70" w:rsidRPr="008C761D" w:rsidRDefault="000C4FB2" w:rsidP="007D6CD2">
            <w:pPr>
              <w:spacing w:after="60"/>
              <w:jc w:val="both"/>
              <w:rPr>
                <w:rFonts w:cs="Calibri"/>
                <w:lang w:val="en-US"/>
              </w:rPr>
            </w:pPr>
            <w:r w:rsidRPr="008C761D">
              <w:rPr>
                <w:rFonts w:cs="Calibri"/>
                <w:lang w:val="en-US"/>
              </w:rPr>
              <w:t>Selection of IFMIS Solution Provider;</w:t>
            </w:r>
          </w:p>
        </w:tc>
      </w:tr>
      <w:tr w:rsidR="008D1B70" w:rsidRPr="008C761D" w14:paraId="099E3C1A" w14:textId="77777777" w:rsidTr="000C4FB2">
        <w:tc>
          <w:tcPr>
            <w:tcW w:w="1540" w:type="dxa"/>
            <w:shd w:val="clear" w:color="auto" w:fill="auto"/>
          </w:tcPr>
          <w:p w14:paraId="5B4195B0" w14:textId="77777777" w:rsidR="008D1B70" w:rsidRPr="008C761D" w:rsidRDefault="008D1B70" w:rsidP="007D6CD2">
            <w:pPr>
              <w:spacing w:after="60"/>
              <w:jc w:val="both"/>
              <w:rPr>
                <w:rFonts w:cs="Calibri"/>
                <w:lang w:val="en-US"/>
              </w:rPr>
            </w:pPr>
            <w:r w:rsidRPr="008C761D">
              <w:rPr>
                <w:rFonts w:cs="Calibri"/>
                <w:lang w:val="en-US"/>
              </w:rPr>
              <w:t>Activity 2</w:t>
            </w:r>
            <w:r w:rsidRPr="008C761D">
              <w:rPr>
                <w:rFonts w:cs="Calibri"/>
                <w:b/>
                <w:lang w:val="en-US"/>
              </w:rPr>
              <w:t>:</w:t>
            </w:r>
          </w:p>
        </w:tc>
        <w:tc>
          <w:tcPr>
            <w:tcW w:w="7568" w:type="dxa"/>
            <w:shd w:val="clear" w:color="auto" w:fill="auto"/>
          </w:tcPr>
          <w:p w14:paraId="7E1869C2" w14:textId="1A158A4F" w:rsidR="008D1B70" w:rsidRPr="008C761D" w:rsidRDefault="00514D12" w:rsidP="007D6CD2">
            <w:pPr>
              <w:spacing w:after="60"/>
              <w:jc w:val="both"/>
              <w:rPr>
                <w:rFonts w:cs="Calibri"/>
                <w:lang w:val="en-US"/>
              </w:rPr>
            </w:pPr>
            <w:r w:rsidRPr="008C761D">
              <w:rPr>
                <w:rFonts w:cs="Calibri"/>
                <w:lang w:val="en-US"/>
              </w:rPr>
              <w:t>Development of</w:t>
            </w:r>
            <w:r w:rsidR="00890621" w:rsidRPr="008C761D">
              <w:rPr>
                <w:rFonts w:cs="Calibri"/>
                <w:lang w:val="en-US"/>
              </w:rPr>
              <w:t xml:space="preserve"> IFMIS modules</w:t>
            </w:r>
            <w:r>
              <w:rPr>
                <w:rFonts w:cs="Calibri"/>
                <w:lang w:val="en-US"/>
              </w:rPr>
              <w:t xml:space="preserve"> </w:t>
            </w:r>
            <w:r w:rsidR="00890621" w:rsidRPr="008C761D">
              <w:rPr>
                <w:rFonts w:cs="Calibri"/>
                <w:lang w:val="en-US"/>
              </w:rPr>
              <w:t>and</w:t>
            </w:r>
            <w:r>
              <w:rPr>
                <w:rFonts w:cs="Calibri"/>
                <w:lang w:val="en-US"/>
              </w:rPr>
              <w:t xml:space="preserve"> </w:t>
            </w:r>
            <w:r w:rsidR="00890621" w:rsidRPr="008C761D">
              <w:rPr>
                <w:rFonts w:cs="Calibri"/>
                <w:lang w:val="en-US"/>
              </w:rPr>
              <w:t>interfaces;</w:t>
            </w:r>
          </w:p>
        </w:tc>
      </w:tr>
      <w:tr w:rsidR="008D1B70" w:rsidRPr="008C761D" w14:paraId="268C23F6" w14:textId="77777777" w:rsidTr="005C0E14">
        <w:trPr>
          <w:trHeight w:val="2410"/>
        </w:trPr>
        <w:tc>
          <w:tcPr>
            <w:tcW w:w="1540" w:type="dxa"/>
            <w:shd w:val="clear" w:color="auto" w:fill="auto"/>
          </w:tcPr>
          <w:p w14:paraId="16747868" w14:textId="77777777" w:rsidR="008D1B70" w:rsidRPr="008C761D" w:rsidRDefault="008D1B70" w:rsidP="007D6CD2">
            <w:pPr>
              <w:spacing w:after="0"/>
              <w:jc w:val="both"/>
              <w:rPr>
                <w:rFonts w:cs="Calibri"/>
                <w:b/>
                <w:lang w:val="en-US"/>
              </w:rPr>
            </w:pPr>
            <w:r w:rsidRPr="008C761D">
              <w:rPr>
                <w:rFonts w:cs="Calibri"/>
                <w:lang w:val="en-US"/>
              </w:rPr>
              <w:lastRenderedPageBreak/>
              <w:t>Activity 3</w:t>
            </w:r>
            <w:r w:rsidRPr="008C761D">
              <w:rPr>
                <w:rFonts w:cs="Calibri"/>
                <w:b/>
                <w:lang w:val="en-US"/>
              </w:rPr>
              <w:t>:</w:t>
            </w:r>
          </w:p>
          <w:p w14:paraId="0D3BE1C9" w14:textId="77777777" w:rsidR="00890621" w:rsidRPr="008C761D" w:rsidRDefault="00890621" w:rsidP="007D6CD2">
            <w:pPr>
              <w:spacing w:after="0"/>
              <w:jc w:val="both"/>
              <w:rPr>
                <w:rFonts w:cs="Calibri"/>
                <w:b/>
                <w:sz w:val="18"/>
                <w:szCs w:val="18"/>
                <w:lang w:val="en-US"/>
              </w:rPr>
            </w:pPr>
          </w:p>
          <w:p w14:paraId="4D5191BE" w14:textId="77777777" w:rsidR="00890621" w:rsidRPr="008C761D" w:rsidRDefault="00890621" w:rsidP="007D6CD2">
            <w:pPr>
              <w:spacing w:after="60"/>
              <w:jc w:val="both"/>
              <w:rPr>
                <w:rFonts w:cs="Calibri"/>
                <w:b/>
                <w:lang w:val="en-US"/>
              </w:rPr>
            </w:pPr>
            <w:r w:rsidRPr="008C761D">
              <w:rPr>
                <w:rFonts w:cs="Calibri"/>
                <w:b/>
                <w:lang w:val="en-US"/>
              </w:rPr>
              <w:t>Measure 2:</w:t>
            </w:r>
          </w:p>
          <w:p w14:paraId="38D0634F" w14:textId="414DFD51" w:rsidR="00890621" w:rsidRPr="008C761D" w:rsidRDefault="00890621" w:rsidP="007D6CD2">
            <w:pPr>
              <w:spacing w:after="60"/>
              <w:jc w:val="both"/>
              <w:rPr>
                <w:rFonts w:cs="Calibri"/>
                <w:b/>
                <w:sz w:val="16"/>
                <w:szCs w:val="16"/>
                <w:lang w:val="en-US"/>
              </w:rPr>
            </w:pPr>
          </w:p>
          <w:p w14:paraId="2D7EA72A" w14:textId="77777777" w:rsidR="00890621" w:rsidRPr="008C761D" w:rsidRDefault="00890621" w:rsidP="007D6CD2">
            <w:pPr>
              <w:spacing w:after="60"/>
              <w:jc w:val="both"/>
              <w:rPr>
                <w:rFonts w:cs="Calibri"/>
                <w:lang w:val="en-US"/>
              </w:rPr>
            </w:pPr>
            <w:r w:rsidRPr="008C761D">
              <w:rPr>
                <w:rFonts w:cs="Calibri"/>
                <w:lang w:val="en-US"/>
              </w:rPr>
              <w:t>Activity 1:</w:t>
            </w:r>
          </w:p>
          <w:p w14:paraId="6EDFCB73" w14:textId="77777777" w:rsidR="00890621" w:rsidRPr="008C761D" w:rsidRDefault="00890621" w:rsidP="007D6CD2">
            <w:pPr>
              <w:spacing w:after="60"/>
              <w:jc w:val="both"/>
              <w:rPr>
                <w:rFonts w:cs="Calibri"/>
                <w:lang w:val="en-US"/>
              </w:rPr>
            </w:pPr>
            <w:r w:rsidRPr="008C761D">
              <w:rPr>
                <w:rFonts w:cs="Calibri"/>
                <w:lang w:val="en-US"/>
              </w:rPr>
              <w:t>Activity 2:</w:t>
            </w:r>
          </w:p>
          <w:p w14:paraId="2ACAC049" w14:textId="77777777" w:rsidR="00890621" w:rsidRPr="008C761D" w:rsidRDefault="00890621" w:rsidP="007D6CD2">
            <w:pPr>
              <w:spacing w:after="60"/>
              <w:jc w:val="both"/>
              <w:rPr>
                <w:rFonts w:cs="Calibri"/>
                <w:lang w:val="en-US"/>
              </w:rPr>
            </w:pPr>
          </w:p>
          <w:p w14:paraId="3F3F6784" w14:textId="77777777" w:rsidR="00890621" w:rsidRPr="008C761D" w:rsidRDefault="00890621" w:rsidP="007D6CD2">
            <w:pPr>
              <w:spacing w:after="60"/>
              <w:jc w:val="both"/>
              <w:rPr>
                <w:rFonts w:cs="Calibri"/>
                <w:b/>
                <w:bCs/>
                <w:lang w:val="en-US"/>
              </w:rPr>
            </w:pPr>
            <w:r w:rsidRPr="008C761D">
              <w:rPr>
                <w:rFonts w:cs="Calibri"/>
                <w:b/>
                <w:bCs/>
                <w:lang w:val="en-US"/>
              </w:rPr>
              <w:t>Measure 3:</w:t>
            </w:r>
          </w:p>
          <w:p w14:paraId="7E73193A" w14:textId="77777777" w:rsidR="00890621" w:rsidRPr="008C761D" w:rsidRDefault="00890621" w:rsidP="007D6CD2">
            <w:pPr>
              <w:spacing w:after="60"/>
              <w:jc w:val="both"/>
              <w:rPr>
                <w:rFonts w:cs="Calibri"/>
                <w:b/>
                <w:bCs/>
                <w:lang w:val="en-US"/>
              </w:rPr>
            </w:pPr>
          </w:p>
          <w:p w14:paraId="209BC3F4" w14:textId="77777777" w:rsidR="00890621" w:rsidRPr="008C761D" w:rsidRDefault="00890621" w:rsidP="007D6CD2">
            <w:pPr>
              <w:spacing w:after="60"/>
              <w:jc w:val="both"/>
              <w:rPr>
                <w:rFonts w:cs="Calibri"/>
                <w:lang w:val="en-US"/>
              </w:rPr>
            </w:pPr>
            <w:r w:rsidRPr="008C761D">
              <w:rPr>
                <w:rFonts w:cs="Calibri"/>
                <w:lang w:val="en-US"/>
              </w:rPr>
              <w:t>Activity 1:</w:t>
            </w:r>
          </w:p>
          <w:p w14:paraId="12B9211D" w14:textId="77777777" w:rsidR="00890621" w:rsidRPr="008C761D" w:rsidRDefault="00890621" w:rsidP="007D6CD2">
            <w:pPr>
              <w:spacing w:after="60"/>
              <w:jc w:val="both"/>
              <w:rPr>
                <w:rFonts w:cs="Calibri"/>
                <w:lang w:val="en-US"/>
              </w:rPr>
            </w:pPr>
            <w:r w:rsidRPr="008C761D">
              <w:rPr>
                <w:rFonts w:cs="Calibri"/>
                <w:lang w:val="en-US"/>
              </w:rPr>
              <w:t>Activity 2:</w:t>
            </w:r>
          </w:p>
          <w:p w14:paraId="63381539" w14:textId="77777777" w:rsidR="00890621" w:rsidRPr="008C761D" w:rsidRDefault="00890621" w:rsidP="007D6CD2">
            <w:pPr>
              <w:spacing w:after="60"/>
              <w:jc w:val="both"/>
              <w:rPr>
                <w:rFonts w:cs="Calibri"/>
                <w:b/>
                <w:bCs/>
                <w:lang w:val="en-US"/>
              </w:rPr>
            </w:pPr>
            <w:r w:rsidRPr="008C761D">
              <w:rPr>
                <w:rFonts w:cs="Calibri"/>
                <w:lang w:val="en-US"/>
              </w:rPr>
              <w:t>Activity 3:</w:t>
            </w:r>
          </w:p>
        </w:tc>
        <w:tc>
          <w:tcPr>
            <w:tcW w:w="7568" w:type="dxa"/>
            <w:shd w:val="clear" w:color="auto" w:fill="auto"/>
          </w:tcPr>
          <w:p w14:paraId="799314AE" w14:textId="66F6F141" w:rsidR="00890621" w:rsidRPr="008C761D" w:rsidRDefault="00890621" w:rsidP="007D6CD2">
            <w:pPr>
              <w:jc w:val="both"/>
              <w:rPr>
                <w:rFonts w:cs="Calibri"/>
                <w:lang w:val="en-US"/>
              </w:rPr>
            </w:pPr>
            <w:r w:rsidRPr="008C761D">
              <w:rPr>
                <w:rFonts w:cs="Calibri"/>
                <w:lang w:val="en-US"/>
              </w:rPr>
              <w:t>IFMIS pilot</w:t>
            </w:r>
            <w:r w:rsidR="000C4FB2" w:rsidRPr="008C761D">
              <w:rPr>
                <w:rFonts w:cs="Calibri"/>
                <w:lang w:val="en-US"/>
              </w:rPr>
              <w:t xml:space="preserve"> </w:t>
            </w:r>
            <w:r w:rsidRPr="008C761D">
              <w:rPr>
                <w:rFonts w:cs="Calibri"/>
                <w:lang w:val="en-US"/>
              </w:rPr>
              <w:t>implementation</w:t>
            </w:r>
            <w:r w:rsidR="000C4FB2" w:rsidRPr="008C761D">
              <w:rPr>
                <w:rFonts w:cs="Calibri"/>
                <w:lang w:val="en-US"/>
              </w:rPr>
              <w:t xml:space="preserve"> </w:t>
            </w:r>
            <w:r w:rsidRPr="008C761D">
              <w:rPr>
                <w:rFonts w:cs="Calibri"/>
                <w:lang w:val="en-US"/>
              </w:rPr>
              <w:t>and</w:t>
            </w:r>
            <w:r w:rsidR="000C4FB2" w:rsidRPr="008C761D">
              <w:rPr>
                <w:rFonts w:cs="Calibri"/>
                <w:lang w:val="en-US"/>
              </w:rPr>
              <w:t xml:space="preserve"> </w:t>
            </w:r>
            <w:r w:rsidRPr="008C761D">
              <w:rPr>
                <w:rFonts w:cs="Calibri"/>
                <w:lang w:val="en-US"/>
              </w:rPr>
              <w:t>operational</w:t>
            </w:r>
            <w:r w:rsidR="000C4FB2" w:rsidRPr="008C761D">
              <w:rPr>
                <w:rFonts w:cs="Calibri"/>
                <w:lang w:val="en-US"/>
              </w:rPr>
              <w:t xml:space="preserve"> </w:t>
            </w:r>
            <w:r w:rsidRPr="008C761D">
              <w:rPr>
                <w:rFonts w:cs="Calibri"/>
                <w:lang w:val="en-US"/>
              </w:rPr>
              <w:t>acceptance</w:t>
            </w:r>
            <w:r w:rsidR="008D1B70" w:rsidRPr="008C761D">
              <w:rPr>
                <w:rFonts w:cs="Calibri"/>
                <w:lang w:val="en-US"/>
              </w:rPr>
              <w:t>.</w:t>
            </w:r>
          </w:p>
          <w:p w14:paraId="385FD1B6" w14:textId="2C89B42C" w:rsidR="00890621" w:rsidRPr="005C0E14" w:rsidRDefault="000C4FB2" w:rsidP="007D6CD2">
            <w:pPr>
              <w:spacing w:after="60"/>
              <w:jc w:val="both"/>
              <w:rPr>
                <w:rFonts w:cs="Calibri"/>
                <w:b/>
                <w:lang w:val="en-US"/>
              </w:rPr>
            </w:pPr>
            <w:r w:rsidRPr="008C761D">
              <w:rPr>
                <w:rFonts w:cs="Calibri"/>
                <w:b/>
                <w:lang w:val="en-US"/>
              </w:rPr>
              <w:t>Expansion of MoF ICT infrastructure (in line with whole-of-governm</w:t>
            </w:r>
            <w:r w:rsidR="005C0E14">
              <w:rPr>
                <w:rFonts w:cs="Calibri"/>
                <w:b/>
                <w:lang w:val="en-US"/>
              </w:rPr>
              <w:t>ent approach) to host new IFMIS</w:t>
            </w:r>
          </w:p>
          <w:p w14:paraId="4EFD004B" w14:textId="77777777" w:rsidR="00890621" w:rsidRPr="008C761D" w:rsidRDefault="00890621" w:rsidP="007D6CD2">
            <w:pPr>
              <w:spacing w:after="60"/>
              <w:jc w:val="both"/>
              <w:rPr>
                <w:rFonts w:cs="Calibri"/>
                <w:lang w:val="en-US"/>
              </w:rPr>
            </w:pPr>
            <w:r w:rsidRPr="008C761D">
              <w:rPr>
                <w:rFonts w:cs="Calibri"/>
                <w:lang w:val="en-US"/>
              </w:rPr>
              <w:t>Enhancement of the existing data centers and network connectivity</w:t>
            </w:r>
          </w:p>
          <w:p w14:paraId="5B011A88" w14:textId="77777777" w:rsidR="00890621" w:rsidRPr="008C761D" w:rsidRDefault="00890621" w:rsidP="007D6CD2">
            <w:pPr>
              <w:spacing w:after="60"/>
              <w:jc w:val="both"/>
              <w:rPr>
                <w:rFonts w:cs="Calibri"/>
                <w:lang w:val="en-US"/>
              </w:rPr>
            </w:pPr>
            <w:r w:rsidRPr="008C761D">
              <w:rPr>
                <w:rFonts w:cs="Calibri"/>
                <w:lang w:val="en-US"/>
              </w:rPr>
              <w:t>Establishment of the secure backup network connections</w:t>
            </w:r>
          </w:p>
          <w:p w14:paraId="0FCBF21F" w14:textId="77777777" w:rsidR="00890621" w:rsidRPr="008C761D" w:rsidRDefault="00890621" w:rsidP="007D6CD2">
            <w:pPr>
              <w:spacing w:after="60"/>
              <w:jc w:val="both"/>
              <w:rPr>
                <w:rFonts w:cs="Calibri"/>
                <w:lang w:val="en-US"/>
              </w:rPr>
            </w:pPr>
          </w:p>
          <w:p w14:paraId="793B59B0" w14:textId="37F3B791" w:rsidR="0093115D" w:rsidRDefault="00890621" w:rsidP="007D6CD2">
            <w:pPr>
              <w:spacing w:after="60"/>
              <w:jc w:val="both"/>
              <w:rPr>
                <w:rFonts w:cs="Calibri"/>
                <w:b/>
                <w:bCs/>
                <w:lang w:val="en-US"/>
              </w:rPr>
            </w:pPr>
            <w:r w:rsidRPr="008C761D">
              <w:rPr>
                <w:rFonts w:cs="Calibri"/>
                <w:b/>
                <w:bCs/>
                <w:lang w:val="en-US"/>
              </w:rPr>
              <w:t>Capacity strengthening training and change management to support OBL reforms and IFMIS operations</w:t>
            </w:r>
          </w:p>
          <w:p w14:paraId="1BD60DDE" w14:textId="77777777" w:rsidR="0093115D" w:rsidRPr="0093115D" w:rsidRDefault="0093115D" w:rsidP="007D6CD2">
            <w:pPr>
              <w:spacing w:after="60"/>
              <w:jc w:val="both"/>
              <w:rPr>
                <w:rFonts w:cs="Calibri"/>
                <w:b/>
                <w:bCs/>
                <w:sz w:val="2"/>
                <w:szCs w:val="2"/>
                <w:lang w:val="en-US"/>
              </w:rPr>
            </w:pPr>
          </w:p>
          <w:p w14:paraId="0B28B4A3" w14:textId="77777777" w:rsidR="00890621" w:rsidRPr="008C761D" w:rsidRDefault="00890621" w:rsidP="007D6CD2">
            <w:pPr>
              <w:spacing w:after="60"/>
              <w:jc w:val="both"/>
              <w:rPr>
                <w:rFonts w:cs="Calibri"/>
                <w:lang w:val="en-US"/>
              </w:rPr>
            </w:pPr>
            <w:r w:rsidRPr="008C761D">
              <w:rPr>
                <w:rFonts w:cs="Calibri"/>
                <w:lang w:val="en-US"/>
              </w:rPr>
              <w:t>Transition from existing MoF Systems to IFMIS</w:t>
            </w:r>
          </w:p>
          <w:p w14:paraId="33A68212" w14:textId="77777777" w:rsidR="00890621" w:rsidRPr="008C761D" w:rsidRDefault="00890621" w:rsidP="007D6CD2">
            <w:pPr>
              <w:spacing w:after="60"/>
              <w:jc w:val="both"/>
              <w:rPr>
                <w:rFonts w:cs="Calibri"/>
                <w:lang w:val="en-US"/>
              </w:rPr>
            </w:pPr>
            <w:r w:rsidRPr="008C761D">
              <w:rPr>
                <w:rFonts w:cs="Calibri"/>
                <w:lang w:val="en-US"/>
              </w:rPr>
              <w:t>Training of IFMIS users from central and local budget entities</w:t>
            </w:r>
          </w:p>
          <w:p w14:paraId="34F7EEAD" w14:textId="7DDECF77" w:rsidR="00890621" w:rsidRPr="008C761D" w:rsidRDefault="00890621" w:rsidP="007D6CD2">
            <w:pPr>
              <w:spacing w:after="60"/>
              <w:jc w:val="both"/>
              <w:rPr>
                <w:rFonts w:cs="Calibri"/>
                <w:lang w:val="en-US"/>
              </w:rPr>
            </w:pPr>
            <w:r w:rsidRPr="008C761D">
              <w:rPr>
                <w:rFonts w:cs="Calibri"/>
                <w:lang w:val="en-US"/>
              </w:rPr>
              <w:t xml:space="preserve">Development of a business continuity plan and disaster recovery skills </w:t>
            </w:r>
          </w:p>
        </w:tc>
      </w:tr>
    </w:tbl>
    <w:p w14:paraId="694C6849" w14:textId="77777777" w:rsidR="008D1B70" w:rsidRPr="008C761D" w:rsidRDefault="008D1B70" w:rsidP="00E84CD0">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3349A325" w14:textId="77777777" w:rsidR="008D1B70" w:rsidRPr="008C761D" w:rsidRDefault="008D1B70" w:rsidP="00E84CD0">
      <w:pPr>
        <w:spacing w:after="60" w:line="240" w:lineRule="auto"/>
        <w:ind w:left="709"/>
        <w:jc w:val="both"/>
        <w:rPr>
          <w:rFonts w:eastAsia="MS PGothic" w:cs="Calibri"/>
          <w:lang w:val="en-US" w:eastAsia="zh-CN"/>
        </w:rPr>
      </w:pPr>
      <w:r w:rsidRPr="008C761D">
        <w:rPr>
          <w:rFonts w:eastAsia="MS PGothic" w:cs="Calibri"/>
          <w:lang w:val="en-US" w:eastAsia="zh-CN"/>
        </w:rPr>
        <w:t>Improved operational efficiency and transparency through IFMIS in line with the new OBL.</w:t>
      </w:r>
    </w:p>
    <w:p w14:paraId="2B048820" w14:textId="77777777" w:rsidR="008D1B70" w:rsidRPr="008C761D" w:rsidRDefault="008D1B70" w:rsidP="00E84CD0">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67E70A9D" w14:textId="77777777" w:rsidR="00890621" w:rsidRPr="008C761D" w:rsidRDefault="00890621" w:rsidP="003A338C">
      <w:pPr>
        <w:numPr>
          <w:ilvl w:val="0"/>
          <w:numId w:val="16"/>
        </w:numPr>
        <w:spacing w:after="60" w:line="240" w:lineRule="auto"/>
        <w:jc w:val="both"/>
        <w:rPr>
          <w:rFonts w:eastAsia="MS PGothic" w:cs="Calibri"/>
          <w:lang w:val="en-US" w:eastAsia="zh-CN"/>
        </w:rPr>
      </w:pPr>
      <w:r w:rsidRPr="008C761D">
        <w:rPr>
          <w:rFonts w:eastAsia="MS PGothic" w:cs="Calibri"/>
          <w:lang w:val="en-US" w:eastAsia="zh-CN"/>
        </w:rPr>
        <w:t>The required time for the processing of payments through IFMIS and Treasury Single Account interface was reduced (efficiency);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5C0E14" w14:paraId="0FF68F39" w14:textId="77777777" w:rsidTr="002B77A4">
        <w:trPr>
          <w:trHeight w:val="395"/>
        </w:trPr>
        <w:tc>
          <w:tcPr>
            <w:tcW w:w="4608" w:type="dxa"/>
            <w:shd w:val="clear" w:color="auto" w:fill="E8E8E8"/>
          </w:tcPr>
          <w:p w14:paraId="258F24D2"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Baseline 2022</w:t>
            </w:r>
          </w:p>
        </w:tc>
        <w:tc>
          <w:tcPr>
            <w:tcW w:w="4608" w:type="dxa"/>
            <w:shd w:val="clear" w:color="auto" w:fill="E8E8E8"/>
          </w:tcPr>
          <w:p w14:paraId="7F844275"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Target 2027</w:t>
            </w:r>
          </w:p>
        </w:tc>
      </w:tr>
      <w:tr w:rsidR="00460ED3" w:rsidRPr="005C0E14" w14:paraId="769F56C7" w14:textId="77777777" w:rsidTr="002B77A4">
        <w:trPr>
          <w:trHeight w:val="278"/>
        </w:trPr>
        <w:tc>
          <w:tcPr>
            <w:tcW w:w="4608" w:type="dxa"/>
            <w:shd w:val="clear" w:color="auto" w:fill="E8E8E8"/>
          </w:tcPr>
          <w:p w14:paraId="00E135FB" w14:textId="2C8DE3DF" w:rsidR="00460ED3" w:rsidRPr="005C0E14" w:rsidRDefault="00306ADD" w:rsidP="00D21537">
            <w:pPr>
              <w:tabs>
                <w:tab w:val="left" w:pos="1014"/>
              </w:tabs>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No IFMIS; 30 days for entities to submit the invoice to the Treasury +1 for payment processing</w:t>
            </w:r>
          </w:p>
        </w:tc>
        <w:tc>
          <w:tcPr>
            <w:tcW w:w="4608" w:type="dxa"/>
            <w:shd w:val="clear" w:color="auto" w:fill="E8E8E8"/>
          </w:tcPr>
          <w:p w14:paraId="5AE0A178" w14:textId="126E0B2D" w:rsidR="00460ED3" w:rsidRPr="005C0E14" w:rsidRDefault="00306ADD" w:rsidP="002B77A4">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5 days for entities to submit invoices to Treasury +1 day for payment processing by Treasury</w:t>
            </w:r>
          </w:p>
        </w:tc>
      </w:tr>
    </w:tbl>
    <w:p w14:paraId="59D101F5" w14:textId="77777777" w:rsidR="00460ED3" w:rsidRPr="008C761D" w:rsidRDefault="00460ED3" w:rsidP="00460ED3">
      <w:pPr>
        <w:spacing w:after="60" w:line="240" w:lineRule="auto"/>
        <w:ind w:left="720"/>
        <w:jc w:val="both"/>
        <w:rPr>
          <w:rFonts w:eastAsia="MS PGothic" w:cs="Calibri"/>
          <w:lang w:val="en-US" w:eastAsia="zh-CN"/>
        </w:rPr>
      </w:pPr>
    </w:p>
    <w:p w14:paraId="424502F9" w14:textId="77777777" w:rsidR="00890621" w:rsidRPr="008C761D" w:rsidRDefault="00890621" w:rsidP="003A338C">
      <w:pPr>
        <w:numPr>
          <w:ilvl w:val="0"/>
          <w:numId w:val="16"/>
        </w:numPr>
        <w:spacing w:after="60" w:line="240" w:lineRule="auto"/>
        <w:jc w:val="both"/>
        <w:rPr>
          <w:rFonts w:eastAsia="MS PGothic" w:cs="Calibri"/>
          <w:lang w:val="en-US" w:eastAsia="zh-CN"/>
        </w:rPr>
      </w:pPr>
      <w:r w:rsidRPr="008C761D">
        <w:rPr>
          <w:rFonts w:eastAsia="MS PGothic" w:cs="Calibri"/>
          <w:lang w:val="en-US" w:eastAsia="zh-CN"/>
        </w:rPr>
        <w:t>Comprehensiveness of publicly published general government reporting (transparency);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5C0E14" w14:paraId="466EFA13" w14:textId="77777777" w:rsidTr="002B77A4">
        <w:trPr>
          <w:trHeight w:val="395"/>
        </w:trPr>
        <w:tc>
          <w:tcPr>
            <w:tcW w:w="4608" w:type="dxa"/>
            <w:shd w:val="clear" w:color="auto" w:fill="E8E8E8"/>
          </w:tcPr>
          <w:p w14:paraId="6C8FE4AB"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Baseline 2022</w:t>
            </w:r>
          </w:p>
        </w:tc>
        <w:tc>
          <w:tcPr>
            <w:tcW w:w="4608" w:type="dxa"/>
            <w:shd w:val="clear" w:color="auto" w:fill="E8E8E8"/>
          </w:tcPr>
          <w:p w14:paraId="674468A2"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Target 2027</w:t>
            </w:r>
          </w:p>
        </w:tc>
      </w:tr>
      <w:tr w:rsidR="00460ED3" w:rsidRPr="005C0E14" w14:paraId="6F2DBE19" w14:textId="77777777" w:rsidTr="002B77A4">
        <w:trPr>
          <w:trHeight w:val="278"/>
        </w:trPr>
        <w:tc>
          <w:tcPr>
            <w:tcW w:w="4608" w:type="dxa"/>
            <w:shd w:val="clear" w:color="auto" w:fill="E8E8E8"/>
          </w:tcPr>
          <w:p w14:paraId="2A7C81F8" w14:textId="5FD2861E" w:rsidR="00460ED3" w:rsidRPr="005C0E14" w:rsidRDefault="00306ADD" w:rsidP="002B77A4">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Annual Budget preparation and budget execution reports do not cover all relevant institutions in accordance with international standards (ESA 2010 and GFS)</w:t>
            </w:r>
          </w:p>
        </w:tc>
        <w:tc>
          <w:tcPr>
            <w:tcW w:w="4608" w:type="dxa"/>
            <w:shd w:val="clear" w:color="auto" w:fill="E8E8E8"/>
          </w:tcPr>
          <w:p w14:paraId="0592E37C" w14:textId="02322D28" w:rsidR="00460ED3" w:rsidRPr="005C0E14" w:rsidRDefault="00306ADD" w:rsidP="002B77A4">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Regulatory agencies</w:t>
            </w:r>
            <w:r w:rsidR="0093115D">
              <w:rPr>
                <w:rFonts w:eastAsia="Times New Roman" w:cs="Calibri"/>
                <w:color w:val="202124"/>
                <w:sz w:val="20"/>
                <w:szCs w:val="20"/>
                <w:lang w:val="en-US"/>
              </w:rPr>
              <w:t xml:space="preserve"> and </w:t>
            </w:r>
            <w:r w:rsidRPr="005C0E14">
              <w:rPr>
                <w:rFonts w:eastAsia="Times New Roman" w:cs="Calibri"/>
                <w:color w:val="202124"/>
                <w:sz w:val="20"/>
                <w:szCs w:val="20"/>
                <w:lang w:val="en-US"/>
              </w:rPr>
              <w:t>PEs are included as part of the budget preparation and execution reports through the new IFMIS, in line with new PE Registry.</w:t>
            </w:r>
          </w:p>
        </w:tc>
      </w:tr>
    </w:tbl>
    <w:p w14:paraId="48E2ABCF" w14:textId="77777777" w:rsidR="00460ED3" w:rsidRPr="008C761D" w:rsidRDefault="00460ED3" w:rsidP="00460ED3">
      <w:pPr>
        <w:spacing w:after="60" w:line="240" w:lineRule="auto"/>
        <w:ind w:left="720"/>
        <w:jc w:val="both"/>
        <w:rPr>
          <w:rFonts w:eastAsia="MS PGothic" w:cs="Calibri"/>
          <w:lang w:val="en-US" w:eastAsia="zh-CN"/>
        </w:rPr>
      </w:pPr>
    </w:p>
    <w:p w14:paraId="3AE5FF3D" w14:textId="77777777" w:rsidR="00890621" w:rsidRPr="008C761D" w:rsidRDefault="00890621" w:rsidP="003A338C">
      <w:pPr>
        <w:numPr>
          <w:ilvl w:val="0"/>
          <w:numId w:val="16"/>
        </w:numPr>
        <w:spacing w:after="60" w:line="240" w:lineRule="auto"/>
        <w:jc w:val="both"/>
        <w:rPr>
          <w:rFonts w:eastAsia="MS PGothic" w:cs="Calibri"/>
          <w:lang w:val="en-US" w:eastAsia="zh-CN"/>
        </w:rPr>
      </w:pPr>
      <w:r w:rsidRPr="008C761D">
        <w:rPr>
          <w:rFonts w:eastAsia="MS PGothic" w:cs="Calibri"/>
          <w:lang w:val="en-US" w:eastAsia="zh-CN"/>
        </w:rPr>
        <w:t>Open Budget Index Score (transparency) increased.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5C0E14" w14:paraId="3A26050A" w14:textId="77777777" w:rsidTr="002B77A4">
        <w:trPr>
          <w:trHeight w:val="395"/>
        </w:trPr>
        <w:tc>
          <w:tcPr>
            <w:tcW w:w="4608" w:type="dxa"/>
            <w:shd w:val="clear" w:color="auto" w:fill="E8E8E8"/>
          </w:tcPr>
          <w:p w14:paraId="247D953D"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Baseline 2022</w:t>
            </w:r>
          </w:p>
        </w:tc>
        <w:tc>
          <w:tcPr>
            <w:tcW w:w="4608" w:type="dxa"/>
            <w:shd w:val="clear" w:color="auto" w:fill="E8E8E8"/>
          </w:tcPr>
          <w:p w14:paraId="00D302FB"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Target 2027</w:t>
            </w:r>
          </w:p>
        </w:tc>
      </w:tr>
      <w:tr w:rsidR="00460ED3" w:rsidRPr="005C0E14" w14:paraId="70E6C5E7" w14:textId="77777777" w:rsidTr="002B77A4">
        <w:trPr>
          <w:trHeight w:val="278"/>
        </w:trPr>
        <w:tc>
          <w:tcPr>
            <w:tcW w:w="4608" w:type="dxa"/>
            <w:shd w:val="clear" w:color="auto" w:fill="E8E8E8"/>
          </w:tcPr>
          <w:p w14:paraId="5F9C30C4" w14:textId="2261955F" w:rsidR="00460ED3" w:rsidRPr="005C0E14" w:rsidRDefault="00306ADD" w:rsidP="00D21537">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Open Budget Index Score (transparency) increased</w:t>
            </w:r>
          </w:p>
        </w:tc>
        <w:tc>
          <w:tcPr>
            <w:tcW w:w="4608" w:type="dxa"/>
            <w:shd w:val="clear" w:color="auto" w:fill="E8E8E8"/>
          </w:tcPr>
          <w:p w14:paraId="0607B63C" w14:textId="58CB18F6" w:rsidR="00460ED3" w:rsidRPr="005C0E14" w:rsidRDefault="00D21537" w:rsidP="002B77A4">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 xml:space="preserve">61 </w:t>
            </w:r>
            <w:r w:rsidR="00514D12" w:rsidRPr="005C0E14">
              <w:rPr>
                <w:rFonts w:eastAsia="Times New Roman" w:cs="Calibri"/>
                <w:color w:val="202124"/>
                <w:sz w:val="20"/>
                <w:szCs w:val="20"/>
                <w:lang w:val="en-US"/>
              </w:rPr>
              <w:t>out of</w:t>
            </w:r>
            <w:r w:rsidRPr="005C0E14">
              <w:rPr>
                <w:rFonts w:eastAsia="Times New Roman" w:cs="Calibri"/>
                <w:color w:val="202124"/>
                <w:sz w:val="20"/>
                <w:szCs w:val="20"/>
                <w:lang w:val="en-US"/>
              </w:rPr>
              <w:t xml:space="preserve"> 100 (2025)</w:t>
            </w:r>
          </w:p>
        </w:tc>
      </w:tr>
    </w:tbl>
    <w:p w14:paraId="60433244" w14:textId="77777777" w:rsidR="00460ED3" w:rsidRPr="008C761D" w:rsidRDefault="00460ED3" w:rsidP="00460ED3">
      <w:pPr>
        <w:spacing w:after="60" w:line="240" w:lineRule="auto"/>
        <w:ind w:left="720"/>
        <w:jc w:val="both"/>
        <w:rPr>
          <w:rFonts w:eastAsia="MS PGothic" w:cs="Calibri"/>
          <w:lang w:val="en-US" w:eastAsia="zh-CN"/>
        </w:rPr>
      </w:pPr>
    </w:p>
    <w:p w14:paraId="0CEC4495" w14:textId="77777777" w:rsidR="003C20E4" w:rsidRPr="008C761D" w:rsidRDefault="001E2302" w:rsidP="00CE2DF4">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assessment findings: </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05"/>
        <w:gridCol w:w="8157"/>
      </w:tblGrid>
      <w:tr w:rsidR="00890621" w:rsidRPr="005C0E14" w14:paraId="1FA32A4C" w14:textId="77777777" w:rsidTr="00555720">
        <w:tc>
          <w:tcPr>
            <w:tcW w:w="1005" w:type="dxa"/>
            <w:shd w:val="clear" w:color="auto" w:fill="DDDDDD"/>
            <w:vAlign w:val="center"/>
          </w:tcPr>
          <w:p w14:paraId="5F0FAE7E" w14:textId="77777777" w:rsidR="00890621" w:rsidRPr="00555720" w:rsidRDefault="00890621" w:rsidP="006213A5">
            <w:pPr>
              <w:spacing w:before="60" w:after="60" w:line="240" w:lineRule="auto"/>
              <w:jc w:val="both"/>
              <w:rPr>
                <w:rFonts w:cs="Calibri"/>
                <w:b/>
                <w:sz w:val="20"/>
                <w:szCs w:val="20"/>
                <w:lang w:val="en-US"/>
              </w:rPr>
            </w:pPr>
            <w:r w:rsidRPr="00555720">
              <w:rPr>
                <w:rFonts w:cs="Calibri"/>
                <w:b/>
                <w:sz w:val="20"/>
                <w:szCs w:val="20"/>
                <w:lang w:val="en-US"/>
              </w:rPr>
              <w:t>WB:</w:t>
            </w:r>
          </w:p>
        </w:tc>
        <w:tc>
          <w:tcPr>
            <w:tcW w:w="8157" w:type="dxa"/>
            <w:shd w:val="clear" w:color="auto" w:fill="DDDDDD"/>
            <w:vAlign w:val="center"/>
          </w:tcPr>
          <w:p w14:paraId="77A5F19C" w14:textId="5D5FA6C3" w:rsidR="00890621" w:rsidRPr="005C0E14" w:rsidRDefault="00514D12" w:rsidP="006213A5">
            <w:pPr>
              <w:spacing w:after="0" w:line="240" w:lineRule="auto"/>
              <w:jc w:val="both"/>
              <w:rPr>
                <w:rFonts w:eastAsia="Times New Roman" w:cs="Calibri"/>
                <w:sz w:val="20"/>
                <w:szCs w:val="20"/>
                <w:lang w:val="en-US" w:eastAsia="mk-MK"/>
              </w:rPr>
            </w:pPr>
            <w:r>
              <w:rPr>
                <w:rFonts w:eastAsia="Times New Roman" w:cs="Calibri"/>
                <w:sz w:val="20"/>
                <w:szCs w:val="20"/>
                <w:lang w:val="en-US" w:eastAsia="mk-MK"/>
              </w:rPr>
              <w:t>World Bank,</w:t>
            </w:r>
            <w:r w:rsidR="00890621" w:rsidRPr="005C0E14">
              <w:rPr>
                <w:rFonts w:eastAsia="Times New Roman" w:cs="Calibri"/>
                <w:sz w:val="20"/>
                <w:szCs w:val="20"/>
                <w:lang w:val="en-US" w:eastAsia="mk-MK"/>
              </w:rPr>
              <w:t> </w:t>
            </w:r>
            <w:r w:rsidR="00890621" w:rsidRPr="005C0E14">
              <w:rPr>
                <w:rFonts w:eastAsia="Times New Roman" w:cs="Calibri"/>
                <w:i/>
                <w:iCs/>
                <w:sz w:val="20"/>
                <w:szCs w:val="20"/>
                <w:lang w:val="en-US" w:eastAsia="mk-MK"/>
              </w:rPr>
              <w:t>Technical Assistance on Organic Budget Law (P168027), Functional and Technical Requirements</w:t>
            </w:r>
          </w:p>
          <w:p w14:paraId="3432E5B5" w14:textId="77777777" w:rsidR="00890621" w:rsidRPr="005C0E14" w:rsidRDefault="00890621" w:rsidP="006213A5">
            <w:pPr>
              <w:spacing w:before="60" w:after="60" w:line="240" w:lineRule="auto"/>
              <w:jc w:val="both"/>
              <w:rPr>
                <w:rFonts w:cs="Calibri"/>
                <w:sz w:val="20"/>
                <w:szCs w:val="20"/>
                <w:lang w:val="en-US"/>
              </w:rPr>
            </w:pPr>
            <w:r w:rsidRPr="005C0E14">
              <w:rPr>
                <w:rFonts w:eastAsia="Times New Roman" w:cs="Calibri"/>
                <w:sz w:val="20"/>
                <w:szCs w:val="20"/>
                <w:lang w:val="en-US" w:eastAsia="mk-MK"/>
              </w:rPr>
              <w:t>The main objective of IFMIS development is to improve the efficiency of PFM operations by transitioning from existing fragmented and disconnected systems to a centralized web-based shared platform benefiting from the latest digital technologies</w:t>
            </w:r>
          </w:p>
        </w:tc>
      </w:tr>
    </w:tbl>
    <w:p w14:paraId="519A5B68" w14:textId="77777777" w:rsidR="00890621" w:rsidRPr="008C761D" w:rsidRDefault="00890621" w:rsidP="00E84CD0">
      <w:pPr>
        <w:spacing w:line="240" w:lineRule="auto"/>
        <w:jc w:val="both"/>
        <w:rPr>
          <w:rFonts w:cs="Calibri"/>
          <w:b/>
          <w:bCs/>
          <w:iCs/>
          <w:color w:val="0070C0"/>
          <w:sz w:val="24"/>
          <w:szCs w:val="24"/>
          <w:lang w:val="en-US"/>
        </w:rPr>
      </w:pPr>
    </w:p>
    <w:p w14:paraId="29B18EA8" w14:textId="77777777" w:rsidR="00890621" w:rsidRPr="008C761D" w:rsidRDefault="00890621" w:rsidP="00890621">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Context / Background</w:t>
      </w:r>
    </w:p>
    <w:p w14:paraId="1BBA8FC3" w14:textId="77777777" w:rsidR="00890621" w:rsidRPr="008C761D" w:rsidRDefault="00890621" w:rsidP="00890621">
      <w:pPr>
        <w:spacing w:after="0"/>
        <w:jc w:val="both"/>
        <w:rPr>
          <w:rFonts w:eastAsia="MS PGothic" w:cs="Calibri"/>
          <w:lang w:val="en-US" w:eastAsia="zh-CN"/>
        </w:rPr>
      </w:pPr>
      <w:r w:rsidRPr="008C761D">
        <w:rPr>
          <w:rFonts w:eastAsia="MS PGothic" w:cs="Calibri"/>
          <w:lang w:val="en-US" w:eastAsia="zh-CN"/>
        </w:rPr>
        <w:t>In the domain of Public Financial Management (PFM) reforms, progress since 2018 has been notable. However, a significant challenge arises from the absence of an integrated financial management information system (IFMIS), particularly in the context of implementing the new Organic Budget Law (OBL). The OBL's execution necessitates comprehensive adjustments to the entire PFM framework, spanning institutional structures, secondary regulations, processes, and systems. Its impact extends across the public sector, influencing management and staff practices. The successful implementation of OBL relies heavily on the establishment of IFMIS, crucial for enhancing the Ministry of Finance's performance in core PFM functions like budget planning and execution, public debt and asset management, monitoring public investments, data analytics, and business intelligence. This phase also presents an opportunity to integrate climate change and gender considerations into the budget process and associated systems.</w:t>
      </w:r>
    </w:p>
    <w:p w14:paraId="5F29DF50" w14:textId="77777777" w:rsidR="00890621" w:rsidRPr="008C761D" w:rsidRDefault="00890621" w:rsidP="00890621">
      <w:pPr>
        <w:spacing w:after="0"/>
        <w:jc w:val="both"/>
        <w:rPr>
          <w:rFonts w:eastAsia="MS PGothic" w:cs="Calibri"/>
          <w:lang w:val="en-US" w:eastAsia="zh-CN"/>
        </w:rPr>
      </w:pPr>
      <w:r w:rsidRPr="008C761D">
        <w:rPr>
          <w:rFonts w:eastAsia="MS PGothic" w:cs="Calibri"/>
          <w:lang w:val="en-US" w:eastAsia="zh-CN"/>
        </w:rPr>
        <w:t>The government, with support from the World Bank, has been actively evaluating PFM processes and systems since 2019 under the Organic Budget Law Technical Assistance ASA (P168027). The focus has been on comparing IFMIS implementation options and aligning detailed requirements with reform priorities. With this foundation, the government is now prepared to advance to the implementation stage.</w:t>
      </w:r>
    </w:p>
    <w:p w14:paraId="6468F819" w14:textId="77777777" w:rsidR="00165379" w:rsidRPr="008C761D" w:rsidRDefault="00165379" w:rsidP="00165379">
      <w:pPr>
        <w:spacing w:after="0"/>
        <w:jc w:val="both"/>
        <w:rPr>
          <w:rFonts w:eastAsia="MS PGothic" w:cs="Calibri"/>
          <w:lang w:val="en-US" w:eastAsia="zh-CN"/>
        </w:rPr>
      </w:pPr>
      <w:r w:rsidRPr="008C761D">
        <w:rPr>
          <w:rFonts w:eastAsia="MS PGothic" w:cs="Calibri"/>
          <w:lang w:val="en-US" w:eastAsia="zh-CN"/>
        </w:rPr>
        <w:t>In selecting the IFMIS development model, the Ministry of Finance opted for a custom software solution after careful consideration of global practices. The chosen approach provides flexibility for country-specific customization, integrates 15 modules supporting various PFM functions, ensures ownership of the source code for future maintenance, aligns with reform timelines, and promises lower development and maintenance costs.</w:t>
      </w:r>
    </w:p>
    <w:p w14:paraId="2A02B079" w14:textId="77777777" w:rsidR="00165379" w:rsidRPr="008C761D" w:rsidRDefault="00165379" w:rsidP="00165379">
      <w:pPr>
        <w:spacing w:after="0"/>
        <w:jc w:val="both"/>
        <w:rPr>
          <w:rFonts w:eastAsia="MS PGothic" w:cs="Calibri"/>
          <w:lang w:val="en-US" w:eastAsia="zh-CN"/>
        </w:rPr>
      </w:pPr>
      <w:r w:rsidRPr="008C761D">
        <w:rPr>
          <w:rFonts w:eastAsia="MS PGothic" w:cs="Calibri"/>
          <w:lang w:val="en-US" w:eastAsia="zh-CN"/>
        </w:rPr>
        <w:t>The IFMIS will be a centralized web-based platform supporting decentralized operations for approximately 1,400 central and local budget entities. These include state budget users, municipality entities, and public enterprises, totaling around 6,000 users. The system aims to optimize PFM functions, offering reliable access through a web portal while allowing certain functions to be decentralized but connected to the shared platform.</w:t>
      </w:r>
    </w:p>
    <w:p w14:paraId="54FD36D3" w14:textId="0693301A" w:rsidR="00890621" w:rsidRDefault="00165379" w:rsidP="005C0E14">
      <w:pPr>
        <w:spacing w:after="0"/>
        <w:jc w:val="both"/>
        <w:rPr>
          <w:rFonts w:eastAsia="MS PGothic" w:cs="Calibri"/>
          <w:lang w:val="en-US" w:eastAsia="zh-CN"/>
        </w:rPr>
      </w:pPr>
      <w:r w:rsidRPr="008C761D">
        <w:rPr>
          <w:rFonts w:eastAsia="MS PGothic" w:cs="Calibri"/>
          <w:lang w:val="en-US" w:eastAsia="zh-CN"/>
        </w:rPr>
        <w:t>Recognizing the cross-cutting implications of change management, successful implementation of OBL and IFMIS requires strengthening the Ministry of Finance's capacity for inter-institutional coordination, addressing resistance to procedural changes, and providing middle management with better control over</w:t>
      </w:r>
      <w:r w:rsidR="005C0E14">
        <w:rPr>
          <w:rFonts w:eastAsia="MS PGothic" w:cs="Calibri"/>
          <w:lang w:val="en-US" w:eastAsia="zh-CN"/>
        </w:rPr>
        <w:t xml:space="preserve"> the pace and scope of reforms.</w:t>
      </w:r>
    </w:p>
    <w:p w14:paraId="57A91C67" w14:textId="77777777" w:rsidR="005C0E14" w:rsidRPr="005C0E14" w:rsidRDefault="005C0E14" w:rsidP="005C0E14">
      <w:pPr>
        <w:spacing w:after="0"/>
        <w:jc w:val="both"/>
        <w:rPr>
          <w:rFonts w:eastAsia="MS PGothic" w:cs="Calibri"/>
          <w:lang w:val="en-US" w:eastAsia="zh-CN"/>
        </w:rPr>
      </w:pPr>
    </w:p>
    <w:p w14:paraId="112D2EFF" w14:textId="1BDA5AAF" w:rsidR="00CE7C42" w:rsidRPr="00356610" w:rsidRDefault="008D1B70" w:rsidP="00E84CD0">
      <w:pPr>
        <w:spacing w:line="240" w:lineRule="auto"/>
        <w:jc w:val="both"/>
        <w:rPr>
          <w:rFonts w:cs="Calibri"/>
          <w:b/>
          <w:bCs/>
          <w:iCs/>
          <w:color w:val="0070C0"/>
          <w:sz w:val="24"/>
          <w:szCs w:val="24"/>
          <w:lang w:val="en-US"/>
        </w:rPr>
      </w:pPr>
      <w:r w:rsidRPr="00356610">
        <w:rPr>
          <w:rFonts w:cs="Calibri"/>
          <w:b/>
          <w:bCs/>
          <w:iCs/>
          <w:color w:val="0070C0"/>
          <w:sz w:val="24"/>
          <w:szCs w:val="24"/>
          <w:lang w:val="en-US"/>
        </w:rPr>
        <w:t>Measure 1:</w:t>
      </w:r>
      <w:r w:rsidR="00356610">
        <w:rPr>
          <w:rFonts w:cs="Calibri"/>
          <w:b/>
          <w:bCs/>
          <w:iCs/>
          <w:color w:val="0070C0"/>
          <w:sz w:val="24"/>
          <w:szCs w:val="24"/>
          <w:lang w:val="en-US"/>
        </w:rPr>
        <w:t xml:space="preserve"> </w:t>
      </w:r>
      <w:r w:rsidR="00165379" w:rsidRPr="00356610">
        <w:rPr>
          <w:rFonts w:cs="Calibri"/>
          <w:b/>
          <w:bCs/>
          <w:iCs/>
          <w:color w:val="0070C0"/>
          <w:sz w:val="24"/>
          <w:szCs w:val="24"/>
          <w:lang w:val="en-US"/>
        </w:rPr>
        <w:t>Development of IFMIS as an integrated centralized web-based system</w:t>
      </w:r>
    </w:p>
    <w:p w14:paraId="0D70A729" w14:textId="77777777" w:rsidR="008D1B70" w:rsidRPr="008C761D" w:rsidRDefault="008D1B70" w:rsidP="00165379">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35C97E0D" w14:textId="7FC5871D" w:rsidR="00165379" w:rsidRPr="008C761D" w:rsidRDefault="00165379" w:rsidP="00165379">
      <w:pPr>
        <w:keepNext/>
        <w:keepLines/>
        <w:spacing w:after="120" w:line="240" w:lineRule="auto"/>
        <w:jc w:val="both"/>
        <w:outlineLvl w:val="3"/>
        <w:rPr>
          <w:rFonts w:eastAsia="MS PGothic" w:cs="Calibri"/>
          <w:lang w:val="en-US" w:eastAsia="zh-CN"/>
        </w:rPr>
      </w:pPr>
      <w:r w:rsidRPr="008C761D">
        <w:rPr>
          <w:rFonts w:eastAsia="MS PGothic" w:cs="Calibri"/>
          <w:lang w:val="en-US" w:eastAsia="zh-CN"/>
        </w:rPr>
        <w:t>This measure will focus on the development of new</w:t>
      </w:r>
      <w:r w:rsidR="0093115D">
        <w:rPr>
          <w:rFonts w:eastAsia="MS PGothic" w:cs="Calibri"/>
          <w:lang w:val="en-US" w:eastAsia="zh-CN"/>
        </w:rPr>
        <w:t xml:space="preserve"> integrated</w:t>
      </w:r>
      <w:r w:rsidRPr="008C761D">
        <w:rPr>
          <w:rFonts w:eastAsia="MS PGothic" w:cs="Calibri"/>
          <w:lang w:val="en-US" w:eastAsia="zh-CN"/>
        </w:rPr>
        <w:t xml:space="preserve"> software</w:t>
      </w:r>
      <w:r w:rsidR="0093115D">
        <w:rPr>
          <w:rFonts w:eastAsia="MS PGothic" w:cs="Calibri"/>
          <w:lang w:val="en-US" w:eastAsia="zh-CN"/>
        </w:rPr>
        <w:t xml:space="preserve"> </w:t>
      </w:r>
      <w:proofErr w:type="gramStart"/>
      <w:r w:rsidR="0093115D">
        <w:rPr>
          <w:rFonts w:eastAsia="MS PGothic" w:cs="Calibri"/>
          <w:lang w:val="en-US" w:eastAsia="zh-CN"/>
        </w:rPr>
        <w:t>solution(</w:t>
      </w:r>
      <w:proofErr w:type="gramEnd"/>
      <w:r w:rsidR="0093115D">
        <w:rPr>
          <w:rFonts w:eastAsia="MS PGothic" w:cs="Calibri"/>
          <w:lang w:val="en-US" w:eastAsia="zh-CN"/>
        </w:rPr>
        <w:t>IFMIS)</w:t>
      </w:r>
      <w:r w:rsidRPr="008C761D">
        <w:rPr>
          <w:rFonts w:eastAsia="MS PGothic" w:cs="Calibri"/>
          <w:lang w:val="en-US" w:eastAsia="zh-CN"/>
        </w:rPr>
        <w:t xml:space="preserve"> and relevant GovTech solutions to operationalize the OBL, as well as </w:t>
      </w:r>
      <w:r w:rsidR="0093115D">
        <w:rPr>
          <w:rFonts w:eastAsia="MS PGothic" w:cs="Calibri"/>
          <w:lang w:val="en-US" w:eastAsia="zh-CN"/>
        </w:rPr>
        <w:t xml:space="preserve">to </w:t>
      </w:r>
      <w:r w:rsidRPr="008C761D">
        <w:rPr>
          <w:rFonts w:eastAsia="MS PGothic" w:cs="Calibri"/>
          <w:lang w:val="en-US" w:eastAsia="zh-CN"/>
        </w:rPr>
        <w:t xml:space="preserve">enhanced PFM processes. </w:t>
      </w:r>
    </w:p>
    <w:p w14:paraId="0DF58E5E" w14:textId="77777777" w:rsidR="001E2302" w:rsidRPr="00356610" w:rsidRDefault="001E2302" w:rsidP="00356610">
      <w:pPr>
        <w:spacing w:line="240" w:lineRule="auto"/>
        <w:jc w:val="both"/>
        <w:rPr>
          <w:rFonts w:cs="Calibri"/>
          <w:b/>
          <w:bCs/>
          <w:iCs/>
          <w:color w:val="0070C0"/>
          <w:sz w:val="24"/>
          <w:szCs w:val="24"/>
          <w:lang w:val="en-US"/>
        </w:rPr>
      </w:pPr>
      <w:r w:rsidRPr="00356610">
        <w:rPr>
          <w:rFonts w:cs="Calibri"/>
          <w:b/>
          <w:bCs/>
          <w:iCs/>
          <w:color w:val="0070C0"/>
          <w:sz w:val="24"/>
          <w:szCs w:val="24"/>
          <w:lang w:val="en-US"/>
        </w:rPr>
        <w:t>Activity 1: Selection of IFMIS Solution Provider</w:t>
      </w:r>
    </w:p>
    <w:p w14:paraId="3BA5F0D7" w14:textId="0A001819" w:rsidR="0093115D" w:rsidRDefault="0093115D" w:rsidP="0093115D">
      <w:pPr>
        <w:spacing w:before="100" w:beforeAutospacing="1" w:after="100" w:afterAutospacing="1" w:line="240" w:lineRule="auto"/>
        <w:jc w:val="both"/>
        <w:rPr>
          <w:rFonts w:eastAsia="MS PGothic" w:cs="Calibri"/>
          <w:lang w:val="en-US" w:eastAsia="zh-CN"/>
        </w:rPr>
      </w:pPr>
      <w:r w:rsidRPr="008C761D">
        <w:rPr>
          <w:rFonts w:eastAsia="MS PGothic" w:cs="Calibri"/>
          <w:lang w:val="en-US" w:eastAsia="zh-CN"/>
        </w:rPr>
        <w:t xml:space="preserve">This activity implies </w:t>
      </w:r>
      <w:r>
        <w:rPr>
          <w:rFonts w:eastAsia="MS PGothic" w:cs="Calibri"/>
          <w:lang w:val="en-US" w:eastAsia="zh-CN"/>
        </w:rPr>
        <w:t>the</w:t>
      </w:r>
      <w:r w:rsidRPr="008C761D">
        <w:rPr>
          <w:rFonts w:eastAsia="MS PGothic" w:cs="Calibri"/>
          <w:lang w:val="en-US" w:eastAsia="zh-CN"/>
        </w:rPr>
        <w:t xml:space="preserve"> selection of </w:t>
      </w:r>
      <w:r>
        <w:rPr>
          <w:rFonts w:eastAsia="MS PGothic" w:cs="Calibri"/>
          <w:lang w:val="en-US" w:eastAsia="zh-CN"/>
        </w:rPr>
        <w:t>an economic operator for the development and design of IFMIS, which</w:t>
      </w:r>
      <w:r w:rsidRPr="008C761D">
        <w:rPr>
          <w:rFonts w:eastAsia="MS PGothic" w:cs="Calibri"/>
          <w:lang w:val="en-US" w:eastAsia="zh-CN"/>
        </w:rPr>
        <w:t xml:space="preserve"> involves </w:t>
      </w:r>
      <w:r>
        <w:rPr>
          <w:rFonts w:eastAsia="MS PGothic" w:cs="Calibri"/>
          <w:lang w:val="en-US" w:eastAsia="zh-CN"/>
        </w:rPr>
        <w:t xml:space="preserve">the </w:t>
      </w:r>
      <w:r w:rsidRPr="008C761D">
        <w:rPr>
          <w:rFonts w:eastAsia="MS PGothic" w:cs="Calibri"/>
          <w:lang w:val="en-US" w:eastAsia="zh-CN"/>
        </w:rPr>
        <w:t>evaluati</w:t>
      </w:r>
      <w:r>
        <w:rPr>
          <w:rFonts w:eastAsia="MS PGothic" w:cs="Calibri"/>
          <w:lang w:val="en-US" w:eastAsia="zh-CN"/>
        </w:rPr>
        <w:t>on of</w:t>
      </w:r>
      <w:r w:rsidRPr="008C761D">
        <w:rPr>
          <w:rFonts w:eastAsia="MS PGothic" w:cs="Calibri"/>
          <w:lang w:val="en-US" w:eastAsia="zh-CN"/>
        </w:rPr>
        <w:t xml:space="preserve"> potential </w:t>
      </w:r>
      <w:r>
        <w:rPr>
          <w:rFonts w:eastAsia="MS PGothic" w:cs="Calibri"/>
          <w:lang w:val="en-US" w:eastAsia="zh-CN"/>
        </w:rPr>
        <w:t xml:space="preserve">bidders in a </w:t>
      </w:r>
      <w:r w:rsidRPr="00387351">
        <w:rPr>
          <w:rFonts w:eastAsia="MS PGothic" w:cs="Calibri"/>
          <w:lang w:val="en-US" w:eastAsia="zh-CN"/>
        </w:rPr>
        <w:t>competitive procedure</w:t>
      </w:r>
      <w:r w:rsidRPr="008C761D">
        <w:rPr>
          <w:rFonts w:eastAsia="MS PGothic" w:cs="Calibri"/>
          <w:lang w:val="en-US" w:eastAsia="zh-CN"/>
        </w:rPr>
        <w:t xml:space="preserve">, </w:t>
      </w:r>
      <w:r>
        <w:rPr>
          <w:rFonts w:eastAsia="MS PGothic" w:cs="Calibri"/>
          <w:lang w:val="en-US" w:eastAsia="zh-CN"/>
        </w:rPr>
        <w:t xml:space="preserve">and the selection of a bidder whose qualifications and offer (in terms </w:t>
      </w:r>
      <w:r w:rsidRPr="00387351">
        <w:rPr>
          <w:rFonts w:eastAsia="MS PGothic" w:cs="Calibri"/>
          <w:lang w:val="en-US" w:eastAsia="zh-CN"/>
        </w:rPr>
        <w:t xml:space="preserve">of price and quality) </w:t>
      </w:r>
      <w:r>
        <w:rPr>
          <w:rFonts w:eastAsia="MS PGothic" w:cs="Calibri"/>
          <w:lang w:val="en-US" w:eastAsia="zh-CN"/>
        </w:rPr>
        <w:t>follow</w:t>
      </w:r>
      <w:r w:rsidRPr="00387351">
        <w:rPr>
          <w:rFonts w:eastAsia="MS PGothic" w:cs="Calibri"/>
          <w:lang w:val="en-US" w:eastAsia="zh-CN"/>
        </w:rPr>
        <w:t xml:space="preserve"> the IFMIS functional and technical requirements</w:t>
      </w:r>
      <w:r>
        <w:rPr>
          <w:rFonts w:eastAsia="MS PGothic" w:cs="Calibri"/>
          <w:lang w:val="en-US" w:eastAsia="zh-CN"/>
        </w:rPr>
        <w:t>.</w:t>
      </w:r>
    </w:p>
    <w:p w14:paraId="22E1C610" w14:textId="77777777" w:rsidR="00165379" w:rsidRPr="00356610" w:rsidRDefault="00165379" w:rsidP="00356610">
      <w:pPr>
        <w:spacing w:line="240" w:lineRule="auto"/>
        <w:jc w:val="both"/>
        <w:rPr>
          <w:rFonts w:cs="Calibri"/>
          <w:b/>
          <w:bCs/>
          <w:iCs/>
          <w:color w:val="0070C0"/>
          <w:sz w:val="24"/>
          <w:szCs w:val="24"/>
          <w:lang w:val="en-US"/>
        </w:rPr>
      </w:pPr>
      <w:r w:rsidRPr="00356610">
        <w:rPr>
          <w:rFonts w:cs="Calibri"/>
          <w:b/>
          <w:bCs/>
          <w:iCs/>
          <w:color w:val="0070C0"/>
          <w:sz w:val="24"/>
          <w:szCs w:val="24"/>
          <w:lang w:val="en-US"/>
        </w:rPr>
        <w:t>Activity 2: Development of IFMIS modules and installation of hardware system and interfaces</w:t>
      </w:r>
    </w:p>
    <w:p w14:paraId="0BC2ABF7" w14:textId="61002034" w:rsidR="0093115D" w:rsidRDefault="0093115D" w:rsidP="00356610">
      <w:pPr>
        <w:spacing w:line="240" w:lineRule="auto"/>
        <w:jc w:val="both"/>
        <w:rPr>
          <w:rFonts w:eastAsia="MS PGothic" w:cs="Calibri"/>
          <w:lang w:val="en-US" w:eastAsia="zh-CN"/>
        </w:rPr>
      </w:pPr>
      <w:r>
        <w:rPr>
          <w:rFonts w:eastAsia="MS PGothic" w:cs="Calibri"/>
          <w:lang w:val="en-US" w:eastAsia="zh-CN"/>
        </w:rPr>
        <w:lastRenderedPageBreak/>
        <w:t>T</w:t>
      </w:r>
      <w:r w:rsidRPr="008C761D">
        <w:rPr>
          <w:rFonts w:eastAsia="MS PGothic" w:cs="Calibri"/>
          <w:lang w:val="en-US" w:eastAsia="zh-CN"/>
        </w:rPr>
        <w:t xml:space="preserve">his activity involves the development of IFMIS based on a web-based custom software including capabilities for climate and gender tagging of expenditures, a data warehouse, and interfaces with other government </w:t>
      </w:r>
      <w:proofErr w:type="gramStart"/>
      <w:r w:rsidRPr="008C761D">
        <w:rPr>
          <w:rFonts w:eastAsia="MS PGothic" w:cs="Calibri"/>
          <w:lang w:val="en-US" w:eastAsia="zh-CN"/>
        </w:rPr>
        <w:t>systems</w:t>
      </w:r>
      <w:r>
        <w:rPr>
          <w:rFonts w:eastAsia="MS PGothic" w:cs="Calibri"/>
          <w:lang w:val="en-US" w:eastAsia="zh-CN"/>
        </w:rPr>
        <w:t xml:space="preserve"> </w:t>
      </w:r>
      <w:r w:rsidRPr="008C761D">
        <w:rPr>
          <w:rFonts w:eastAsia="MS PGothic" w:cs="Calibri"/>
          <w:lang w:val="en-US" w:eastAsia="zh-CN"/>
        </w:rPr>
        <w:t xml:space="preserve"> to</w:t>
      </w:r>
      <w:proofErr w:type="gramEnd"/>
      <w:r w:rsidRPr="008C761D">
        <w:rPr>
          <w:rFonts w:eastAsia="MS PGothic" w:cs="Calibri"/>
          <w:lang w:val="en-US" w:eastAsia="zh-CN"/>
        </w:rPr>
        <w:t xml:space="preserve"> improve budget planning, transparency, and accountability</w:t>
      </w:r>
    </w:p>
    <w:p w14:paraId="7A99C998" w14:textId="4DA69C30" w:rsidR="00165379" w:rsidRPr="00356610" w:rsidRDefault="00165379" w:rsidP="00356610">
      <w:pPr>
        <w:spacing w:line="240" w:lineRule="auto"/>
        <w:jc w:val="both"/>
        <w:rPr>
          <w:rFonts w:cs="Calibri"/>
          <w:b/>
          <w:bCs/>
          <w:iCs/>
          <w:color w:val="0070C0"/>
          <w:sz w:val="24"/>
          <w:szCs w:val="24"/>
          <w:lang w:val="en-US"/>
        </w:rPr>
      </w:pPr>
      <w:r w:rsidRPr="00356610">
        <w:rPr>
          <w:rFonts w:cs="Calibri"/>
          <w:b/>
          <w:bCs/>
          <w:iCs/>
          <w:color w:val="0070C0"/>
          <w:sz w:val="24"/>
          <w:szCs w:val="24"/>
          <w:lang w:val="en-US"/>
        </w:rPr>
        <w:t>Activity 3: IFMIS pilot implementation and operational acceptance</w:t>
      </w:r>
    </w:p>
    <w:p w14:paraId="1007649C" w14:textId="2787D441" w:rsidR="0093115D" w:rsidRDefault="0093115D" w:rsidP="0093115D">
      <w:pPr>
        <w:spacing w:after="0" w:line="240" w:lineRule="auto"/>
        <w:jc w:val="both"/>
        <w:rPr>
          <w:rFonts w:eastAsia="MS PGothic" w:cs="Calibri"/>
          <w:lang w:val="en-US" w:eastAsia="zh-CN"/>
        </w:rPr>
      </w:pPr>
      <w:r w:rsidRPr="008C761D">
        <w:rPr>
          <w:rFonts w:eastAsia="MS PGothic" w:cs="Calibri"/>
          <w:lang w:val="en-US" w:eastAsia="zh-CN"/>
        </w:rPr>
        <w:t>In this phase, a pilot implementation of the IFMIS is carried out to test its functionality and performance in a real-world environment. This activity includes</w:t>
      </w:r>
      <w:r>
        <w:rPr>
          <w:rFonts w:eastAsia="MS PGothic" w:cs="Calibri"/>
          <w:lang w:val="en-US" w:eastAsia="zh-CN"/>
        </w:rPr>
        <w:t xml:space="preserve"> </w:t>
      </w:r>
      <w:r w:rsidRPr="004112D1">
        <w:rPr>
          <w:rFonts w:eastAsia="MS PGothic" w:cs="Calibri"/>
          <w:lang w:val="en-US" w:eastAsia="zh-CN"/>
        </w:rPr>
        <w:t xml:space="preserve">feedback from the IFMIS pilot users aimed to identify and address any issues that may arise and need to be adjusted, before the full IFMIS rollout. </w:t>
      </w:r>
    </w:p>
    <w:p w14:paraId="06AB5E90" w14:textId="4886C615" w:rsidR="0093115D" w:rsidRDefault="0093115D" w:rsidP="0093115D">
      <w:pPr>
        <w:spacing w:after="0" w:line="240" w:lineRule="auto"/>
        <w:jc w:val="both"/>
        <w:rPr>
          <w:rFonts w:eastAsia="MS PGothic" w:cs="Calibri"/>
          <w:lang w:val="en-US" w:eastAsia="zh-CN"/>
        </w:rPr>
      </w:pPr>
      <w:r w:rsidRPr="008C761D">
        <w:rPr>
          <w:rFonts w:eastAsia="MS PGothic" w:cs="Calibri"/>
          <w:lang w:val="en-US" w:eastAsia="zh-CN"/>
        </w:rPr>
        <w:t xml:space="preserve">Operational acceptance </w:t>
      </w:r>
      <w:r>
        <w:rPr>
          <w:rFonts w:eastAsia="MS PGothic" w:cs="Calibri"/>
          <w:lang w:val="en-US" w:eastAsia="zh-CN"/>
        </w:rPr>
        <w:t>ensures</w:t>
      </w:r>
      <w:r w:rsidRPr="008C761D">
        <w:rPr>
          <w:rFonts w:eastAsia="MS PGothic" w:cs="Calibri"/>
          <w:lang w:val="en-US" w:eastAsia="zh-CN"/>
        </w:rPr>
        <w:t xml:space="preserve"> the system meets the </w:t>
      </w:r>
      <w:r>
        <w:rPr>
          <w:rFonts w:eastAsia="MS PGothic" w:cs="Calibri"/>
          <w:lang w:val="en-US" w:eastAsia="zh-CN"/>
        </w:rPr>
        <w:t xml:space="preserve">functional and </w:t>
      </w:r>
      <w:r w:rsidRPr="008C761D">
        <w:rPr>
          <w:rFonts w:eastAsia="MS PGothic" w:cs="Calibri"/>
          <w:lang w:val="en-US" w:eastAsia="zh-CN"/>
        </w:rPr>
        <w:t xml:space="preserve">technical requirements and is ready for full-scale implementation. </w:t>
      </w:r>
    </w:p>
    <w:p w14:paraId="47D6B30A" w14:textId="77777777" w:rsidR="000D6082" w:rsidRDefault="000D6082" w:rsidP="0093115D">
      <w:pPr>
        <w:spacing w:after="0" w:line="240" w:lineRule="auto"/>
        <w:jc w:val="both"/>
        <w:rPr>
          <w:rFonts w:eastAsia="MS PGothic" w:cs="Calibri"/>
          <w:lang w:val="en-US" w:eastAsia="zh-CN"/>
        </w:rPr>
      </w:pPr>
    </w:p>
    <w:p w14:paraId="621FBA47" w14:textId="3F374ECC" w:rsidR="000D6082" w:rsidRPr="000D6082" w:rsidRDefault="000D6082" w:rsidP="000D6082">
      <w:pPr>
        <w:keepNext/>
        <w:keepLines/>
        <w:spacing w:after="120" w:line="240" w:lineRule="auto"/>
        <w:jc w:val="both"/>
        <w:outlineLvl w:val="3"/>
        <w:rPr>
          <w:rFonts w:eastAsia="MS PGothic" w:cs="Calibri"/>
          <w:b/>
          <w:bCs/>
          <w:i/>
          <w:iCs/>
          <w:color w:val="4F81BD"/>
          <w:lang w:val="en-US" w:eastAsia="zh-CN"/>
        </w:rPr>
      </w:pPr>
      <w:r w:rsidRPr="000D6082">
        <w:rPr>
          <w:rFonts w:eastAsia="MS PGothic" w:cs="Calibri"/>
          <w:b/>
          <w:bCs/>
          <w:i/>
          <w:iCs/>
          <w:color w:val="4F81BD"/>
          <w:lang w:val="en-US" w:eastAsia="zh-CN"/>
        </w:rPr>
        <w:t>Implementation</w:t>
      </w:r>
    </w:p>
    <w:p w14:paraId="212FBB76" w14:textId="77777777" w:rsidR="000D6082" w:rsidRPr="000D6082" w:rsidRDefault="000D6082" w:rsidP="0093115D">
      <w:pPr>
        <w:spacing w:after="0" w:line="240" w:lineRule="auto"/>
        <w:jc w:val="both"/>
        <w:rPr>
          <w:rFonts w:eastAsia="MS PGothic" w:cs="Calibri"/>
          <w:sz w:val="10"/>
          <w:szCs w:val="10"/>
          <w:lang w:val="en-US" w:eastAsia="zh-CN"/>
        </w:rPr>
      </w:pP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1E2302" w:rsidRPr="008C761D" w14:paraId="5572DFF6" w14:textId="77777777" w:rsidTr="000147DA">
        <w:tc>
          <w:tcPr>
            <w:tcW w:w="3119" w:type="dxa"/>
            <w:tcBorders>
              <w:top w:val="nil"/>
              <w:bottom w:val="single" w:sz="4" w:space="0" w:color="FFFFFF"/>
            </w:tcBorders>
            <w:shd w:val="clear" w:color="auto" w:fill="002060"/>
          </w:tcPr>
          <w:p w14:paraId="08294FD0" w14:textId="77777777" w:rsidR="001E2302" w:rsidRPr="008C761D" w:rsidRDefault="001E2302" w:rsidP="000147DA">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645" w:type="dxa"/>
            <w:tcBorders>
              <w:top w:val="nil"/>
              <w:bottom w:val="single" w:sz="4" w:space="0" w:color="FFFFFF"/>
            </w:tcBorders>
            <w:shd w:val="clear" w:color="auto" w:fill="D9E2F3"/>
          </w:tcPr>
          <w:p w14:paraId="33E78F58" w14:textId="3C5E6A49" w:rsidR="001E2302" w:rsidRPr="008C761D" w:rsidRDefault="001E2302" w:rsidP="000147DA">
            <w:pPr>
              <w:tabs>
                <w:tab w:val="left" w:pos="1526"/>
              </w:tabs>
              <w:spacing w:after="60" w:line="240" w:lineRule="auto"/>
              <w:jc w:val="both"/>
              <w:rPr>
                <w:rFonts w:cs="Calibri"/>
                <w:sz w:val="20"/>
                <w:szCs w:val="20"/>
                <w:lang w:val="en-US"/>
              </w:rPr>
            </w:pPr>
            <w:r w:rsidRPr="008C761D">
              <w:rPr>
                <w:rFonts w:cs="Calibri"/>
                <w:sz w:val="20"/>
                <w:szCs w:val="20"/>
                <w:lang w:val="en-US"/>
              </w:rPr>
              <w:t>202</w:t>
            </w:r>
            <w:r w:rsidR="007D6CD2" w:rsidRPr="008C761D">
              <w:rPr>
                <w:rFonts w:cs="Calibri"/>
                <w:sz w:val="20"/>
                <w:szCs w:val="20"/>
                <w:lang w:val="en-US"/>
              </w:rPr>
              <w:t>6</w:t>
            </w:r>
          </w:p>
        </w:tc>
      </w:tr>
      <w:tr w:rsidR="001E2302" w:rsidRPr="008C761D" w14:paraId="73C64593" w14:textId="77777777" w:rsidTr="000147DA">
        <w:tc>
          <w:tcPr>
            <w:tcW w:w="3119" w:type="dxa"/>
            <w:tcBorders>
              <w:top w:val="single" w:sz="4" w:space="0" w:color="FFFFFF"/>
              <w:bottom w:val="single" w:sz="4" w:space="0" w:color="FFFFFF"/>
            </w:tcBorders>
            <w:shd w:val="clear" w:color="auto" w:fill="002060"/>
          </w:tcPr>
          <w:p w14:paraId="3306B4AA" w14:textId="77777777" w:rsidR="001E2302" w:rsidRPr="008C761D" w:rsidRDefault="001E2302" w:rsidP="000147DA">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234D9E7F" w14:textId="4102FA2A" w:rsidR="001E2302" w:rsidRPr="00555720" w:rsidRDefault="001E2302" w:rsidP="00555720">
            <w:pPr>
              <w:pStyle w:val="ListParagraph"/>
              <w:numPr>
                <w:ilvl w:val="0"/>
                <w:numId w:val="59"/>
              </w:numPr>
              <w:tabs>
                <w:tab w:val="left" w:pos="142"/>
                <w:tab w:val="left" w:pos="283"/>
              </w:tabs>
              <w:spacing w:after="60" w:line="240" w:lineRule="auto"/>
              <w:ind w:left="122" w:hanging="180"/>
              <w:rPr>
                <w:rFonts w:cs="Calibri"/>
                <w:color w:val="000000"/>
                <w:sz w:val="20"/>
                <w:szCs w:val="20"/>
                <w:lang w:val="en-US"/>
              </w:rPr>
            </w:pPr>
            <w:r w:rsidRPr="00555720">
              <w:rPr>
                <w:rFonts w:cs="Calibri"/>
                <w:sz w:val="20"/>
                <w:szCs w:val="20"/>
                <w:lang w:val="en-US"/>
              </w:rPr>
              <w:t>New IFMIS is fully developed and deployed and connected with other government systems.</w:t>
            </w:r>
          </w:p>
        </w:tc>
      </w:tr>
      <w:tr w:rsidR="001E2302" w:rsidRPr="008C761D" w14:paraId="22D1ACBD" w14:textId="77777777" w:rsidTr="000147DA">
        <w:tc>
          <w:tcPr>
            <w:tcW w:w="3119" w:type="dxa"/>
            <w:tcBorders>
              <w:top w:val="single" w:sz="4" w:space="0" w:color="FFFFFF"/>
              <w:bottom w:val="single" w:sz="4" w:space="0" w:color="FFFFFF"/>
            </w:tcBorders>
            <w:shd w:val="clear" w:color="auto" w:fill="002060"/>
          </w:tcPr>
          <w:p w14:paraId="186817A2" w14:textId="77777777" w:rsidR="001E2302" w:rsidRPr="008C761D" w:rsidRDefault="001E2302"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5645" w:type="dxa"/>
            <w:tcBorders>
              <w:top w:val="single" w:sz="4" w:space="0" w:color="FFFFFF"/>
              <w:bottom w:val="single" w:sz="4" w:space="0" w:color="FFFFFF"/>
            </w:tcBorders>
            <w:shd w:val="clear" w:color="auto" w:fill="D9E2F3"/>
          </w:tcPr>
          <w:p w14:paraId="6C5F65CF" w14:textId="77777777" w:rsidR="001E2302" w:rsidRPr="008C761D" w:rsidRDefault="001E2302" w:rsidP="000147DA">
            <w:pPr>
              <w:tabs>
                <w:tab w:val="left" w:pos="1526"/>
              </w:tabs>
              <w:spacing w:after="60" w:line="240" w:lineRule="auto"/>
              <w:jc w:val="both"/>
              <w:rPr>
                <w:rFonts w:cs="Calibri"/>
                <w:color w:val="FF0000"/>
                <w:sz w:val="20"/>
                <w:szCs w:val="20"/>
                <w:lang w:val="en-US"/>
              </w:rPr>
            </w:pPr>
            <w:r w:rsidRPr="008C761D">
              <w:rPr>
                <w:rFonts w:cs="Calibri"/>
                <w:sz w:val="20"/>
                <w:szCs w:val="20"/>
                <w:lang w:val="en-US"/>
              </w:rPr>
              <w:t>The ongoing IFMIS procurement process follows established procedures, making it impractical to provide an exact cost implication at this stage.</w:t>
            </w:r>
          </w:p>
        </w:tc>
      </w:tr>
      <w:tr w:rsidR="001E2302" w:rsidRPr="008C761D" w14:paraId="38C3AD3D" w14:textId="77777777" w:rsidTr="000147DA">
        <w:tc>
          <w:tcPr>
            <w:tcW w:w="3119" w:type="dxa"/>
            <w:tcBorders>
              <w:top w:val="single" w:sz="4" w:space="0" w:color="FFFFFF"/>
              <w:bottom w:val="single" w:sz="4" w:space="0" w:color="FFFFFF"/>
            </w:tcBorders>
            <w:shd w:val="clear" w:color="auto" w:fill="002060"/>
          </w:tcPr>
          <w:p w14:paraId="60DC8FEC" w14:textId="77777777" w:rsidR="001E2302" w:rsidRPr="008C761D" w:rsidRDefault="001E2302"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5645" w:type="dxa"/>
            <w:tcBorders>
              <w:top w:val="single" w:sz="4" w:space="0" w:color="FFFFFF"/>
              <w:bottom w:val="single" w:sz="4" w:space="0" w:color="FFFFFF"/>
            </w:tcBorders>
            <w:shd w:val="clear" w:color="auto" w:fill="D9E2F3"/>
          </w:tcPr>
          <w:p w14:paraId="088A3298" w14:textId="0E9A750C" w:rsidR="001E2302" w:rsidRPr="008C761D" w:rsidRDefault="00D3676F" w:rsidP="000147DA">
            <w:pPr>
              <w:spacing w:after="60" w:line="240" w:lineRule="auto"/>
              <w:jc w:val="both"/>
              <w:rPr>
                <w:rFonts w:cs="Calibri"/>
                <w:sz w:val="20"/>
                <w:szCs w:val="20"/>
                <w:lang w:val="en-US"/>
              </w:rPr>
            </w:pPr>
            <w:r w:rsidRPr="00D3676F">
              <w:rPr>
                <w:rFonts w:cs="Calibri"/>
                <w:sz w:val="20"/>
                <w:szCs w:val="20"/>
                <w:lang w:val="en-US"/>
              </w:rPr>
              <w:t xml:space="preserve">MoF – IFMIS WG  </w:t>
            </w:r>
          </w:p>
        </w:tc>
      </w:tr>
      <w:tr w:rsidR="001E2302" w:rsidRPr="008C761D" w14:paraId="77F3F120" w14:textId="77777777" w:rsidTr="000147DA">
        <w:trPr>
          <w:trHeight w:val="132"/>
        </w:trPr>
        <w:tc>
          <w:tcPr>
            <w:tcW w:w="3119" w:type="dxa"/>
            <w:tcBorders>
              <w:top w:val="single" w:sz="4" w:space="0" w:color="FFFFFF"/>
              <w:bottom w:val="nil"/>
            </w:tcBorders>
            <w:shd w:val="clear" w:color="auto" w:fill="002060"/>
          </w:tcPr>
          <w:p w14:paraId="45D9C398" w14:textId="77777777" w:rsidR="001E2302" w:rsidRPr="008C761D" w:rsidRDefault="001E2302"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4E316E2B" w14:textId="77777777" w:rsidR="001E2302" w:rsidRPr="008C761D" w:rsidRDefault="001E2302" w:rsidP="00555720">
            <w:pPr>
              <w:numPr>
                <w:ilvl w:val="0"/>
                <w:numId w:val="49"/>
              </w:numPr>
              <w:spacing w:after="60" w:line="240" w:lineRule="auto"/>
              <w:ind w:left="122" w:hanging="122"/>
              <w:jc w:val="both"/>
              <w:rPr>
                <w:lang w:val="en-US"/>
              </w:rPr>
            </w:pPr>
            <w:r w:rsidRPr="008C761D">
              <w:rPr>
                <w:rFonts w:cs="Calibri"/>
                <w:sz w:val="20"/>
                <w:szCs w:val="20"/>
                <w:lang w:val="en-US"/>
              </w:rPr>
              <w:t>Insufficient staffing and insufficient training of human resource;</w:t>
            </w:r>
          </w:p>
          <w:p w14:paraId="078A00A8" w14:textId="7569F09D" w:rsidR="000D6082" w:rsidRPr="008C761D" w:rsidRDefault="000D6082" w:rsidP="000D6082">
            <w:pPr>
              <w:numPr>
                <w:ilvl w:val="0"/>
                <w:numId w:val="49"/>
              </w:numPr>
              <w:spacing w:after="60" w:line="240" w:lineRule="auto"/>
              <w:ind w:left="122" w:hanging="122"/>
              <w:jc w:val="both"/>
              <w:rPr>
                <w:rFonts w:cs="Calibri"/>
                <w:sz w:val="20"/>
                <w:szCs w:val="20"/>
                <w:lang w:val="en-US"/>
              </w:rPr>
            </w:pPr>
            <w:r w:rsidRPr="008C761D">
              <w:rPr>
                <w:rFonts w:cs="Calibri"/>
                <w:sz w:val="20"/>
                <w:szCs w:val="20"/>
                <w:lang w:val="en-US"/>
              </w:rPr>
              <w:t xml:space="preserve"> </w:t>
            </w:r>
            <w:r>
              <w:rPr>
                <w:rFonts w:cs="Calibri"/>
                <w:sz w:val="20"/>
                <w:szCs w:val="20"/>
                <w:lang w:val="en-US"/>
              </w:rPr>
              <w:t xml:space="preserve">Employee </w:t>
            </w:r>
            <w:r w:rsidRPr="008C761D">
              <w:rPr>
                <w:rFonts w:cs="Calibri"/>
                <w:sz w:val="20"/>
                <w:szCs w:val="20"/>
                <w:lang w:val="en-US"/>
              </w:rPr>
              <w:t>turnover</w:t>
            </w:r>
            <w:r>
              <w:rPr>
                <w:rFonts w:cs="Calibri"/>
                <w:sz w:val="20"/>
                <w:szCs w:val="20"/>
                <w:lang w:val="en-US"/>
              </w:rPr>
              <w:t xml:space="preserve"> involved in the implementation and use of IFMIS</w:t>
            </w:r>
            <w:r w:rsidRPr="008C761D">
              <w:rPr>
                <w:rFonts w:cs="Calibri"/>
                <w:sz w:val="20"/>
                <w:szCs w:val="20"/>
                <w:lang w:val="en-US"/>
              </w:rPr>
              <w:t>;</w:t>
            </w:r>
          </w:p>
          <w:p w14:paraId="42314A15" w14:textId="77777777" w:rsidR="001E2302" w:rsidRPr="008C761D" w:rsidRDefault="001E2302" w:rsidP="00555720">
            <w:pPr>
              <w:numPr>
                <w:ilvl w:val="0"/>
                <w:numId w:val="49"/>
              </w:numPr>
              <w:spacing w:after="60" w:line="240" w:lineRule="auto"/>
              <w:ind w:left="122" w:hanging="122"/>
              <w:jc w:val="both"/>
              <w:rPr>
                <w:rFonts w:cs="Calibri"/>
                <w:color w:val="FF0000"/>
                <w:sz w:val="20"/>
                <w:szCs w:val="20"/>
                <w:lang w:val="en-US"/>
              </w:rPr>
            </w:pPr>
            <w:r w:rsidRPr="008C761D">
              <w:rPr>
                <w:rFonts w:cs="Calibri"/>
                <w:sz w:val="20"/>
                <w:szCs w:val="20"/>
                <w:lang w:val="en-US"/>
              </w:rPr>
              <w:t>Insufficient commitment of senior management.</w:t>
            </w:r>
          </w:p>
        </w:tc>
      </w:tr>
    </w:tbl>
    <w:p w14:paraId="276F6184" w14:textId="77777777" w:rsidR="007D6CD2" w:rsidRPr="008C761D" w:rsidRDefault="007D6CD2" w:rsidP="00165379">
      <w:pPr>
        <w:spacing w:line="240" w:lineRule="auto"/>
        <w:jc w:val="both"/>
        <w:rPr>
          <w:rFonts w:eastAsia="MS PGothic"/>
          <w:b/>
          <w:bCs/>
          <w:iCs/>
          <w:color w:val="4F81BD"/>
          <w:lang w:val="en-US" w:eastAsia="zh-CN"/>
        </w:rPr>
      </w:pPr>
    </w:p>
    <w:p w14:paraId="29CA9F51" w14:textId="0D2033C9" w:rsidR="00165379" w:rsidRPr="00555720" w:rsidRDefault="00165379" w:rsidP="00165379">
      <w:pPr>
        <w:spacing w:line="240" w:lineRule="auto"/>
        <w:jc w:val="both"/>
        <w:rPr>
          <w:rFonts w:eastAsia="MS PGothic"/>
          <w:b/>
          <w:bCs/>
          <w:iCs/>
          <w:color w:val="0070C0"/>
          <w:sz w:val="24"/>
          <w:szCs w:val="24"/>
          <w:lang w:val="en-US" w:eastAsia="zh-CN"/>
        </w:rPr>
      </w:pPr>
      <w:r w:rsidRPr="00555720">
        <w:rPr>
          <w:rFonts w:eastAsia="MS PGothic"/>
          <w:b/>
          <w:bCs/>
          <w:iCs/>
          <w:color w:val="0070C0"/>
          <w:sz w:val="24"/>
          <w:szCs w:val="24"/>
          <w:lang w:val="en-US" w:eastAsia="zh-CN"/>
        </w:rPr>
        <w:t>Measure 2: Expansion of MoF ICT infrastructure (in line with whole-of-government approach) to host new IFMIS</w:t>
      </w:r>
    </w:p>
    <w:p w14:paraId="5D4EBD31" w14:textId="77777777" w:rsidR="00165379" w:rsidRPr="008C761D" w:rsidRDefault="00165379" w:rsidP="00165379">
      <w:pPr>
        <w:spacing w:before="100" w:beforeAutospacing="1" w:after="100" w:afterAutospacing="1"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30BCE7AE" w14:textId="77777777" w:rsidR="008D1B70" w:rsidRPr="008C761D" w:rsidRDefault="00165379" w:rsidP="00E84CD0">
      <w:pPr>
        <w:spacing w:line="240" w:lineRule="auto"/>
        <w:jc w:val="both"/>
        <w:rPr>
          <w:rFonts w:eastAsia="MS PGothic" w:cs="Calibri"/>
          <w:lang w:val="en-US" w:eastAsia="zh-CN"/>
        </w:rPr>
      </w:pPr>
      <w:r w:rsidRPr="008C761D">
        <w:rPr>
          <w:rFonts w:eastAsia="MS PGothic" w:cs="Calibri"/>
          <w:lang w:val="en-US" w:eastAsia="zh-CN"/>
        </w:rPr>
        <w:t>New IFMIS will be a centralized web-based shared platform to support decentralized operations (online/offline) countrywide. This measure involves the expansion of the Ministry of Finance's (MoF) Information and Communication Technology (ICT) infrastructure, aligning with a comprehensive government-wide strategy, with primary objective to accommodate the implementation of the new IFMIS.</w:t>
      </w:r>
    </w:p>
    <w:p w14:paraId="5A10C0BF" w14:textId="77777777" w:rsidR="00165379" w:rsidRPr="00555720" w:rsidRDefault="00165379" w:rsidP="00165379">
      <w:pPr>
        <w:spacing w:before="100" w:beforeAutospacing="1" w:after="100" w:afterAutospacing="1" w:line="240" w:lineRule="auto"/>
        <w:jc w:val="both"/>
        <w:rPr>
          <w:rFonts w:eastAsia="MS PGothic"/>
          <w:b/>
          <w:bCs/>
          <w:iCs/>
          <w:color w:val="0070C0"/>
          <w:lang w:val="en-US" w:eastAsia="zh-CN"/>
        </w:rPr>
      </w:pPr>
      <w:r w:rsidRPr="00555720">
        <w:rPr>
          <w:rFonts w:eastAsia="MS PGothic"/>
          <w:b/>
          <w:bCs/>
          <w:iCs/>
          <w:color w:val="0070C0"/>
          <w:lang w:val="en-US" w:eastAsia="zh-CN"/>
        </w:rPr>
        <w:t>Activity 1: Enhancement of the existing data centers and network connectivity</w:t>
      </w:r>
    </w:p>
    <w:p w14:paraId="3A04247B" w14:textId="4731C789" w:rsidR="000D6082" w:rsidRPr="008C761D" w:rsidRDefault="000D6082" w:rsidP="000D6082">
      <w:pPr>
        <w:spacing w:before="100" w:beforeAutospacing="1" w:after="100" w:afterAutospacing="1" w:line="240" w:lineRule="auto"/>
        <w:jc w:val="both"/>
        <w:rPr>
          <w:rFonts w:eastAsia="MS PGothic" w:cs="Calibri"/>
          <w:lang w:val="en-US" w:eastAsia="zh-CN"/>
        </w:rPr>
      </w:pPr>
      <w:r w:rsidRPr="008C761D">
        <w:rPr>
          <w:rFonts w:eastAsia="MS PGothic" w:cs="Calibri"/>
          <w:lang w:val="en-US" w:eastAsia="zh-CN"/>
        </w:rPr>
        <w:t>This activity focuses on improving the capa</w:t>
      </w:r>
      <w:r>
        <w:rPr>
          <w:rFonts w:eastAsia="MS PGothic" w:cs="Calibri"/>
          <w:lang w:val="en-US" w:eastAsia="zh-CN"/>
        </w:rPr>
        <w:t>cities</w:t>
      </w:r>
      <w:r w:rsidRPr="008C761D">
        <w:rPr>
          <w:rFonts w:eastAsia="MS PGothic" w:cs="Calibri"/>
          <w:lang w:val="en-US" w:eastAsia="zh-CN"/>
        </w:rPr>
        <w:t xml:space="preserve"> of the current data centers operated by the Ministry of Finance</w:t>
      </w:r>
      <w:r>
        <w:rPr>
          <w:rFonts w:eastAsia="MS PGothic" w:cs="Calibri"/>
          <w:lang w:val="en-US" w:eastAsia="zh-CN"/>
        </w:rPr>
        <w:t xml:space="preserve"> and</w:t>
      </w:r>
      <w:r w:rsidRPr="008C761D">
        <w:rPr>
          <w:rFonts w:eastAsia="MS PGothic" w:cs="Calibri"/>
          <w:lang w:val="en-US" w:eastAsia="zh-CN"/>
        </w:rPr>
        <w:t>includes upgrades and optimizations to the physical and virtual infrastructure, as well as enhancements to network connectivity. The goal is to ensure a robust and reliable foundation for hosting the new IFMIS.</w:t>
      </w:r>
    </w:p>
    <w:p w14:paraId="77B82415" w14:textId="77777777" w:rsidR="00165379" w:rsidRPr="00555720" w:rsidRDefault="00165379" w:rsidP="00165379">
      <w:pPr>
        <w:spacing w:before="100" w:beforeAutospacing="1" w:after="100" w:afterAutospacing="1" w:line="240" w:lineRule="auto"/>
        <w:jc w:val="both"/>
        <w:rPr>
          <w:rFonts w:eastAsia="MS PGothic"/>
          <w:b/>
          <w:bCs/>
          <w:iCs/>
          <w:color w:val="0070C0"/>
          <w:lang w:val="en-US" w:eastAsia="zh-CN"/>
        </w:rPr>
      </w:pPr>
      <w:r w:rsidRPr="00555720">
        <w:rPr>
          <w:rFonts w:eastAsia="MS PGothic"/>
          <w:b/>
          <w:bCs/>
          <w:iCs/>
          <w:color w:val="0070C0"/>
          <w:lang w:val="en-US" w:eastAsia="zh-CN"/>
        </w:rPr>
        <w:t>Activity 2: Establishment of secure backup network connections</w:t>
      </w:r>
    </w:p>
    <w:p w14:paraId="12305049" w14:textId="08CE2E8C" w:rsidR="000D6082" w:rsidRDefault="000D6082" w:rsidP="000D6082">
      <w:pPr>
        <w:spacing w:before="100" w:beforeAutospacing="1" w:after="100" w:afterAutospacing="1" w:line="240" w:lineRule="auto"/>
        <w:jc w:val="both"/>
        <w:rPr>
          <w:rFonts w:eastAsia="MS PGothic" w:cs="Calibri"/>
          <w:lang w:val="en-US" w:eastAsia="zh-CN"/>
        </w:rPr>
      </w:pPr>
      <w:r w:rsidRPr="008C761D">
        <w:rPr>
          <w:rFonts w:eastAsia="MS PGothic" w:cs="Calibri"/>
          <w:lang w:val="en-US" w:eastAsia="zh-CN"/>
        </w:rPr>
        <w:t xml:space="preserve">This activity </w:t>
      </w:r>
      <w:r>
        <w:rPr>
          <w:rFonts w:eastAsia="MS PGothic" w:cs="Calibri"/>
          <w:lang w:val="en-US" w:eastAsia="zh-CN"/>
        </w:rPr>
        <w:t xml:space="preserve">aims </w:t>
      </w:r>
      <w:r w:rsidRPr="008C761D">
        <w:rPr>
          <w:rFonts w:eastAsia="MS PGothic" w:cs="Calibri"/>
          <w:lang w:val="en-US" w:eastAsia="zh-CN"/>
        </w:rPr>
        <w:t>to support the Ministry of Finance's ICT infrastructure</w:t>
      </w:r>
      <w:r>
        <w:rPr>
          <w:rFonts w:eastAsia="MS PGothic" w:cs="Calibri"/>
          <w:lang w:val="en-US" w:eastAsia="zh-CN"/>
        </w:rPr>
        <w:t xml:space="preserve"> by</w:t>
      </w:r>
      <w:r w:rsidRPr="008C761D">
        <w:rPr>
          <w:rFonts w:eastAsia="MS PGothic" w:cs="Calibri"/>
          <w:lang w:val="en-US" w:eastAsia="zh-CN"/>
        </w:rPr>
        <w:t xml:space="preserve"> enhanc</w:t>
      </w:r>
      <w:r>
        <w:rPr>
          <w:rFonts w:eastAsia="MS PGothic" w:cs="Calibri"/>
          <w:lang w:val="en-US" w:eastAsia="zh-CN"/>
        </w:rPr>
        <w:t>ing</w:t>
      </w:r>
      <w:r w:rsidRPr="008C761D">
        <w:rPr>
          <w:rFonts w:eastAsia="MS PGothic" w:cs="Calibri"/>
          <w:lang w:val="en-US" w:eastAsia="zh-CN"/>
        </w:rPr>
        <w:t xml:space="preserve"> the existing data centers and network connectivity </w:t>
      </w:r>
      <w:r>
        <w:rPr>
          <w:rFonts w:eastAsia="MS PGothic" w:cs="Calibri"/>
          <w:lang w:val="en-US" w:eastAsia="zh-CN"/>
        </w:rPr>
        <w:t>following</w:t>
      </w:r>
      <w:r w:rsidRPr="008C761D">
        <w:rPr>
          <w:rFonts w:eastAsia="MS PGothic" w:cs="Calibri"/>
          <w:lang w:val="en-US" w:eastAsia="zh-CN"/>
        </w:rPr>
        <w:t xml:space="preserve"> the expected increase in the workload and operational needs, </w:t>
      </w:r>
      <w:r>
        <w:rPr>
          <w:rFonts w:eastAsia="MS PGothic" w:cs="Calibri"/>
          <w:lang w:val="en-US" w:eastAsia="zh-CN"/>
        </w:rPr>
        <w:t>as well as the</w:t>
      </w:r>
      <w:r w:rsidRPr="008C761D">
        <w:rPr>
          <w:rFonts w:eastAsia="MS PGothic" w:cs="Calibri"/>
          <w:lang w:val="en-US" w:eastAsia="zh-CN"/>
        </w:rPr>
        <w:t xml:space="preserve"> creati</w:t>
      </w:r>
      <w:r>
        <w:rPr>
          <w:rFonts w:eastAsia="MS PGothic" w:cs="Calibri"/>
          <w:lang w:val="en-US" w:eastAsia="zh-CN"/>
        </w:rPr>
        <w:t>on of</w:t>
      </w:r>
      <w:r w:rsidRPr="008C761D">
        <w:rPr>
          <w:rFonts w:eastAsia="MS PGothic" w:cs="Calibri"/>
          <w:lang w:val="en-US" w:eastAsia="zh-CN"/>
        </w:rPr>
        <w:t xml:space="preserve"> a resilient and secure backup network. The emphasis is </w:t>
      </w:r>
      <w:r w:rsidRPr="008C761D">
        <w:rPr>
          <w:rFonts w:eastAsia="MS PGothic" w:cs="Calibri"/>
          <w:lang w:val="en-US" w:eastAsia="zh-CN"/>
        </w:rPr>
        <w:lastRenderedPageBreak/>
        <w:t xml:space="preserve">on establishing reliable connections to ensure continuity </w:t>
      </w:r>
      <w:r w:rsidRPr="00E91B42">
        <w:rPr>
          <w:rFonts w:eastAsia="MS PGothic" w:cs="Calibri"/>
          <w:lang w:val="en-US" w:eastAsia="zh-CN"/>
        </w:rPr>
        <w:t xml:space="preserve">in the event of failures or other </w:t>
      </w:r>
      <w:r>
        <w:rPr>
          <w:rFonts w:eastAsia="MS PGothic" w:cs="Calibri"/>
          <w:lang w:val="en-US" w:eastAsia="zh-CN"/>
        </w:rPr>
        <w:t xml:space="preserve">network </w:t>
      </w:r>
      <w:r w:rsidRPr="00E91B42">
        <w:rPr>
          <w:rFonts w:eastAsia="MS PGothic" w:cs="Calibri"/>
          <w:lang w:val="en-US" w:eastAsia="zh-CN"/>
        </w:rPr>
        <w:t>disruptions.</w:t>
      </w:r>
    </w:p>
    <w:p w14:paraId="314F3BFD" w14:textId="3C79ADA7" w:rsidR="00555720" w:rsidRPr="00555720" w:rsidRDefault="00555720" w:rsidP="00555720">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526315" w:rsidRPr="008C761D" w14:paraId="29D78B3E" w14:textId="77777777" w:rsidTr="000147DA">
        <w:tc>
          <w:tcPr>
            <w:tcW w:w="3119" w:type="dxa"/>
            <w:tcBorders>
              <w:top w:val="nil"/>
              <w:bottom w:val="single" w:sz="4" w:space="0" w:color="FFFFFF"/>
            </w:tcBorders>
            <w:shd w:val="clear" w:color="auto" w:fill="002060"/>
          </w:tcPr>
          <w:p w14:paraId="21BC48A1" w14:textId="77777777" w:rsidR="00526315" w:rsidRPr="008C761D" w:rsidRDefault="00526315" w:rsidP="000147DA">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645" w:type="dxa"/>
            <w:tcBorders>
              <w:top w:val="nil"/>
              <w:bottom w:val="single" w:sz="4" w:space="0" w:color="FFFFFF"/>
            </w:tcBorders>
            <w:shd w:val="clear" w:color="auto" w:fill="D9E2F3"/>
          </w:tcPr>
          <w:p w14:paraId="4F3B1D15" w14:textId="5983D6E3" w:rsidR="00526315" w:rsidRPr="008C761D" w:rsidRDefault="00526315" w:rsidP="000147DA">
            <w:pPr>
              <w:tabs>
                <w:tab w:val="left" w:pos="1526"/>
              </w:tabs>
              <w:spacing w:after="60" w:line="240" w:lineRule="auto"/>
              <w:jc w:val="both"/>
              <w:rPr>
                <w:rFonts w:cs="Calibri"/>
                <w:color w:val="000000"/>
                <w:sz w:val="20"/>
                <w:szCs w:val="20"/>
                <w:lang w:val="en-US"/>
              </w:rPr>
            </w:pPr>
            <w:r w:rsidRPr="008C761D">
              <w:rPr>
                <w:rFonts w:cs="Calibri"/>
                <w:sz w:val="20"/>
                <w:szCs w:val="20"/>
                <w:lang w:val="en-US"/>
              </w:rPr>
              <w:t>202</w:t>
            </w:r>
            <w:r w:rsidR="007D6CD2" w:rsidRPr="008C761D">
              <w:rPr>
                <w:rFonts w:cs="Calibri"/>
                <w:sz w:val="20"/>
                <w:szCs w:val="20"/>
                <w:lang w:val="en-US"/>
              </w:rPr>
              <w:t>7</w:t>
            </w:r>
          </w:p>
        </w:tc>
      </w:tr>
      <w:tr w:rsidR="00526315" w:rsidRPr="008C761D" w14:paraId="1EF03D73" w14:textId="77777777" w:rsidTr="000147DA">
        <w:tc>
          <w:tcPr>
            <w:tcW w:w="3119" w:type="dxa"/>
            <w:tcBorders>
              <w:top w:val="single" w:sz="4" w:space="0" w:color="FFFFFF"/>
              <w:bottom w:val="single" w:sz="4" w:space="0" w:color="FFFFFF"/>
            </w:tcBorders>
            <w:shd w:val="clear" w:color="auto" w:fill="002060"/>
          </w:tcPr>
          <w:p w14:paraId="4D05907B" w14:textId="77777777" w:rsidR="00526315" w:rsidRPr="008C761D" w:rsidRDefault="00526315" w:rsidP="000147DA">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6984990B" w14:textId="6B46DA4C" w:rsidR="00526315" w:rsidRPr="00555720" w:rsidRDefault="000D6082" w:rsidP="00555720">
            <w:pPr>
              <w:pStyle w:val="ListParagraph"/>
              <w:numPr>
                <w:ilvl w:val="0"/>
                <w:numId w:val="49"/>
              </w:numPr>
              <w:tabs>
                <w:tab w:val="left" w:pos="142"/>
                <w:tab w:val="left" w:pos="283"/>
              </w:tabs>
              <w:spacing w:after="60" w:line="240" w:lineRule="auto"/>
              <w:ind w:left="122" w:hanging="122"/>
              <w:rPr>
                <w:rFonts w:cs="Calibri"/>
                <w:color w:val="000000"/>
                <w:sz w:val="20"/>
                <w:szCs w:val="20"/>
                <w:lang w:val="en-US"/>
              </w:rPr>
            </w:pPr>
            <w:r w:rsidRPr="006F51F6">
              <w:rPr>
                <w:rFonts w:cs="Calibri"/>
                <w:sz w:val="20"/>
                <w:szCs w:val="20"/>
                <w:lang w:val="en-US"/>
              </w:rPr>
              <w:t>The existing MoF ICT Infrastructure and network connectivity are enhanced to support IFMIS operations</w:t>
            </w:r>
          </w:p>
        </w:tc>
      </w:tr>
      <w:tr w:rsidR="00526315" w:rsidRPr="008C761D" w14:paraId="3118A1AE" w14:textId="77777777" w:rsidTr="000147DA">
        <w:tc>
          <w:tcPr>
            <w:tcW w:w="3119" w:type="dxa"/>
            <w:tcBorders>
              <w:top w:val="single" w:sz="4" w:space="0" w:color="FFFFFF"/>
              <w:bottom w:val="single" w:sz="4" w:space="0" w:color="FFFFFF"/>
            </w:tcBorders>
            <w:shd w:val="clear" w:color="auto" w:fill="002060"/>
          </w:tcPr>
          <w:p w14:paraId="01722153"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5645" w:type="dxa"/>
            <w:tcBorders>
              <w:top w:val="single" w:sz="4" w:space="0" w:color="FFFFFF"/>
              <w:bottom w:val="single" w:sz="4" w:space="0" w:color="FFFFFF"/>
            </w:tcBorders>
            <w:shd w:val="clear" w:color="auto" w:fill="D9E2F3"/>
          </w:tcPr>
          <w:p w14:paraId="127517A4" w14:textId="77777777" w:rsidR="00526315" w:rsidRPr="008C761D" w:rsidRDefault="00526315" w:rsidP="000147DA">
            <w:pPr>
              <w:tabs>
                <w:tab w:val="left" w:pos="1526"/>
              </w:tabs>
              <w:spacing w:after="60" w:line="240" w:lineRule="auto"/>
              <w:jc w:val="both"/>
              <w:rPr>
                <w:rFonts w:cs="Calibri"/>
                <w:color w:val="FF0000"/>
                <w:sz w:val="20"/>
                <w:szCs w:val="20"/>
                <w:lang w:val="en-US"/>
              </w:rPr>
            </w:pPr>
            <w:r w:rsidRPr="008C761D">
              <w:rPr>
                <w:rFonts w:cs="Calibri"/>
                <w:sz w:val="20"/>
                <w:szCs w:val="20"/>
                <w:lang w:val="en-US"/>
              </w:rPr>
              <w:t>The ongoing IFMIS procurement process follows established procedures, making it impractical to provide an exact cost implication at this stage.</w:t>
            </w:r>
          </w:p>
        </w:tc>
      </w:tr>
      <w:tr w:rsidR="00526315" w:rsidRPr="008C761D" w14:paraId="52884313" w14:textId="77777777" w:rsidTr="000147DA">
        <w:tc>
          <w:tcPr>
            <w:tcW w:w="3119" w:type="dxa"/>
            <w:tcBorders>
              <w:top w:val="single" w:sz="4" w:space="0" w:color="FFFFFF"/>
              <w:bottom w:val="single" w:sz="4" w:space="0" w:color="FFFFFF"/>
            </w:tcBorders>
            <w:shd w:val="clear" w:color="auto" w:fill="002060"/>
          </w:tcPr>
          <w:p w14:paraId="18FF70E9"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5645" w:type="dxa"/>
            <w:tcBorders>
              <w:top w:val="single" w:sz="4" w:space="0" w:color="FFFFFF"/>
              <w:bottom w:val="single" w:sz="4" w:space="0" w:color="FFFFFF"/>
            </w:tcBorders>
            <w:shd w:val="clear" w:color="auto" w:fill="D9E2F3"/>
          </w:tcPr>
          <w:p w14:paraId="1A9B4A90" w14:textId="7819A865" w:rsidR="00526315" w:rsidRPr="008C761D" w:rsidRDefault="00D3676F" w:rsidP="000147DA">
            <w:pPr>
              <w:spacing w:after="60" w:line="240" w:lineRule="auto"/>
              <w:jc w:val="both"/>
              <w:rPr>
                <w:rFonts w:cs="Calibri"/>
                <w:sz w:val="20"/>
                <w:szCs w:val="20"/>
                <w:lang w:val="en-US"/>
              </w:rPr>
            </w:pPr>
            <w:r w:rsidRPr="00D3676F">
              <w:rPr>
                <w:rFonts w:cs="Calibri"/>
                <w:sz w:val="20"/>
                <w:szCs w:val="20"/>
                <w:lang w:val="en-US"/>
              </w:rPr>
              <w:t xml:space="preserve">MoF – IFMIS WG  </w:t>
            </w:r>
          </w:p>
        </w:tc>
      </w:tr>
      <w:tr w:rsidR="00526315" w:rsidRPr="008C761D" w14:paraId="269209D6" w14:textId="77777777" w:rsidTr="000147DA">
        <w:trPr>
          <w:trHeight w:val="132"/>
        </w:trPr>
        <w:tc>
          <w:tcPr>
            <w:tcW w:w="3119" w:type="dxa"/>
            <w:tcBorders>
              <w:top w:val="single" w:sz="4" w:space="0" w:color="FFFFFF"/>
              <w:bottom w:val="nil"/>
            </w:tcBorders>
            <w:shd w:val="clear" w:color="auto" w:fill="002060"/>
          </w:tcPr>
          <w:p w14:paraId="50822068"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2B22188A" w14:textId="77777777" w:rsidR="00526315" w:rsidRPr="008C761D" w:rsidRDefault="00526315" w:rsidP="00555720">
            <w:pPr>
              <w:numPr>
                <w:ilvl w:val="0"/>
                <w:numId w:val="49"/>
              </w:numPr>
              <w:spacing w:after="60" w:line="240" w:lineRule="auto"/>
              <w:ind w:left="212" w:hanging="180"/>
              <w:jc w:val="both"/>
              <w:rPr>
                <w:lang w:val="en-US"/>
              </w:rPr>
            </w:pPr>
            <w:r w:rsidRPr="008C761D">
              <w:rPr>
                <w:rFonts w:cs="Calibri"/>
                <w:sz w:val="20"/>
                <w:szCs w:val="20"/>
                <w:lang w:val="en-US"/>
              </w:rPr>
              <w:t>Insufficient staffing and insufficient training of human resource;</w:t>
            </w:r>
          </w:p>
          <w:p w14:paraId="2F51D9B7" w14:textId="77777777" w:rsidR="000D6082" w:rsidRPr="000D6082" w:rsidRDefault="000D6082" w:rsidP="00555720">
            <w:pPr>
              <w:numPr>
                <w:ilvl w:val="0"/>
                <w:numId w:val="49"/>
              </w:numPr>
              <w:spacing w:after="60" w:line="240" w:lineRule="auto"/>
              <w:ind w:left="212" w:hanging="180"/>
              <w:jc w:val="both"/>
              <w:rPr>
                <w:rFonts w:cs="Calibri"/>
                <w:color w:val="FF0000"/>
                <w:sz w:val="20"/>
                <w:szCs w:val="20"/>
                <w:lang w:val="en-US"/>
              </w:rPr>
            </w:pPr>
            <w:r>
              <w:rPr>
                <w:rFonts w:cs="Calibri"/>
                <w:sz w:val="20"/>
                <w:szCs w:val="20"/>
                <w:lang w:val="en-US"/>
              </w:rPr>
              <w:t xml:space="preserve">Employee </w:t>
            </w:r>
            <w:r w:rsidRPr="008C761D">
              <w:rPr>
                <w:rFonts w:cs="Calibri"/>
                <w:sz w:val="20"/>
                <w:szCs w:val="20"/>
                <w:lang w:val="en-US"/>
              </w:rPr>
              <w:t>turnover</w:t>
            </w:r>
            <w:r>
              <w:rPr>
                <w:rFonts w:cs="Calibri"/>
                <w:sz w:val="20"/>
                <w:szCs w:val="20"/>
                <w:lang w:val="en-US"/>
              </w:rPr>
              <w:t xml:space="preserve"> involved in the implementation and use of IFMIS</w:t>
            </w:r>
            <w:r w:rsidRPr="008C761D">
              <w:rPr>
                <w:rFonts w:cs="Calibri"/>
                <w:sz w:val="20"/>
                <w:szCs w:val="20"/>
                <w:lang w:val="en-US"/>
              </w:rPr>
              <w:t>;</w:t>
            </w:r>
          </w:p>
          <w:p w14:paraId="5E776CB3" w14:textId="2DB26177" w:rsidR="00526315" w:rsidRPr="008C761D" w:rsidRDefault="00526315" w:rsidP="00555720">
            <w:pPr>
              <w:numPr>
                <w:ilvl w:val="0"/>
                <w:numId w:val="49"/>
              </w:numPr>
              <w:spacing w:after="60" w:line="240" w:lineRule="auto"/>
              <w:ind w:left="212" w:hanging="180"/>
              <w:jc w:val="both"/>
              <w:rPr>
                <w:rFonts w:cs="Calibri"/>
                <w:color w:val="FF0000"/>
                <w:sz w:val="20"/>
                <w:szCs w:val="20"/>
                <w:lang w:val="en-US"/>
              </w:rPr>
            </w:pPr>
            <w:r w:rsidRPr="008C761D">
              <w:rPr>
                <w:rFonts w:cs="Calibri"/>
                <w:sz w:val="20"/>
                <w:szCs w:val="20"/>
                <w:lang w:val="en-US"/>
              </w:rPr>
              <w:t>Insufficient commitment of senior management.</w:t>
            </w:r>
          </w:p>
        </w:tc>
      </w:tr>
    </w:tbl>
    <w:p w14:paraId="39801982" w14:textId="77777777" w:rsidR="005C0E14" w:rsidRDefault="005C0E14" w:rsidP="00165379">
      <w:pPr>
        <w:spacing w:line="240" w:lineRule="auto"/>
        <w:jc w:val="both"/>
        <w:rPr>
          <w:rFonts w:eastAsia="MS PGothic"/>
          <w:b/>
          <w:bCs/>
          <w:iCs/>
          <w:color w:val="4F81BD"/>
          <w:lang w:val="en-US" w:eastAsia="zh-CN"/>
        </w:rPr>
      </w:pPr>
    </w:p>
    <w:p w14:paraId="73F84911" w14:textId="31D0FA15" w:rsidR="00165379" w:rsidRPr="00555720" w:rsidRDefault="00165379" w:rsidP="00165379">
      <w:pPr>
        <w:spacing w:line="240" w:lineRule="auto"/>
        <w:jc w:val="both"/>
        <w:rPr>
          <w:rFonts w:eastAsia="MS PGothic"/>
          <w:b/>
          <w:bCs/>
          <w:iCs/>
          <w:color w:val="0070C0"/>
          <w:sz w:val="24"/>
          <w:szCs w:val="24"/>
          <w:lang w:val="en-US" w:eastAsia="zh-CN"/>
        </w:rPr>
      </w:pPr>
      <w:r w:rsidRPr="00555720">
        <w:rPr>
          <w:rFonts w:eastAsia="MS PGothic"/>
          <w:b/>
          <w:bCs/>
          <w:iCs/>
          <w:color w:val="0070C0"/>
          <w:sz w:val="24"/>
          <w:szCs w:val="24"/>
          <w:lang w:val="en-US" w:eastAsia="zh-CN"/>
        </w:rPr>
        <w:t>Measure 3: Capacity strengthening training and change management to support OBL reforms and IFMIS operations</w:t>
      </w:r>
    </w:p>
    <w:p w14:paraId="17181128" w14:textId="77777777" w:rsidR="00165379" w:rsidRPr="008C761D" w:rsidRDefault="00165379"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1156E84D" w14:textId="77777777" w:rsidR="00165379" w:rsidRPr="008C761D" w:rsidRDefault="00165379" w:rsidP="00E84CD0">
      <w:pPr>
        <w:spacing w:line="240" w:lineRule="auto"/>
        <w:jc w:val="both"/>
        <w:rPr>
          <w:rFonts w:eastAsia="MS PGothic" w:cs="Calibri"/>
          <w:lang w:val="en-US" w:eastAsia="zh-CN"/>
        </w:rPr>
      </w:pPr>
      <w:r w:rsidRPr="008C761D">
        <w:rPr>
          <w:rFonts w:eastAsia="MS PGothic" w:cs="Calibri"/>
          <w:lang w:val="en-US" w:eastAsia="zh-CN"/>
        </w:rPr>
        <w:t xml:space="preserve">This measure will support to establishment of new institutional structures needed for the implementation of the IFMIS and create a supportive enabling environment to ensure the success of the new model.  </w:t>
      </w:r>
    </w:p>
    <w:p w14:paraId="4E1A915D" w14:textId="77777777" w:rsidR="00165379" w:rsidRPr="00555720" w:rsidRDefault="00165379" w:rsidP="00165379">
      <w:pPr>
        <w:spacing w:before="100" w:beforeAutospacing="1" w:after="100" w:afterAutospacing="1" w:line="240" w:lineRule="auto"/>
        <w:jc w:val="both"/>
        <w:rPr>
          <w:rFonts w:ascii="Times New Roman" w:eastAsia="Times New Roman" w:hAnsi="Times New Roman"/>
          <w:color w:val="0070C0"/>
          <w:sz w:val="24"/>
          <w:szCs w:val="24"/>
          <w:lang w:val="en-US" w:eastAsia="mk-MK"/>
        </w:rPr>
      </w:pPr>
      <w:r w:rsidRPr="00555720">
        <w:rPr>
          <w:rFonts w:eastAsia="MS PGothic"/>
          <w:b/>
          <w:bCs/>
          <w:iCs/>
          <w:color w:val="0070C0"/>
          <w:lang w:val="en-US" w:eastAsia="zh-CN"/>
        </w:rPr>
        <w:t>Activity 1: Transition from existing MoF Systems to IFMIS</w:t>
      </w:r>
    </w:p>
    <w:p w14:paraId="466D7CA8" w14:textId="77777777" w:rsidR="000D6082" w:rsidRDefault="000D6082" w:rsidP="00165379">
      <w:pPr>
        <w:spacing w:before="100" w:beforeAutospacing="1" w:after="100" w:afterAutospacing="1" w:line="240" w:lineRule="auto"/>
        <w:jc w:val="both"/>
        <w:rPr>
          <w:rFonts w:eastAsia="MS PGothic" w:cs="Calibri"/>
          <w:lang w:val="en-US" w:eastAsia="zh-CN"/>
        </w:rPr>
      </w:pPr>
      <w:r w:rsidRPr="004D4010">
        <w:rPr>
          <w:rFonts w:eastAsia="MS PGothic" w:cs="Calibri"/>
          <w:lang w:val="en-US" w:eastAsia="zh-CN"/>
        </w:rPr>
        <w:t xml:space="preserve">This activity aims to ensure a stable transition and integration of the PFM functionalities into IFMIS, through the systematic migration of data, processes, and functionalities from the current MoF systems to the IFMIS. </w:t>
      </w:r>
    </w:p>
    <w:p w14:paraId="0AB5FFC9" w14:textId="40137B49" w:rsidR="00165379" w:rsidRPr="00555720" w:rsidRDefault="00165379" w:rsidP="00165379">
      <w:pPr>
        <w:spacing w:before="100" w:beforeAutospacing="1" w:after="100" w:afterAutospacing="1" w:line="240" w:lineRule="auto"/>
        <w:jc w:val="both"/>
        <w:rPr>
          <w:rFonts w:eastAsia="MS PGothic"/>
          <w:b/>
          <w:bCs/>
          <w:iCs/>
          <w:color w:val="0070C0"/>
          <w:lang w:val="en-US" w:eastAsia="zh-CN"/>
        </w:rPr>
      </w:pPr>
      <w:r w:rsidRPr="00555720">
        <w:rPr>
          <w:rFonts w:eastAsia="MS PGothic"/>
          <w:b/>
          <w:bCs/>
          <w:iCs/>
          <w:color w:val="0070C0"/>
          <w:lang w:val="en-US" w:eastAsia="zh-CN"/>
        </w:rPr>
        <w:t>Activity 2: Training of IFMIS users from central and local budget entities</w:t>
      </w:r>
    </w:p>
    <w:p w14:paraId="25124365" w14:textId="716621B0" w:rsidR="000D6082" w:rsidRPr="008C761D" w:rsidRDefault="000D6082" w:rsidP="000D6082">
      <w:pPr>
        <w:spacing w:before="100" w:beforeAutospacing="1" w:after="100" w:afterAutospacing="1" w:line="240" w:lineRule="auto"/>
        <w:jc w:val="both"/>
        <w:rPr>
          <w:rFonts w:ascii="Times New Roman" w:eastAsia="Times New Roman" w:hAnsi="Times New Roman"/>
          <w:sz w:val="24"/>
          <w:szCs w:val="24"/>
          <w:lang w:val="en-US" w:eastAsia="mk-MK"/>
        </w:rPr>
      </w:pPr>
      <w:r w:rsidRPr="008C761D">
        <w:rPr>
          <w:rFonts w:eastAsia="MS PGothic" w:cs="Calibri"/>
          <w:lang w:val="en-US" w:eastAsia="zh-CN"/>
        </w:rPr>
        <w:t xml:space="preserve">This activity focuses on providing comprehensive training to IFMIS users from both central and local budget entities conducted by </w:t>
      </w:r>
      <w:r>
        <w:rPr>
          <w:rFonts w:eastAsia="MS PGothic" w:cs="Calibri"/>
          <w:lang w:val="en-US" w:eastAsia="zh-CN"/>
        </w:rPr>
        <w:t xml:space="preserve">the </w:t>
      </w:r>
      <w:r w:rsidRPr="008C761D">
        <w:rPr>
          <w:rFonts w:eastAsia="MS PGothic" w:cs="Calibri"/>
          <w:lang w:val="en-US" w:eastAsia="zh-CN"/>
        </w:rPr>
        <w:t xml:space="preserve">Public Finance Academy. </w:t>
      </w:r>
      <w:r w:rsidRPr="002E2809">
        <w:rPr>
          <w:rFonts w:eastAsia="MS PGothic" w:cs="Calibri"/>
          <w:lang w:val="en-US" w:eastAsia="zh-CN"/>
        </w:rPr>
        <w:t>The aim of the training is for IFMIS users to acquire the necessary skills and knowledge for effective and efficient operation with IFMIS.</w:t>
      </w:r>
    </w:p>
    <w:p w14:paraId="5D724A41" w14:textId="48B04AEA" w:rsidR="00165379" w:rsidRPr="00555720" w:rsidRDefault="00165379" w:rsidP="00165379">
      <w:pPr>
        <w:spacing w:before="100" w:beforeAutospacing="1" w:after="100" w:afterAutospacing="1" w:line="240" w:lineRule="auto"/>
        <w:jc w:val="both"/>
        <w:rPr>
          <w:rFonts w:ascii="Times New Roman" w:eastAsia="Times New Roman" w:hAnsi="Times New Roman"/>
          <w:color w:val="0070C0"/>
          <w:sz w:val="24"/>
          <w:szCs w:val="24"/>
          <w:lang w:val="en-US" w:eastAsia="mk-MK"/>
        </w:rPr>
      </w:pPr>
      <w:r w:rsidRPr="00555720">
        <w:rPr>
          <w:rFonts w:eastAsia="MS PGothic"/>
          <w:b/>
          <w:bCs/>
          <w:iCs/>
          <w:color w:val="0070C0"/>
          <w:lang w:val="en-US" w:eastAsia="zh-CN"/>
        </w:rPr>
        <w:t xml:space="preserve">Activity 3: Development of a business continuity plan and disaster recovery skills </w:t>
      </w:r>
    </w:p>
    <w:p w14:paraId="06C7F93C" w14:textId="685B56DE" w:rsidR="000D6082" w:rsidRPr="008C761D" w:rsidRDefault="000D6082" w:rsidP="000D6082">
      <w:pPr>
        <w:spacing w:before="100" w:beforeAutospacing="1" w:after="100" w:afterAutospacing="1" w:line="240" w:lineRule="auto"/>
        <w:jc w:val="both"/>
        <w:rPr>
          <w:rFonts w:ascii="Times New Roman" w:eastAsia="Times New Roman" w:hAnsi="Times New Roman"/>
          <w:sz w:val="24"/>
          <w:szCs w:val="24"/>
          <w:lang w:val="en-US" w:eastAsia="mk-MK"/>
        </w:rPr>
      </w:pPr>
      <w:r w:rsidRPr="008C761D">
        <w:rPr>
          <w:rFonts w:eastAsia="MS PGothic" w:cs="Calibri"/>
          <w:lang w:val="en-US" w:eastAsia="zh-CN"/>
        </w:rPr>
        <w:t xml:space="preserve">This activity implies establishing a </w:t>
      </w:r>
      <w:r w:rsidRPr="00B95EFE">
        <w:rPr>
          <w:rFonts w:eastAsia="MS PGothic" w:cs="Calibri"/>
          <w:lang w:val="en-US" w:eastAsia="zh-CN"/>
        </w:rPr>
        <w:t>comprehensive</w:t>
      </w:r>
      <w:r w:rsidRPr="008C761D">
        <w:rPr>
          <w:rFonts w:eastAsia="MS PGothic" w:cs="Calibri"/>
          <w:lang w:val="en-US" w:eastAsia="zh-CN"/>
        </w:rPr>
        <w:t xml:space="preserve"> business continuity plan for the </w:t>
      </w:r>
      <w:r>
        <w:rPr>
          <w:rFonts w:eastAsia="MS PGothic" w:cs="Calibri"/>
          <w:lang w:val="en-US" w:eastAsia="zh-CN"/>
        </w:rPr>
        <w:t>MoF</w:t>
      </w:r>
      <w:r w:rsidRPr="008C761D">
        <w:rPr>
          <w:rFonts w:eastAsia="MS PGothic" w:cs="Calibri"/>
          <w:lang w:val="en-US" w:eastAsia="zh-CN"/>
        </w:rPr>
        <w:t xml:space="preserve"> </w:t>
      </w:r>
      <w:r>
        <w:rPr>
          <w:rFonts w:eastAsia="MS PGothic" w:cs="Calibri"/>
          <w:lang w:val="en-US" w:eastAsia="zh-CN"/>
        </w:rPr>
        <w:t xml:space="preserve">MDC, </w:t>
      </w:r>
      <w:r w:rsidRPr="008C761D">
        <w:rPr>
          <w:rFonts w:eastAsia="MS PGothic" w:cs="Calibri"/>
          <w:lang w:val="en-US" w:eastAsia="zh-CN"/>
        </w:rPr>
        <w:t>includ</w:t>
      </w:r>
      <w:r>
        <w:rPr>
          <w:rFonts w:eastAsia="MS PGothic" w:cs="Calibri"/>
          <w:lang w:val="en-US" w:eastAsia="zh-CN"/>
        </w:rPr>
        <w:t>ing</w:t>
      </w:r>
      <w:r w:rsidRPr="008C761D">
        <w:rPr>
          <w:rFonts w:eastAsia="MS PGothic" w:cs="Calibri"/>
          <w:lang w:val="en-US" w:eastAsia="zh-CN"/>
        </w:rPr>
        <w:t xml:space="preserve"> the development of strategies and procedures to ensure continuous operations in </w:t>
      </w:r>
      <w:r>
        <w:rPr>
          <w:rFonts w:eastAsia="MS PGothic" w:cs="Calibri"/>
          <w:lang w:val="en-US" w:eastAsia="zh-CN"/>
        </w:rPr>
        <w:t>case</w:t>
      </w:r>
      <w:r w:rsidRPr="008C761D">
        <w:rPr>
          <w:rFonts w:eastAsia="MS PGothic" w:cs="Calibri"/>
          <w:lang w:val="en-US" w:eastAsia="zh-CN"/>
        </w:rPr>
        <w:t xml:space="preserve"> of unforeseen events. Additionally, the activity involves equipping staff with the skills and resources needed to execute effective disaster recovery measures </w:t>
      </w:r>
      <w:r>
        <w:rPr>
          <w:rFonts w:eastAsia="MS PGothic" w:cs="Calibri"/>
          <w:lang w:val="en-US" w:eastAsia="zh-CN"/>
        </w:rPr>
        <w:t xml:space="preserve">and </w:t>
      </w:r>
      <w:r w:rsidRPr="008C761D">
        <w:rPr>
          <w:rFonts w:eastAsia="MS PGothic" w:cs="Calibri"/>
          <w:lang w:val="en-US" w:eastAsia="zh-CN"/>
        </w:rPr>
        <w:t>safeguard critical financial data and operations.</w:t>
      </w:r>
    </w:p>
    <w:p w14:paraId="4379F00A" w14:textId="77777777" w:rsidR="008D1B70" w:rsidRPr="008C761D" w:rsidRDefault="008D1B70" w:rsidP="00E84CD0">
      <w:pPr>
        <w:keepNext/>
        <w:keepLines/>
        <w:spacing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526315" w:rsidRPr="008C761D" w14:paraId="3786F3AB" w14:textId="77777777" w:rsidTr="000147DA">
        <w:tc>
          <w:tcPr>
            <w:tcW w:w="3119" w:type="dxa"/>
            <w:tcBorders>
              <w:top w:val="nil"/>
              <w:bottom w:val="single" w:sz="4" w:space="0" w:color="FFFFFF"/>
            </w:tcBorders>
            <w:shd w:val="clear" w:color="auto" w:fill="002060"/>
          </w:tcPr>
          <w:p w14:paraId="37FA7BE9" w14:textId="77777777" w:rsidR="00526315" w:rsidRPr="008C761D" w:rsidRDefault="00526315" w:rsidP="000147DA">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5645" w:type="dxa"/>
            <w:tcBorders>
              <w:top w:val="nil"/>
              <w:bottom w:val="single" w:sz="4" w:space="0" w:color="FFFFFF"/>
            </w:tcBorders>
            <w:shd w:val="clear" w:color="auto" w:fill="D9E2F3"/>
          </w:tcPr>
          <w:p w14:paraId="1F70700A" w14:textId="77777777" w:rsidR="00526315" w:rsidRPr="008C761D" w:rsidRDefault="00526315" w:rsidP="000147DA">
            <w:pPr>
              <w:tabs>
                <w:tab w:val="left" w:pos="1526"/>
              </w:tabs>
              <w:spacing w:after="60" w:line="240" w:lineRule="auto"/>
              <w:jc w:val="both"/>
              <w:rPr>
                <w:rFonts w:cs="Calibri"/>
                <w:color w:val="000000"/>
                <w:sz w:val="20"/>
                <w:szCs w:val="20"/>
                <w:lang w:val="en-US"/>
              </w:rPr>
            </w:pPr>
            <w:r w:rsidRPr="008C761D">
              <w:rPr>
                <w:rFonts w:cs="Calibri"/>
                <w:sz w:val="20"/>
                <w:szCs w:val="20"/>
                <w:lang w:val="en-US"/>
              </w:rPr>
              <w:t>2027</w:t>
            </w:r>
          </w:p>
        </w:tc>
      </w:tr>
      <w:tr w:rsidR="00526315" w:rsidRPr="008C761D" w14:paraId="2632C7F6" w14:textId="77777777" w:rsidTr="000147DA">
        <w:tc>
          <w:tcPr>
            <w:tcW w:w="3119" w:type="dxa"/>
            <w:tcBorders>
              <w:top w:val="single" w:sz="4" w:space="0" w:color="FFFFFF"/>
              <w:bottom w:val="single" w:sz="4" w:space="0" w:color="FFFFFF"/>
            </w:tcBorders>
            <w:shd w:val="clear" w:color="auto" w:fill="002060"/>
          </w:tcPr>
          <w:p w14:paraId="4F3EBE43" w14:textId="77777777" w:rsidR="00526315" w:rsidRPr="008C761D" w:rsidRDefault="00526315" w:rsidP="000147DA">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5645" w:type="dxa"/>
            <w:tcBorders>
              <w:top w:val="single" w:sz="4" w:space="0" w:color="FFFFFF"/>
              <w:bottom w:val="single" w:sz="4" w:space="0" w:color="FFFFFF"/>
            </w:tcBorders>
            <w:shd w:val="clear" w:color="auto" w:fill="D9E2F3"/>
          </w:tcPr>
          <w:p w14:paraId="3515F3B2" w14:textId="38ED69A1" w:rsidR="00526315" w:rsidRPr="00555720" w:rsidRDefault="00526315" w:rsidP="00555720">
            <w:pPr>
              <w:pStyle w:val="ListParagraph"/>
              <w:numPr>
                <w:ilvl w:val="0"/>
                <w:numId w:val="49"/>
              </w:numPr>
              <w:tabs>
                <w:tab w:val="left" w:pos="212"/>
                <w:tab w:val="left" w:pos="283"/>
              </w:tabs>
              <w:spacing w:after="60" w:line="240" w:lineRule="auto"/>
              <w:ind w:left="212" w:hanging="180"/>
              <w:rPr>
                <w:rFonts w:cs="Calibri"/>
                <w:color w:val="000000"/>
                <w:sz w:val="20"/>
                <w:szCs w:val="20"/>
                <w:lang w:val="en-US"/>
              </w:rPr>
            </w:pPr>
            <w:r w:rsidRPr="00555720">
              <w:rPr>
                <w:rFonts w:cs="Calibri"/>
                <w:sz w:val="20"/>
                <w:szCs w:val="20"/>
                <w:lang w:val="en-US"/>
              </w:rPr>
              <w:t>Change management program developed and training of IFMIS users completed.</w:t>
            </w:r>
          </w:p>
        </w:tc>
      </w:tr>
      <w:tr w:rsidR="00526315" w:rsidRPr="008C761D" w14:paraId="3EFBD81E" w14:textId="77777777" w:rsidTr="000147DA">
        <w:tc>
          <w:tcPr>
            <w:tcW w:w="3119" w:type="dxa"/>
            <w:tcBorders>
              <w:top w:val="single" w:sz="4" w:space="0" w:color="FFFFFF"/>
              <w:bottom w:val="single" w:sz="4" w:space="0" w:color="FFFFFF"/>
            </w:tcBorders>
            <w:shd w:val="clear" w:color="auto" w:fill="002060"/>
          </w:tcPr>
          <w:p w14:paraId="052DE91C"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5645" w:type="dxa"/>
            <w:tcBorders>
              <w:top w:val="single" w:sz="4" w:space="0" w:color="FFFFFF"/>
              <w:bottom w:val="single" w:sz="4" w:space="0" w:color="FFFFFF"/>
            </w:tcBorders>
            <w:shd w:val="clear" w:color="auto" w:fill="D9E2F3"/>
          </w:tcPr>
          <w:p w14:paraId="4D548840" w14:textId="77777777" w:rsidR="00526315" w:rsidRPr="008C761D" w:rsidRDefault="00526315" w:rsidP="000147DA">
            <w:pPr>
              <w:tabs>
                <w:tab w:val="left" w:pos="1526"/>
              </w:tabs>
              <w:spacing w:after="60" w:line="240" w:lineRule="auto"/>
              <w:jc w:val="both"/>
              <w:rPr>
                <w:rFonts w:cs="Calibri"/>
                <w:color w:val="FF0000"/>
                <w:sz w:val="20"/>
                <w:szCs w:val="20"/>
                <w:lang w:val="en-US"/>
              </w:rPr>
            </w:pPr>
            <w:r w:rsidRPr="008C761D">
              <w:rPr>
                <w:rFonts w:cs="Calibri"/>
                <w:sz w:val="20"/>
                <w:szCs w:val="20"/>
                <w:lang w:val="en-US"/>
              </w:rPr>
              <w:t xml:space="preserve">The ongoing IFMIS procurement process follows established </w:t>
            </w:r>
            <w:r w:rsidRPr="008C761D">
              <w:rPr>
                <w:rFonts w:cs="Calibri"/>
                <w:sz w:val="20"/>
                <w:szCs w:val="20"/>
                <w:lang w:val="en-US"/>
              </w:rPr>
              <w:lastRenderedPageBreak/>
              <w:t>procedures, making it impractical to provide an exact cost implication at this stage.</w:t>
            </w:r>
          </w:p>
        </w:tc>
      </w:tr>
      <w:tr w:rsidR="00526315" w:rsidRPr="008C761D" w14:paraId="29C75E6A" w14:textId="77777777" w:rsidTr="000147DA">
        <w:tc>
          <w:tcPr>
            <w:tcW w:w="3119" w:type="dxa"/>
            <w:tcBorders>
              <w:top w:val="single" w:sz="4" w:space="0" w:color="FFFFFF"/>
              <w:bottom w:val="single" w:sz="4" w:space="0" w:color="FFFFFF"/>
            </w:tcBorders>
            <w:shd w:val="clear" w:color="auto" w:fill="002060"/>
          </w:tcPr>
          <w:p w14:paraId="5E9EBAB5"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lastRenderedPageBreak/>
              <w:t xml:space="preserve">Responsible entity: </w:t>
            </w:r>
          </w:p>
        </w:tc>
        <w:tc>
          <w:tcPr>
            <w:tcW w:w="5645" w:type="dxa"/>
            <w:tcBorders>
              <w:top w:val="single" w:sz="4" w:space="0" w:color="FFFFFF"/>
              <w:bottom w:val="single" w:sz="4" w:space="0" w:color="FFFFFF"/>
            </w:tcBorders>
            <w:shd w:val="clear" w:color="auto" w:fill="D9E2F3"/>
          </w:tcPr>
          <w:p w14:paraId="0A6D9A5B" w14:textId="1E4EEBDF" w:rsidR="00526315" w:rsidRPr="008C761D" w:rsidRDefault="00D3676F" w:rsidP="000147DA">
            <w:pPr>
              <w:spacing w:after="60" w:line="240" w:lineRule="auto"/>
              <w:jc w:val="both"/>
              <w:rPr>
                <w:rFonts w:cs="Calibri"/>
                <w:sz w:val="20"/>
                <w:szCs w:val="20"/>
                <w:lang w:val="en-US"/>
              </w:rPr>
            </w:pPr>
            <w:r w:rsidRPr="00D3676F">
              <w:rPr>
                <w:rFonts w:cs="Calibri"/>
                <w:sz w:val="20"/>
                <w:szCs w:val="20"/>
                <w:lang w:val="en-US"/>
              </w:rPr>
              <w:t xml:space="preserve">MoF – IFMIS WG  </w:t>
            </w:r>
          </w:p>
        </w:tc>
      </w:tr>
      <w:tr w:rsidR="00526315" w:rsidRPr="008C761D" w14:paraId="0EE10885" w14:textId="77777777" w:rsidTr="000147DA">
        <w:trPr>
          <w:trHeight w:val="132"/>
        </w:trPr>
        <w:tc>
          <w:tcPr>
            <w:tcW w:w="3119" w:type="dxa"/>
            <w:tcBorders>
              <w:top w:val="single" w:sz="4" w:space="0" w:color="FFFFFF"/>
              <w:bottom w:val="nil"/>
            </w:tcBorders>
            <w:shd w:val="clear" w:color="auto" w:fill="002060"/>
          </w:tcPr>
          <w:p w14:paraId="607DDBAD" w14:textId="77777777" w:rsidR="00526315" w:rsidRPr="008C761D" w:rsidRDefault="00526315" w:rsidP="000147DA">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5645" w:type="dxa"/>
            <w:tcBorders>
              <w:top w:val="single" w:sz="4" w:space="0" w:color="FFFFFF"/>
              <w:bottom w:val="nil"/>
            </w:tcBorders>
            <w:shd w:val="clear" w:color="auto" w:fill="D9E2F3"/>
          </w:tcPr>
          <w:p w14:paraId="57616D83" w14:textId="77777777" w:rsidR="00526315" w:rsidRPr="008C761D" w:rsidRDefault="00526315" w:rsidP="00555720">
            <w:pPr>
              <w:numPr>
                <w:ilvl w:val="0"/>
                <w:numId w:val="49"/>
              </w:numPr>
              <w:spacing w:after="60" w:line="240" w:lineRule="auto"/>
              <w:ind w:left="212" w:hanging="180"/>
              <w:jc w:val="both"/>
              <w:rPr>
                <w:lang w:val="en-US"/>
              </w:rPr>
            </w:pPr>
            <w:r w:rsidRPr="008C761D">
              <w:rPr>
                <w:rFonts w:cs="Calibri"/>
                <w:sz w:val="20"/>
                <w:szCs w:val="20"/>
                <w:lang w:val="en-US"/>
              </w:rPr>
              <w:t>Insufficient staffing and insufficient training of human resource;</w:t>
            </w:r>
          </w:p>
          <w:p w14:paraId="4FB3297C" w14:textId="0F302675" w:rsidR="00526315" w:rsidRPr="008C761D" w:rsidRDefault="000D6082" w:rsidP="00555720">
            <w:pPr>
              <w:numPr>
                <w:ilvl w:val="0"/>
                <w:numId w:val="49"/>
              </w:numPr>
              <w:spacing w:after="60" w:line="240" w:lineRule="auto"/>
              <w:ind w:left="212" w:hanging="180"/>
              <w:jc w:val="both"/>
              <w:rPr>
                <w:rFonts w:cs="Calibri"/>
                <w:sz w:val="20"/>
                <w:szCs w:val="20"/>
                <w:lang w:val="en-US"/>
              </w:rPr>
            </w:pPr>
            <w:r>
              <w:rPr>
                <w:rFonts w:cs="Calibri"/>
                <w:sz w:val="20"/>
                <w:szCs w:val="20"/>
                <w:lang w:val="en-US"/>
              </w:rPr>
              <w:t xml:space="preserve">Employee </w:t>
            </w:r>
            <w:r w:rsidRPr="008C761D">
              <w:rPr>
                <w:rFonts w:cs="Calibri"/>
                <w:sz w:val="20"/>
                <w:szCs w:val="20"/>
                <w:lang w:val="en-US"/>
              </w:rPr>
              <w:t>turnover</w:t>
            </w:r>
            <w:r>
              <w:rPr>
                <w:rFonts w:cs="Calibri"/>
                <w:sz w:val="20"/>
                <w:szCs w:val="20"/>
                <w:lang w:val="en-US"/>
              </w:rPr>
              <w:t xml:space="preserve"> involved in the implementation and use of IFMIS</w:t>
            </w:r>
            <w:r w:rsidR="00526315" w:rsidRPr="008C761D">
              <w:rPr>
                <w:rFonts w:cs="Calibri"/>
                <w:sz w:val="20"/>
                <w:szCs w:val="20"/>
                <w:lang w:val="en-US"/>
              </w:rPr>
              <w:t>;</w:t>
            </w:r>
          </w:p>
          <w:p w14:paraId="274B4D4B" w14:textId="77777777" w:rsidR="00526315" w:rsidRPr="008C761D" w:rsidRDefault="00526315" w:rsidP="00555720">
            <w:pPr>
              <w:numPr>
                <w:ilvl w:val="0"/>
                <w:numId w:val="49"/>
              </w:numPr>
              <w:spacing w:after="60" w:line="240" w:lineRule="auto"/>
              <w:ind w:left="212" w:hanging="180"/>
              <w:jc w:val="both"/>
              <w:rPr>
                <w:rFonts w:cs="Calibri"/>
                <w:color w:val="FF0000"/>
                <w:sz w:val="20"/>
                <w:szCs w:val="20"/>
                <w:lang w:val="en-US"/>
              </w:rPr>
            </w:pPr>
            <w:r w:rsidRPr="008C761D">
              <w:rPr>
                <w:rFonts w:cs="Calibri"/>
                <w:sz w:val="20"/>
                <w:szCs w:val="20"/>
                <w:lang w:val="en-US"/>
              </w:rPr>
              <w:t>Insufficient commitment of senior management.</w:t>
            </w:r>
          </w:p>
        </w:tc>
      </w:tr>
    </w:tbl>
    <w:p w14:paraId="06364DC9" w14:textId="77777777" w:rsidR="008D1B70" w:rsidRPr="008C761D" w:rsidRDefault="008D1B70" w:rsidP="00E84CD0">
      <w:pPr>
        <w:keepNext/>
        <w:spacing w:before="240" w:after="60" w:line="240" w:lineRule="auto"/>
        <w:jc w:val="both"/>
        <w:outlineLvl w:val="0"/>
        <w:rPr>
          <w:rFonts w:eastAsia="Times New Roman" w:cs="Calibri"/>
          <w:b/>
          <w:bCs/>
          <w:color w:val="2F5496"/>
          <w:kern w:val="32"/>
          <w:lang w:val="en-US"/>
        </w:rPr>
      </w:pPr>
    </w:p>
    <w:p w14:paraId="4BB61E32" w14:textId="6C80B19E" w:rsidR="008D1B70" w:rsidRPr="00555720" w:rsidRDefault="008D1B70" w:rsidP="00BB100C">
      <w:pPr>
        <w:pStyle w:val="Heading1"/>
        <w:rPr>
          <w:rFonts w:ascii="Calibri" w:hAnsi="Calibri" w:cs="Calibri"/>
          <w:color w:val="0070C0"/>
          <w:sz w:val="28"/>
          <w:szCs w:val="28"/>
          <w:lang w:val="en-US"/>
        </w:rPr>
      </w:pPr>
      <w:bookmarkStart w:id="49" w:name="_Toc160611826"/>
      <w:r w:rsidRPr="00555720">
        <w:rPr>
          <w:rFonts w:ascii="Calibri" w:hAnsi="Calibri" w:cs="Calibri"/>
          <w:color w:val="0070C0"/>
          <w:sz w:val="28"/>
          <w:szCs w:val="28"/>
          <w:lang w:val="en-US"/>
        </w:rPr>
        <w:t xml:space="preserve">Priority </w:t>
      </w:r>
      <w:r w:rsidR="00BB100C" w:rsidRPr="00555720">
        <w:rPr>
          <w:rFonts w:ascii="Calibri" w:hAnsi="Calibri" w:cs="Calibri"/>
          <w:color w:val="0070C0"/>
          <w:sz w:val="28"/>
          <w:szCs w:val="28"/>
          <w:lang w:val="en-US"/>
        </w:rPr>
        <w:t>2</w:t>
      </w:r>
      <w:r w:rsidRPr="00555720">
        <w:rPr>
          <w:rFonts w:ascii="Calibri" w:hAnsi="Calibri" w:cs="Calibri"/>
          <w:color w:val="0070C0"/>
          <w:sz w:val="28"/>
          <w:szCs w:val="28"/>
          <w:lang w:val="en-US"/>
        </w:rPr>
        <w:t>: P</w:t>
      </w:r>
      <w:r w:rsidR="00462FE0" w:rsidRPr="00555720">
        <w:rPr>
          <w:rFonts w:ascii="Calibri" w:hAnsi="Calibri" w:cs="Calibri"/>
          <w:color w:val="0070C0"/>
          <w:sz w:val="28"/>
          <w:szCs w:val="28"/>
          <w:lang w:val="en-US"/>
        </w:rPr>
        <w:t>ublic Finance</w:t>
      </w:r>
      <w:r w:rsidRPr="00555720">
        <w:rPr>
          <w:rFonts w:ascii="Calibri" w:hAnsi="Calibri" w:cs="Calibri"/>
          <w:color w:val="0070C0"/>
          <w:sz w:val="28"/>
          <w:szCs w:val="28"/>
          <w:lang w:val="en-US"/>
        </w:rPr>
        <w:t xml:space="preserve"> Academy</w:t>
      </w:r>
      <w:r w:rsidR="006A55CA" w:rsidRPr="00555720">
        <w:rPr>
          <w:rFonts w:ascii="Calibri" w:hAnsi="Calibri" w:cs="Calibri"/>
          <w:color w:val="0070C0"/>
          <w:sz w:val="28"/>
          <w:szCs w:val="28"/>
          <w:lang w:val="en-US"/>
        </w:rPr>
        <w:t xml:space="preserve"> (Learning organisation)</w:t>
      </w:r>
      <w:bookmarkEnd w:id="49"/>
    </w:p>
    <w:p w14:paraId="7E1CCC64" w14:textId="77777777" w:rsidR="008D1B70" w:rsidRPr="008C761D" w:rsidRDefault="008D1B70"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31DA123D" w14:textId="77777777" w:rsidR="008D1B70" w:rsidRPr="008C761D" w:rsidRDefault="008D1B70" w:rsidP="00E84CD0">
      <w:pPr>
        <w:spacing w:before="80" w:after="80" w:line="240" w:lineRule="auto"/>
        <w:jc w:val="both"/>
        <w:rPr>
          <w:rFonts w:eastAsia="Times New Roman" w:cs="Calibri"/>
          <w:color w:val="202124"/>
          <w:lang w:val="en-US"/>
        </w:rPr>
      </w:pPr>
      <w:r w:rsidRPr="008C761D">
        <w:rPr>
          <w:rFonts w:eastAsia="Times New Roman" w:cs="Calibri"/>
          <w:color w:val="000000"/>
          <w:lang w:val="en-US" w:eastAsia="mk-MK"/>
        </w:rPr>
        <w:t>Providing continuous education of the public administration in the field of public financial management and creating a modern and competent administration for rendering quality and fast services to citizens and businesses</w:t>
      </w:r>
    </w:p>
    <w:p w14:paraId="15FA7605" w14:textId="77777777" w:rsidR="008D1B70" w:rsidRPr="008C761D" w:rsidRDefault="008D1B70" w:rsidP="00E84CD0">
      <w:pPr>
        <w:spacing w:before="80" w:after="80" w:line="240" w:lineRule="auto"/>
        <w:jc w:val="both"/>
        <w:rPr>
          <w:rFonts w:eastAsia="Times New Roman" w:cs="Calibri"/>
          <w:color w:val="202124"/>
          <w:lang w:val="en-US"/>
        </w:rPr>
      </w:pPr>
      <w:r w:rsidRPr="008C761D">
        <w:rPr>
          <w:rFonts w:eastAsia="Times New Roman" w:cs="Calibri"/>
          <w:color w:val="202124"/>
          <w:lang w:val="en-US"/>
        </w:rPr>
        <w:t>Objective of this priority will be achieved through the following measures and activities:</w:t>
      </w:r>
    </w:p>
    <w:tbl>
      <w:tblPr>
        <w:tblW w:w="8491" w:type="dxa"/>
        <w:tblInd w:w="548" w:type="dxa"/>
        <w:tblLook w:val="01E0" w:firstRow="1" w:lastRow="1" w:firstColumn="1" w:lastColumn="1" w:noHBand="0" w:noVBand="0"/>
      </w:tblPr>
      <w:tblGrid>
        <w:gridCol w:w="1714"/>
        <w:gridCol w:w="6777"/>
      </w:tblGrid>
      <w:tr w:rsidR="008D1B70" w:rsidRPr="008C761D" w14:paraId="7EC6B2EF" w14:textId="77777777" w:rsidTr="00BA5E44">
        <w:trPr>
          <w:trHeight w:val="488"/>
        </w:trPr>
        <w:tc>
          <w:tcPr>
            <w:tcW w:w="1714" w:type="dxa"/>
            <w:shd w:val="clear" w:color="auto" w:fill="auto"/>
          </w:tcPr>
          <w:p w14:paraId="448E58B6" w14:textId="77777777" w:rsidR="008D1B70" w:rsidRPr="008C761D" w:rsidRDefault="008D1B70"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Measure 1:</w:t>
            </w:r>
          </w:p>
        </w:tc>
        <w:tc>
          <w:tcPr>
            <w:tcW w:w="6777" w:type="dxa"/>
            <w:shd w:val="clear" w:color="auto" w:fill="auto"/>
          </w:tcPr>
          <w:p w14:paraId="23EE0F1E" w14:textId="0E7621FB" w:rsidR="008D1B70" w:rsidRPr="008C761D" w:rsidRDefault="000304CE"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Developing</w:t>
            </w:r>
            <w:r w:rsidR="00FF03E7" w:rsidRPr="008C761D">
              <w:rPr>
                <w:rFonts w:eastAsia="Times New Roman" w:cs="Calibri"/>
                <w:b/>
                <w:color w:val="202124"/>
                <w:lang w:val="en-US"/>
              </w:rPr>
              <w:t xml:space="preserve"> and implementing a curriculum</w:t>
            </w:r>
          </w:p>
        </w:tc>
      </w:tr>
      <w:tr w:rsidR="008D1B70" w:rsidRPr="008C761D" w14:paraId="24590B0C" w14:textId="77777777" w:rsidTr="00BA5E44">
        <w:tc>
          <w:tcPr>
            <w:tcW w:w="1714" w:type="dxa"/>
            <w:shd w:val="clear" w:color="auto" w:fill="auto"/>
          </w:tcPr>
          <w:p w14:paraId="27CB6E24" w14:textId="77777777" w:rsidR="008D1B70" w:rsidRPr="008C761D" w:rsidRDefault="008D1B70" w:rsidP="00E84CD0">
            <w:pPr>
              <w:spacing w:after="0" w:line="240" w:lineRule="auto"/>
              <w:jc w:val="both"/>
              <w:rPr>
                <w:rFonts w:eastAsia="Times New Roman" w:cs="Calibri"/>
                <w:color w:val="202124"/>
                <w:lang w:val="en-US"/>
              </w:rPr>
            </w:pPr>
            <w:r w:rsidRPr="008C761D">
              <w:rPr>
                <w:rFonts w:eastAsia="Times New Roman" w:cs="Calibri"/>
                <w:color w:val="202124"/>
                <w:lang w:val="en-US"/>
              </w:rPr>
              <w:t>Activity 1:</w:t>
            </w:r>
          </w:p>
        </w:tc>
        <w:tc>
          <w:tcPr>
            <w:tcW w:w="6777" w:type="dxa"/>
            <w:shd w:val="clear" w:color="auto" w:fill="auto"/>
          </w:tcPr>
          <w:p w14:paraId="424D2389" w14:textId="29FF3412" w:rsidR="008D1B70" w:rsidRPr="008C761D" w:rsidRDefault="000304CE" w:rsidP="00E84CD0">
            <w:pPr>
              <w:spacing w:after="0" w:line="240" w:lineRule="auto"/>
              <w:jc w:val="both"/>
              <w:rPr>
                <w:rFonts w:eastAsia="Times New Roman" w:cs="Calibri"/>
                <w:color w:val="202124"/>
                <w:lang w:val="en-US"/>
              </w:rPr>
            </w:pPr>
            <w:bookmarkStart w:id="50" w:name="_Hlk155258838"/>
            <w:r w:rsidRPr="008C761D">
              <w:rPr>
                <w:rFonts w:eastAsia="Times New Roman" w:cs="Calibri"/>
                <w:color w:val="202124"/>
                <w:lang w:val="en-US"/>
              </w:rPr>
              <w:t>Developing methodology for preparing annual training programme</w:t>
            </w:r>
            <w:bookmarkEnd w:id="50"/>
            <w:r w:rsidRPr="008C761D">
              <w:rPr>
                <w:rFonts w:eastAsia="Times New Roman" w:cs="Calibri"/>
                <w:color w:val="202124"/>
                <w:lang w:val="en-US"/>
              </w:rPr>
              <w:t xml:space="preserve"> and curriculum</w:t>
            </w:r>
          </w:p>
        </w:tc>
      </w:tr>
      <w:tr w:rsidR="008D1B70" w:rsidRPr="008C761D" w14:paraId="17A4FF5D" w14:textId="77777777" w:rsidTr="00BA5E44">
        <w:tc>
          <w:tcPr>
            <w:tcW w:w="1714" w:type="dxa"/>
            <w:shd w:val="clear" w:color="auto" w:fill="auto"/>
          </w:tcPr>
          <w:p w14:paraId="178F2D27" w14:textId="6A984A13" w:rsidR="00FF03E7"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 xml:space="preserve">Activity </w:t>
            </w:r>
            <w:r w:rsidR="000304CE" w:rsidRPr="008C761D">
              <w:rPr>
                <w:rFonts w:eastAsia="Times New Roman" w:cs="Calibri"/>
                <w:color w:val="202124"/>
                <w:lang w:val="en-US"/>
              </w:rPr>
              <w:t>2</w:t>
            </w:r>
            <w:r w:rsidRPr="008C761D">
              <w:rPr>
                <w:rFonts w:eastAsia="Times New Roman" w:cs="Calibri"/>
                <w:color w:val="202124"/>
                <w:lang w:val="en-US"/>
              </w:rPr>
              <w:t>:</w:t>
            </w:r>
          </w:p>
        </w:tc>
        <w:tc>
          <w:tcPr>
            <w:tcW w:w="6777" w:type="dxa"/>
            <w:shd w:val="clear" w:color="auto" w:fill="auto"/>
          </w:tcPr>
          <w:p w14:paraId="77BFE444" w14:textId="07B987A4" w:rsidR="00FF03E7"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Developing</w:t>
            </w:r>
            <w:r w:rsidR="00514D12">
              <w:rPr>
                <w:rFonts w:eastAsia="Times New Roman" w:cs="Calibri"/>
                <w:color w:val="202124"/>
                <w:lang w:val="en-US"/>
              </w:rPr>
              <w:t xml:space="preserve"> </w:t>
            </w:r>
            <w:r w:rsidRPr="008C761D">
              <w:rPr>
                <w:rFonts w:eastAsia="Times New Roman" w:cs="Calibri"/>
                <w:color w:val="202124"/>
                <w:lang w:val="en-US"/>
              </w:rPr>
              <w:t>evaluation</w:t>
            </w:r>
            <w:r w:rsidR="00514D12">
              <w:rPr>
                <w:rFonts w:eastAsia="Times New Roman" w:cs="Calibri"/>
                <w:color w:val="202124"/>
                <w:lang w:val="en-US"/>
              </w:rPr>
              <w:t xml:space="preserve"> </w:t>
            </w:r>
            <w:r w:rsidRPr="008C761D">
              <w:rPr>
                <w:rFonts w:eastAsia="Times New Roman" w:cs="Calibri"/>
                <w:color w:val="202124"/>
                <w:lang w:val="en-US"/>
              </w:rPr>
              <w:t>form</w:t>
            </w:r>
            <w:r w:rsidR="00514D12">
              <w:rPr>
                <w:rFonts w:eastAsia="Times New Roman" w:cs="Calibri"/>
                <w:color w:val="202124"/>
                <w:lang w:val="en-US"/>
              </w:rPr>
              <w:t xml:space="preserve"> </w:t>
            </w:r>
            <w:r w:rsidRPr="008C761D">
              <w:rPr>
                <w:rFonts w:eastAsia="Times New Roman" w:cs="Calibri"/>
                <w:color w:val="202124"/>
                <w:lang w:val="en-US"/>
              </w:rPr>
              <w:t>for</w:t>
            </w:r>
            <w:r w:rsidR="00514D12">
              <w:rPr>
                <w:rFonts w:eastAsia="Times New Roman" w:cs="Calibri"/>
                <w:color w:val="202124"/>
                <w:lang w:val="en-US"/>
              </w:rPr>
              <w:t xml:space="preserve"> </w:t>
            </w:r>
            <w:r w:rsidRPr="008C761D">
              <w:rPr>
                <w:rFonts w:eastAsia="Times New Roman" w:cs="Calibri"/>
                <w:color w:val="202124"/>
                <w:lang w:val="en-US"/>
              </w:rPr>
              <w:t>participants</w:t>
            </w:r>
          </w:p>
        </w:tc>
      </w:tr>
      <w:tr w:rsidR="008D1B70" w:rsidRPr="008C761D" w14:paraId="1DAACF05" w14:textId="77777777" w:rsidTr="00BA5E44">
        <w:tc>
          <w:tcPr>
            <w:tcW w:w="1714" w:type="dxa"/>
            <w:shd w:val="clear" w:color="auto" w:fill="auto"/>
          </w:tcPr>
          <w:p w14:paraId="2FE55399" w14:textId="77777777" w:rsidR="008D1B70" w:rsidRPr="008C761D" w:rsidRDefault="008D1B70"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Measure 2:</w:t>
            </w:r>
          </w:p>
        </w:tc>
        <w:tc>
          <w:tcPr>
            <w:tcW w:w="6777" w:type="dxa"/>
            <w:shd w:val="clear" w:color="auto" w:fill="auto"/>
          </w:tcPr>
          <w:p w14:paraId="0BC4F2FF" w14:textId="1F87B4A1" w:rsidR="008D1B70" w:rsidRPr="008C761D" w:rsidRDefault="000304CE"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Developing</w:t>
            </w:r>
            <w:r w:rsidR="00FF03E7" w:rsidRPr="008C761D">
              <w:rPr>
                <w:rFonts w:eastAsia="Times New Roman" w:cs="Calibri"/>
                <w:b/>
                <w:color w:val="202124"/>
                <w:lang w:val="en-US"/>
              </w:rPr>
              <w:t xml:space="preserve"> of e-learning platform</w:t>
            </w:r>
          </w:p>
        </w:tc>
      </w:tr>
      <w:tr w:rsidR="008D1B70" w:rsidRPr="008C761D" w14:paraId="2FDBBA61" w14:textId="77777777" w:rsidTr="00BA5E44">
        <w:trPr>
          <w:trHeight w:val="532"/>
        </w:trPr>
        <w:tc>
          <w:tcPr>
            <w:tcW w:w="1714" w:type="dxa"/>
            <w:shd w:val="clear" w:color="auto" w:fill="auto"/>
          </w:tcPr>
          <w:p w14:paraId="3CD4B700" w14:textId="77777777" w:rsidR="008D1B70" w:rsidRPr="008C761D" w:rsidRDefault="008D1B70" w:rsidP="00E84CD0">
            <w:pPr>
              <w:spacing w:after="0" w:line="240" w:lineRule="auto"/>
              <w:jc w:val="both"/>
              <w:rPr>
                <w:rFonts w:eastAsia="Times New Roman" w:cs="Calibri"/>
                <w:color w:val="202124"/>
                <w:lang w:val="en-US"/>
              </w:rPr>
            </w:pPr>
            <w:r w:rsidRPr="008C761D">
              <w:rPr>
                <w:rFonts w:eastAsia="Times New Roman" w:cs="Calibri"/>
                <w:color w:val="202124"/>
                <w:lang w:val="en-US"/>
              </w:rPr>
              <w:t>Activity 1:</w:t>
            </w:r>
          </w:p>
        </w:tc>
        <w:tc>
          <w:tcPr>
            <w:tcW w:w="6777" w:type="dxa"/>
            <w:shd w:val="clear" w:color="auto" w:fill="auto"/>
          </w:tcPr>
          <w:p w14:paraId="477D6014" w14:textId="3429550A" w:rsidR="008D1B70"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 xml:space="preserve">Developing </w:t>
            </w:r>
            <w:proofErr w:type="gramStart"/>
            <w:r w:rsidRPr="008C761D">
              <w:rPr>
                <w:rFonts w:eastAsia="Times New Roman" w:cs="Calibri"/>
                <w:color w:val="202124"/>
                <w:lang w:val="en-US"/>
              </w:rPr>
              <w:t>of  the</w:t>
            </w:r>
            <w:proofErr w:type="gramEnd"/>
            <w:r w:rsidRPr="008C761D">
              <w:rPr>
                <w:rFonts w:eastAsia="Times New Roman" w:cs="Calibri"/>
                <w:color w:val="202124"/>
                <w:lang w:val="en-US"/>
              </w:rPr>
              <w:t xml:space="preserve"> e – learning platform</w:t>
            </w:r>
          </w:p>
        </w:tc>
      </w:tr>
      <w:tr w:rsidR="008D1B70" w:rsidRPr="008C761D" w14:paraId="01DA986A" w14:textId="77777777" w:rsidTr="00BA5E44">
        <w:tc>
          <w:tcPr>
            <w:tcW w:w="1714" w:type="dxa"/>
            <w:shd w:val="clear" w:color="auto" w:fill="auto"/>
          </w:tcPr>
          <w:p w14:paraId="1B89F049" w14:textId="77777777" w:rsidR="008D1B70" w:rsidRPr="008C761D" w:rsidRDefault="008D1B70" w:rsidP="00E84CD0">
            <w:pPr>
              <w:spacing w:after="0" w:line="240" w:lineRule="auto"/>
              <w:jc w:val="both"/>
              <w:rPr>
                <w:rFonts w:eastAsia="Times New Roman" w:cs="Calibri"/>
                <w:color w:val="202124"/>
                <w:lang w:val="en-US"/>
              </w:rPr>
            </w:pPr>
            <w:r w:rsidRPr="008C761D">
              <w:rPr>
                <w:rFonts w:eastAsia="Times New Roman" w:cs="Calibri"/>
                <w:color w:val="202124"/>
                <w:lang w:val="en-US"/>
              </w:rPr>
              <w:t>Activity 2:</w:t>
            </w:r>
          </w:p>
          <w:p w14:paraId="15D3DA38" w14:textId="77777777" w:rsidR="00FF03E7"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Activity 3:</w:t>
            </w:r>
          </w:p>
        </w:tc>
        <w:tc>
          <w:tcPr>
            <w:tcW w:w="6777" w:type="dxa"/>
            <w:shd w:val="clear" w:color="auto" w:fill="auto"/>
          </w:tcPr>
          <w:p w14:paraId="7B674492" w14:textId="77777777" w:rsidR="008D1B70"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Developing video tutorial and guidelines</w:t>
            </w:r>
          </w:p>
          <w:p w14:paraId="43BE9804" w14:textId="247D42C6" w:rsidR="00FF03E7"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Organizing</w:t>
            </w:r>
            <w:r w:rsidR="00514D12">
              <w:rPr>
                <w:rFonts w:eastAsia="Times New Roman" w:cs="Calibri"/>
                <w:color w:val="202124"/>
                <w:lang w:val="en-US"/>
              </w:rPr>
              <w:t xml:space="preserve"> </w:t>
            </w:r>
            <w:r w:rsidRPr="008C761D">
              <w:rPr>
                <w:rFonts w:eastAsia="Times New Roman" w:cs="Calibri"/>
                <w:color w:val="202124"/>
                <w:lang w:val="en-US"/>
              </w:rPr>
              <w:t>online</w:t>
            </w:r>
            <w:r w:rsidR="00514D12">
              <w:rPr>
                <w:rFonts w:eastAsia="Times New Roman" w:cs="Calibri"/>
                <w:color w:val="202124"/>
                <w:lang w:val="en-US"/>
              </w:rPr>
              <w:t xml:space="preserve"> </w:t>
            </w:r>
            <w:r w:rsidR="00514D12" w:rsidRPr="008C761D">
              <w:rPr>
                <w:rFonts w:eastAsia="Times New Roman" w:cs="Calibri"/>
                <w:color w:val="202124"/>
                <w:lang w:val="en-US"/>
              </w:rPr>
              <w:t>trainings</w:t>
            </w:r>
          </w:p>
        </w:tc>
      </w:tr>
      <w:tr w:rsidR="008D1B70" w:rsidRPr="008C761D" w14:paraId="28F74FF9" w14:textId="77777777" w:rsidTr="00BA5E44">
        <w:tc>
          <w:tcPr>
            <w:tcW w:w="1714" w:type="dxa"/>
            <w:shd w:val="clear" w:color="auto" w:fill="auto"/>
          </w:tcPr>
          <w:p w14:paraId="3A15CE82" w14:textId="77777777" w:rsidR="008D1B70" w:rsidRPr="008C761D" w:rsidRDefault="008D1B70"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Measure 3:</w:t>
            </w:r>
          </w:p>
        </w:tc>
        <w:tc>
          <w:tcPr>
            <w:tcW w:w="6777" w:type="dxa"/>
            <w:shd w:val="clear" w:color="auto" w:fill="auto"/>
          </w:tcPr>
          <w:p w14:paraId="71A02D50" w14:textId="77777777" w:rsidR="008D1B70" w:rsidRPr="008C761D" w:rsidRDefault="00FF03E7" w:rsidP="00E84CD0">
            <w:pPr>
              <w:spacing w:before="120" w:line="240" w:lineRule="auto"/>
              <w:jc w:val="both"/>
              <w:rPr>
                <w:rFonts w:eastAsia="Times New Roman" w:cs="Calibri"/>
                <w:b/>
                <w:color w:val="202124"/>
                <w:lang w:val="en-US"/>
              </w:rPr>
            </w:pPr>
            <w:r w:rsidRPr="008C761D">
              <w:rPr>
                <w:rFonts w:eastAsia="Times New Roman" w:cs="Calibri"/>
                <w:b/>
                <w:color w:val="202124"/>
                <w:lang w:val="en-US"/>
              </w:rPr>
              <w:t>Developing leadership program</w:t>
            </w:r>
          </w:p>
        </w:tc>
      </w:tr>
      <w:tr w:rsidR="008D1B70" w:rsidRPr="008C761D" w14:paraId="5EC9D011" w14:textId="77777777" w:rsidTr="00BA5E44">
        <w:tc>
          <w:tcPr>
            <w:tcW w:w="1714" w:type="dxa"/>
            <w:shd w:val="clear" w:color="auto" w:fill="auto"/>
          </w:tcPr>
          <w:p w14:paraId="32C3CB50" w14:textId="77777777" w:rsidR="008D1B70" w:rsidRPr="008C761D" w:rsidRDefault="008D1B70" w:rsidP="00E84CD0">
            <w:pPr>
              <w:spacing w:after="0" w:line="240" w:lineRule="auto"/>
              <w:jc w:val="both"/>
              <w:rPr>
                <w:rFonts w:eastAsia="Times New Roman" w:cs="Calibri"/>
                <w:color w:val="202124"/>
                <w:lang w:val="en-US"/>
              </w:rPr>
            </w:pPr>
            <w:r w:rsidRPr="008C761D">
              <w:rPr>
                <w:rFonts w:eastAsia="Times New Roman" w:cs="Calibri"/>
                <w:color w:val="202124"/>
                <w:lang w:val="en-US"/>
              </w:rPr>
              <w:t>Activity 1:</w:t>
            </w:r>
          </w:p>
          <w:p w14:paraId="01AF23CA" w14:textId="77777777" w:rsidR="000304CE" w:rsidRPr="008C761D" w:rsidRDefault="000304CE" w:rsidP="00E84CD0">
            <w:pPr>
              <w:spacing w:after="0" w:line="240" w:lineRule="auto"/>
              <w:jc w:val="both"/>
              <w:rPr>
                <w:rFonts w:eastAsia="Times New Roman" w:cs="Calibri"/>
                <w:color w:val="202124"/>
                <w:lang w:val="en-US"/>
              </w:rPr>
            </w:pPr>
          </w:p>
          <w:p w14:paraId="36FCBD6C" w14:textId="42F2DA19" w:rsidR="00FF03E7" w:rsidRPr="008C761D" w:rsidRDefault="00FF03E7" w:rsidP="00E84CD0">
            <w:pPr>
              <w:spacing w:after="0" w:line="240" w:lineRule="auto"/>
              <w:jc w:val="both"/>
              <w:rPr>
                <w:rFonts w:eastAsia="Times New Roman" w:cs="Calibri"/>
                <w:color w:val="202124"/>
                <w:lang w:val="en-US"/>
              </w:rPr>
            </w:pPr>
            <w:r w:rsidRPr="008C761D">
              <w:rPr>
                <w:rFonts w:eastAsia="Times New Roman" w:cs="Calibri"/>
                <w:color w:val="202124"/>
                <w:lang w:val="en-US"/>
              </w:rPr>
              <w:t xml:space="preserve">Activity </w:t>
            </w:r>
            <w:r w:rsidR="000304CE" w:rsidRPr="008C761D">
              <w:rPr>
                <w:rFonts w:eastAsia="Times New Roman" w:cs="Calibri"/>
                <w:color w:val="202124"/>
                <w:lang w:val="en-US"/>
              </w:rPr>
              <w:t>2</w:t>
            </w:r>
            <w:r w:rsidRPr="008C761D">
              <w:rPr>
                <w:rFonts w:eastAsia="Times New Roman" w:cs="Calibri"/>
                <w:color w:val="202124"/>
                <w:lang w:val="en-US"/>
              </w:rPr>
              <w:t>:</w:t>
            </w:r>
          </w:p>
        </w:tc>
        <w:tc>
          <w:tcPr>
            <w:tcW w:w="6777" w:type="dxa"/>
            <w:shd w:val="clear" w:color="auto" w:fill="auto"/>
          </w:tcPr>
          <w:p w14:paraId="0D317625" w14:textId="77777777" w:rsidR="004B70A2" w:rsidRDefault="000304CE" w:rsidP="00FF03E7">
            <w:pPr>
              <w:spacing w:after="0" w:line="240" w:lineRule="auto"/>
              <w:jc w:val="both"/>
              <w:rPr>
                <w:rFonts w:eastAsia="Times New Roman" w:cs="Calibri"/>
                <w:color w:val="202124"/>
                <w:lang w:val="en-US"/>
              </w:rPr>
            </w:pPr>
            <w:r w:rsidRPr="008C761D">
              <w:rPr>
                <w:rFonts w:eastAsia="Times New Roman" w:cs="Calibri"/>
                <w:color w:val="202124"/>
                <w:lang w:val="en-US"/>
              </w:rPr>
              <w:t>Developing methodology for preparing annual training programme and curriculum</w:t>
            </w:r>
            <w:bookmarkStart w:id="51" w:name="_Hlk153454517"/>
            <w:r w:rsidR="00514D12">
              <w:rPr>
                <w:rFonts w:eastAsia="Times New Roman" w:cs="Calibri"/>
                <w:color w:val="202124"/>
                <w:lang w:val="en-US"/>
              </w:rPr>
              <w:t xml:space="preserve"> </w:t>
            </w:r>
          </w:p>
          <w:p w14:paraId="6D3BB7E4" w14:textId="39ABC1AA" w:rsidR="00FF03E7" w:rsidRPr="008C761D" w:rsidRDefault="00FF03E7" w:rsidP="00FF03E7">
            <w:pPr>
              <w:spacing w:after="0" w:line="240" w:lineRule="auto"/>
              <w:jc w:val="both"/>
              <w:rPr>
                <w:rFonts w:eastAsia="Times New Roman" w:cs="Calibri"/>
                <w:color w:val="202124"/>
                <w:lang w:val="en-US"/>
              </w:rPr>
            </w:pPr>
            <w:r w:rsidRPr="008C761D">
              <w:rPr>
                <w:rFonts w:eastAsia="Times New Roman" w:cs="Calibri"/>
                <w:color w:val="202124"/>
                <w:lang w:val="en-US"/>
              </w:rPr>
              <w:t xml:space="preserve">Organizing trainings   </w:t>
            </w:r>
          </w:p>
          <w:bookmarkEnd w:id="51"/>
          <w:p w14:paraId="270AA788" w14:textId="77777777" w:rsidR="00FF03E7" w:rsidRPr="008C761D" w:rsidRDefault="00FF03E7" w:rsidP="00E84CD0">
            <w:pPr>
              <w:spacing w:after="0" w:line="240" w:lineRule="auto"/>
              <w:jc w:val="both"/>
              <w:rPr>
                <w:rFonts w:eastAsia="Times New Roman" w:cs="Calibri"/>
                <w:color w:val="202124"/>
                <w:lang w:val="en-US"/>
              </w:rPr>
            </w:pPr>
          </w:p>
        </w:tc>
      </w:tr>
    </w:tbl>
    <w:p w14:paraId="7F3FF6D6" w14:textId="77777777" w:rsidR="008D1B70" w:rsidRPr="008C761D" w:rsidRDefault="008D1B70"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53ED67B4" w14:textId="77777777" w:rsidR="008D1B70" w:rsidRPr="008C761D" w:rsidRDefault="008D1B70" w:rsidP="00E84CD0">
      <w:pPr>
        <w:spacing w:after="0" w:line="240" w:lineRule="auto"/>
        <w:ind w:left="851"/>
        <w:jc w:val="both"/>
        <w:rPr>
          <w:rFonts w:eastAsia="Times New Roman" w:cs="Calibri"/>
          <w:color w:val="202124"/>
          <w:lang w:val="en-US"/>
        </w:rPr>
      </w:pPr>
      <w:r w:rsidRPr="008C761D">
        <w:rPr>
          <w:rFonts w:eastAsia="Times New Roman" w:cs="Calibri"/>
          <w:color w:val="202124"/>
          <w:lang w:val="en-US"/>
        </w:rPr>
        <w:t>Provided continuous education in the field of public financial management.</w:t>
      </w:r>
    </w:p>
    <w:p w14:paraId="55B036E3" w14:textId="77777777" w:rsidR="008D1B70" w:rsidRPr="008C761D" w:rsidRDefault="008D1B70"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w:t>
      </w:r>
    </w:p>
    <w:p w14:paraId="64367BC7" w14:textId="77777777" w:rsidR="008D1B70" w:rsidRPr="008C761D" w:rsidRDefault="008D1B70" w:rsidP="003A338C">
      <w:pPr>
        <w:numPr>
          <w:ilvl w:val="0"/>
          <w:numId w:val="85"/>
        </w:numPr>
        <w:tabs>
          <w:tab w:val="left" w:pos="851"/>
        </w:tabs>
        <w:spacing w:before="120" w:after="120" w:line="240" w:lineRule="auto"/>
        <w:jc w:val="both"/>
        <w:rPr>
          <w:rFonts w:eastAsia="Times New Roman" w:cs="Calibri"/>
          <w:color w:val="202124"/>
          <w:lang w:val="en-US"/>
        </w:rPr>
      </w:pPr>
      <w:r w:rsidRPr="008C761D">
        <w:rPr>
          <w:rFonts w:eastAsia="Times New Roman" w:cs="Calibri"/>
          <w:color w:val="202124"/>
          <w:lang w:val="en-US"/>
        </w:rPr>
        <w:t xml:space="preserve">Management's perception of whether the Academy adds value to their employees (low, medium or high level of </w:t>
      </w:r>
      <w:proofErr w:type="gramStart"/>
      <w:r w:rsidRPr="008C761D">
        <w:rPr>
          <w:rFonts w:eastAsia="Times New Roman" w:cs="Calibri"/>
          <w:color w:val="202124"/>
          <w:lang w:val="en-US"/>
        </w:rPr>
        <w:t>value added</w:t>
      </w:r>
      <w:proofErr w:type="gramEnd"/>
      <w:r w:rsidRPr="008C761D">
        <w:rPr>
          <w:rFonts w:eastAsia="Times New Roman" w:cs="Calibri"/>
          <w:color w:val="202124"/>
          <w:lang w:val="en-US"/>
        </w:rPr>
        <w:t xml:space="preserve"> perception).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460ED3" w:rsidRPr="005C0E14" w14:paraId="618E67B4" w14:textId="77777777" w:rsidTr="00356610">
        <w:trPr>
          <w:trHeight w:val="395"/>
        </w:trPr>
        <w:tc>
          <w:tcPr>
            <w:tcW w:w="4500" w:type="dxa"/>
            <w:shd w:val="clear" w:color="auto" w:fill="E8E8E8"/>
          </w:tcPr>
          <w:p w14:paraId="19376EEA"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Baseline 2022</w:t>
            </w:r>
          </w:p>
        </w:tc>
        <w:tc>
          <w:tcPr>
            <w:tcW w:w="4608" w:type="dxa"/>
            <w:shd w:val="clear" w:color="auto" w:fill="E8E8E8"/>
          </w:tcPr>
          <w:p w14:paraId="7EA6D6E1" w14:textId="77777777" w:rsidR="00460ED3" w:rsidRPr="005C0E14" w:rsidRDefault="00460ED3" w:rsidP="002B77A4">
            <w:pPr>
              <w:spacing w:line="240" w:lineRule="auto"/>
              <w:jc w:val="both"/>
              <w:rPr>
                <w:rFonts w:eastAsia="Times New Roman" w:cs="Calibri"/>
                <w:b/>
                <w:bCs/>
                <w:i/>
                <w:iCs/>
                <w:color w:val="202124"/>
                <w:sz w:val="20"/>
                <w:szCs w:val="20"/>
                <w:lang w:val="en-US"/>
              </w:rPr>
            </w:pPr>
            <w:r w:rsidRPr="005C0E14">
              <w:rPr>
                <w:rFonts w:eastAsia="Times New Roman" w:cs="Calibri"/>
                <w:b/>
                <w:bCs/>
                <w:i/>
                <w:iCs/>
                <w:color w:val="202124"/>
                <w:sz w:val="20"/>
                <w:szCs w:val="20"/>
                <w:lang w:val="en-US"/>
              </w:rPr>
              <w:t>Target 2027</w:t>
            </w:r>
          </w:p>
        </w:tc>
      </w:tr>
      <w:tr w:rsidR="00460ED3" w:rsidRPr="005C0E14" w14:paraId="075FB4AD" w14:textId="77777777" w:rsidTr="00356610">
        <w:trPr>
          <w:trHeight w:val="278"/>
        </w:trPr>
        <w:tc>
          <w:tcPr>
            <w:tcW w:w="4500" w:type="dxa"/>
            <w:shd w:val="clear" w:color="auto" w:fill="E8E8E8"/>
          </w:tcPr>
          <w:p w14:paraId="2F2D48DF" w14:textId="77777777" w:rsidR="00460ED3" w:rsidRPr="005C0E14" w:rsidRDefault="003C1602" w:rsidP="002B77A4">
            <w:pPr>
              <w:spacing w:line="240" w:lineRule="auto"/>
              <w:jc w:val="both"/>
              <w:rPr>
                <w:rFonts w:eastAsia="Times New Roman" w:cs="Calibri"/>
                <w:color w:val="202124"/>
                <w:sz w:val="20"/>
                <w:szCs w:val="20"/>
                <w:lang w:val="en-US"/>
              </w:rPr>
            </w:pPr>
            <w:r w:rsidRPr="005C0E14">
              <w:rPr>
                <w:rFonts w:eastAsia="Times New Roman" w:cs="Calibri"/>
                <w:color w:val="202124"/>
                <w:sz w:val="20"/>
                <w:szCs w:val="20"/>
                <w:lang w:val="en-US"/>
              </w:rPr>
              <w:t>/</w:t>
            </w:r>
          </w:p>
        </w:tc>
        <w:tc>
          <w:tcPr>
            <w:tcW w:w="4608" w:type="dxa"/>
            <w:shd w:val="clear" w:color="auto" w:fill="E8E8E8"/>
          </w:tcPr>
          <w:p w14:paraId="77515CBD" w14:textId="114885EA" w:rsidR="00460ED3" w:rsidRPr="005C0E14" w:rsidRDefault="004B70A2" w:rsidP="002B77A4">
            <w:pPr>
              <w:spacing w:line="240" w:lineRule="auto"/>
              <w:jc w:val="both"/>
              <w:rPr>
                <w:rFonts w:eastAsia="Times New Roman" w:cs="Calibri"/>
                <w:color w:val="202124"/>
                <w:sz w:val="20"/>
                <w:szCs w:val="20"/>
                <w:lang w:val="en-US"/>
              </w:rPr>
            </w:pPr>
            <w:r>
              <w:rPr>
                <w:rFonts w:eastAsia="Times New Roman" w:cs="Calibri"/>
                <w:color w:val="202124"/>
                <w:sz w:val="20"/>
                <w:szCs w:val="20"/>
                <w:lang w:val="en-US"/>
              </w:rPr>
              <w:t>H</w:t>
            </w:r>
            <w:r w:rsidR="003C1602" w:rsidRPr="005C0E14">
              <w:rPr>
                <w:rFonts w:eastAsia="Times New Roman" w:cs="Calibri"/>
                <w:color w:val="202124"/>
                <w:sz w:val="20"/>
                <w:szCs w:val="20"/>
                <w:lang w:val="en-US"/>
              </w:rPr>
              <w:t>igh</w:t>
            </w:r>
          </w:p>
        </w:tc>
      </w:tr>
    </w:tbl>
    <w:p w14:paraId="3232E3C0" w14:textId="6D0AED84" w:rsidR="005C0E14" w:rsidRDefault="002428A3" w:rsidP="005C0E14">
      <w:pPr>
        <w:spacing w:before="360" w:after="0" w:line="240" w:lineRule="auto"/>
        <w:jc w:val="both"/>
        <w:rPr>
          <w:rFonts w:cs="Calibri"/>
          <w:b/>
          <w:bCs/>
          <w:iCs/>
          <w:color w:val="0070C0"/>
          <w:sz w:val="24"/>
          <w:szCs w:val="24"/>
          <w:lang w:val="en-US"/>
        </w:rPr>
      </w:pPr>
      <w:r w:rsidRPr="008C761D">
        <w:rPr>
          <w:rFonts w:cs="Calibri"/>
          <w:b/>
          <w:bCs/>
          <w:iCs/>
          <w:color w:val="0070C0"/>
          <w:sz w:val="24"/>
          <w:szCs w:val="24"/>
          <w:lang w:val="en-US"/>
        </w:rPr>
        <w:t xml:space="preserve">Measure 1: </w:t>
      </w:r>
      <w:r w:rsidR="000304CE" w:rsidRPr="008C761D">
        <w:rPr>
          <w:rFonts w:cs="Calibri"/>
          <w:b/>
          <w:bCs/>
          <w:iCs/>
          <w:color w:val="0070C0"/>
          <w:sz w:val="24"/>
          <w:szCs w:val="24"/>
          <w:lang w:val="en-US"/>
        </w:rPr>
        <w:t>Developing</w:t>
      </w:r>
      <w:r w:rsidR="00514D12">
        <w:rPr>
          <w:rFonts w:cs="Calibri"/>
          <w:b/>
          <w:bCs/>
          <w:iCs/>
          <w:color w:val="0070C0"/>
          <w:sz w:val="24"/>
          <w:szCs w:val="24"/>
          <w:lang w:val="en-US"/>
        </w:rPr>
        <w:t xml:space="preserve"> </w:t>
      </w:r>
      <w:r w:rsidRPr="008C761D">
        <w:rPr>
          <w:rFonts w:cs="Calibri"/>
          <w:b/>
          <w:bCs/>
          <w:iCs/>
          <w:color w:val="0070C0"/>
          <w:sz w:val="24"/>
          <w:szCs w:val="24"/>
          <w:lang w:val="en-US"/>
        </w:rPr>
        <w:t>and</w:t>
      </w:r>
      <w:r w:rsidR="00514D12">
        <w:rPr>
          <w:rFonts w:cs="Calibri"/>
          <w:b/>
          <w:bCs/>
          <w:iCs/>
          <w:color w:val="0070C0"/>
          <w:sz w:val="24"/>
          <w:szCs w:val="24"/>
          <w:lang w:val="en-US"/>
        </w:rPr>
        <w:t xml:space="preserve"> </w:t>
      </w:r>
      <w:r w:rsidRPr="008C761D">
        <w:rPr>
          <w:rFonts w:cs="Calibri"/>
          <w:b/>
          <w:bCs/>
          <w:iCs/>
          <w:color w:val="0070C0"/>
          <w:sz w:val="24"/>
          <w:szCs w:val="24"/>
          <w:lang w:val="en-US"/>
        </w:rPr>
        <w:t>implementing a curriculum</w:t>
      </w:r>
      <w:r w:rsidRPr="008C761D">
        <w:rPr>
          <w:rFonts w:cs="Calibri"/>
          <w:b/>
          <w:bCs/>
          <w:iCs/>
          <w:color w:val="0070C0"/>
          <w:sz w:val="24"/>
          <w:szCs w:val="24"/>
          <w:lang w:val="en-US"/>
        </w:rPr>
        <w:tab/>
      </w:r>
    </w:p>
    <w:p w14:paraId="024A5667" w14:textId="77777777" w:rsidR="005C0E14" w:rsidRDefault="002428A3" w:rsidP="005C0E14">
      <w:pPr>
        <w:spacing w:before="360" w:after="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44E75473" w14:textId="77777777" w:rsidR="005C0E14" w:rsidRDefault="002428A3" w:rsidP="005C0E14">
      <w:pPr>
        <w:spacing w:before="360" w:after="0" w:line="240" w:lineRule="auto"/>
        <w:jc w:val="both"/>
        <w:rPr>
          <w:rFonts w:eastAsia="MS PGothic" w:cs="Calibri"/>
          <w:bCs/>
          <w:iCs/>
          <w:lang w:val="en-US" w:eastAsia="zh-CN"/>
        </w:rPr>
      </w:pPr>
      <w:r w:rsidRPr="008C761D">
        <w:rPr>
          <w:rFonts w:eastAsia="MS PGothic" w:cs="Calibri"/>
          <w:bCs/>
          <w:iCs/>
          <w:lang w:val="en-US" w:eastAsia="zh-CN"/>
        </w:rPr>
        <w:lastRenderedPageBreak/>
        <w:t>Supporting the operations of the Academy by preparing appropriate methodological tools and a comprehensive Training Program.</w:t>
      </w:r>
    </w:p>
    <w:p w14:paraId="7C870637" w14:textId="77777777" w:rsidR="005C0E14" w:rsidRDefault="002428A3" w:rsidP="005C0E14">
      <w:pPr>
        <w:spacing w:before="360" w:after="0"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2EC608B6" w14:textId="2B5F27CF" w:rsidR="002428A3" w:rsidRPr="008C761D" w:rsidRDefault="002428A3" w:rsidP="005C0E14">
      <w:pPr>
        <w:spacing w:before="360" w:after="0" w:line="240" w:lineRule="auto"/>
        <w:jc w:val="both"/>
        <w:rPr>
          <w:rFonts w:eastAsia="MS PGothic" w:cs="Calibri"/>
          <w:bCs/>
          <w:iCs/>
          <w:lang w:val="en-US" w:eastAsia="zh-CN"/>
        </w:rPr>
      </w:pPr>
      <w:r w:rsidRPr="008C761D">
        <w:rPr>
          <w:rFonts w:eastAsia="MS PGothic" w:cs="Calibri"/>
          <w:bCs/>
          <w:iCs/>
          <w:lang w:val="en-US" w:eastAsia="zh-CN"/>
        </w:rPr>
        <w:t>Within the Twinning Project "Strengthening Budget Planning, Execution and Internal Control Functions", the preparation of methodological tools and guidelines on the operations of the Academy, has commenced. In addition, under the same project, analyses for the training needs in different areas as regards public financial management have been prepared, which should be used as input in the preparation of the Annual Training Program and the curricula of the Academy.</w:t>
      </w:r>
    </w:p>
    <w:p w14:paraId="7E48F512" w14:textId="1DB7037A" w:rsidR="002428A3" w:rsidRPr="00555720" w:rsidRDefault="002428A3" w:rsidP="002428A3">
      <w:pPr>
        <w:keepNext/>
        <w:keepLines/>
        <w:spacing w:before="160" w:after="60" w:line="240" w:lineRule="auto"/>
        <w:jc w:val="both"/>
        <w:outlineLvl w:val="3"/>
        <w:rPr>
          <w:rFonts w:eastAsia="MS PGothic" w:cs="Calibri"/>
          <w:b/>
          <w:bCs/>
          <w:iCs/>
          <w:color w:val="0070C0"/>
          <w:lang w:val="en-US" w:eastAsia="zh-CN"/>
        </w:rPr>
      </w:pPr>
      <w:r w:rsidRPr="00555720">
        <w:rPr>
          <w:rFonts w:eastAsia="MS PGothic" w:cs="Calibri"/>
          <w:b/>
          <w:bCs/>
          <w:iCs/>
          <w:color w:val="0070C0"/>
          <w:lang w:val="en-US" w:eastAsia="zh-CN"/>
        </w:rPr>
        <w:t xml:space="preserve">Activity 1: </w:t>
      </w:r>
      <w:r w:rsidR="000304CE" w:rsidRPr="00555720">
        <w:rPr>
          <w:rFonts w:eastAsia="MS PGothic" w:cs="Calibri"/>
          <w:b/>
          <w:bCs/>
          <w:iCs/>
          <w:color w:val="0070C0"/>
          <w:lang w:val="en-US" w:eastAsia="zh-CN"/>
        </w:rPr>
        <w:t>Developing methodology for preparing annual training programme and curriculum</w:t>
      </w:r>
    </w:p>
    <w:p w14:paraId="2E3B313A" w14:textId="30C59D44" w:rsidR="008739B8" w:rsidRPr="008C761D" w:rsidRDefault="000304CE" w:rsidP="002428A3">
      <w:pPr>
        <w:keepNext/>
        <w:keepLines/>
        <w:spacing w:before="160" w:after="60" w:line="240" w:lineRule="auto"/>
        <w:jc w:val="both"/>
        <w:outlineLvl w:val="3"/>
        <w:rPr>
          <w:rFonts w:eastAsia="MS PGothic" w:cs="Calibri"/>
          <w:bCs/>
          <w:iCs/>
          <w:lang w:val="en-US" w:eastAsia="zh-CN"/>
        </w:rPr>
      </w:pPr>
      <w:bookmarkStart w:id="52" w:name="_Hlk153543107"/>
      <w:r w:rsidRPr="008C761D">
        <w:rPr>
          <w:rFonts w:eastAsia="MS PGothic" w:cs="Calibri"/>
          <w:bCs/>
          <w:iCs/>
          <w:lang w:val="en-US" w:eastAsia="zh-CN"/>
        </w:rPr>
        <w:t xml:space="preserve">Within this activity, the Public Finance Academy will </w:t>
      </w:r>
      <w:r w:rsidR="00514D12" w:rsidRPr="008C761D">
        <w:rPr>
          <w:rFonts w:eastAsia="MS PGothic" w:cs="Calibri"/>
          <w:bCs/>
          <w:iCs/>
          <w:lang w:val="en-US" w:eastAsia="zh-CN"/>
        </w:rPr>
        <w:t>develop</w:t>
      </w:r>
      <w:r w:rsidR="005E209F">
        <w:rPr>
          <w:rFonts w:eastAsia="MS PGothic" w:cs="Calibri"/>
          <w:bCs/>
          <w:iCs/>
          <w:lang w:val="en-US" w:eastAsia="zh-CN"/>
        </w:rPr>
        <w:t>e</w:t>
      </w:r>
      <w:r w:rsidR="00514D12">
        <w:rPr>
          <w:rFonts w:eastAsia="MS PGothic" w:cs="Calibri"/>
          <w:bCs/>
          <w:iCs/>
          <w:lang w:val="en-US" w:eastAsia="zh-CN"/>
        </w:rPr>
        <w:t xml:space="preserve"> </w:t>
      </w:r>
      <w:r w:rsidRPr="008C761D">
        <w:rPr>
          <w:rFonts w:eastAsia="MS PGothic" w:cs="Calibri"/>
          <w:bCs/>
          <w:iCs/>
          <w:lang w:val="en-US" w:eastAsia="zh-CN"/>
        </w:rPr>
        <w:t>methodology for preparing annual training programme</w:t>
      </w:r>
      <w:r w:rsidR="00514D12">
        <w:rPr>
          <w:rFonts w:eastAsia="MS PGothic" w:cs="Calibri"/>
          <w:bCs/>
          <w:iCs/>
          <w:lang w:val="en-US" w:eastAsia="zh-CN"/>
        </w:rPr>
        <w:t xml:space="preserve"> </w:t>
      </w:r>
      <w:r w:rsidRPr="008C761D">
        <w:rPr>
          <w:lang w:val="en-US"/>
        </w:rPr>
        <w:t xml:space="preserve">and </w:t>
      </w:r>
      <w:r w:rsidRPr="008C761D">
        <w:rPr>
          <w:rFonts w:eastAsia="MS PGothic" w:cs="Calibri"/>
          <w:bCs/>
          <w:iCs/>
          <w:lang w:val="en-US" w:eastAsia="zh-CN"/>
        </w:rPr>
        <w:t xml:space="preserve">curriculum which will lead for preparing training needs assessment, the </w:t>
      </w:r>
      <w:r w:rsidRPr="008C761D">
        <w:rPr>
          <w:lang w:val="en-US"/>
        </w:rPr>
        <w:t>Annual</w:t>
      </w:r>
      <w:r w:rsidR="00514D12">
        <w:rPr>
          <w:lang w:val="en-US"/>
        </w:rPr>
        <w:t xml:space="preserve"> </w:t>
      </w:r>
      <w:r w:rsidRPr="008C761D">
        <w:rPr>
          <w:lang w:val="en-US"/>
        </w:rPr>
        <w:t>Training</w:t>
      </w:r>
      <w:r w:rsidR="00514D12">
        <w:rPr>
          <w:lang w:val="en-US"/>
        </w:rPr>
        <w:t xml:space="preserve"> </w:t>
      </w:r>
      <w:r w:rsidRPr="008C761D">
        <w:rPr>
          <w:lang w:val="en-US"/>
        </w:rPr>
        <w:t>Program</w:t>
      </w:r>
      <w:r w:rsidR="00514D12">
        <w:rPr>
          <w:lang w:val="en-US"/>
        </w:rPr>
        <w:t xml:space="preserve"> </w:t>
      </w:r>
      <w:r w:rsidRPr="008C761D">
        <w:rPr>
          <w:rFonts w:eastAsia="MS PGothic" w:cs="Calibri"/>
          <w:bCs/>
          <w:iCs/>
          <w:lang w:val="en-US" w:eastAsia="zh-CN"/>
        </w:rPr>
        <w:t>and curriculum.</w:t>
      </w:r>
    </w:p>
    <w:p w14:paraId="63803383" w14:textId="05F8A0BD" w:rsidR="002428A3" w:rsidRPr="00555720" w:rsidRDefault="000304CE" w:rsidP="002428A3">
      <w:pPr>
        <w:keepNext/>
        <w:keepLines/>
        <w:spacing w:before="160" w:after="60" w:line="240" w:lineRule="auto"/>
        <w:jc w:val="both"/>
        <w:outlineLvl w:val="3"/>
        <w:rPr>
          <w:rFonts w:eastAsia="MS PGothic" w:cs="Calibri"/>
          <w:b/>
          <w:bCs/>
          <w:iCs/>
          <w:color w:val="0070C0"/>
          <w:lang w:val="en-US" w:eastAsia="zh-CN"/>
        </w:rPr>
      </w:pPr>
      <w:r w:rsidRPr="008C761D">
        <w:rPr>
          <w:rFonts w:eastAsia="MS PGothic" w:cs="Calibri"/>
          <w:bCs/>
          <w:iCs/>
          <w:lang w:val="en-US" w:eastAsia="zh-CN"/>
        </w:rPr>
        <w:t xml:space="preserve"> </w:t>
      </w:r>
      <w:bookmarkEnd w:id="52"/>
      <w:r w:rsidR="002428A3" w:rsidRPr="00555720">
        <w:rPr>
          <w:rFonts w:eastAsia="MS PGothic" w:cs="Calibri"/>
          <w:b/>
          <w:bCs/>
          <w:iCs/>
          <w:color w:val="0070C0"/>
          <w:lang w:val="en-US" w:eastAsia="zh-CN"/>
        </w:rPr>
        <w:t xml:space="preserve">Activity </w:t>
      </w:r>
      <w:r w:rsidRPr="00555720">
        <w:rPr>
          <w:rFonts w:eastAsia="MS PGothic" w:cs="Calibri"/>
          <w:b/>
          <w:bCs/>
          <w:iCs/>
          <w:color w:val="0070C0"/>
          <w:lang w:val="en-US" w:eastAsia="zh-CN"/>
        </w:rPr>
        <w:t>2</w:t>
      </w:r>
      <w:r w:rsidR="002428A3" w:rsidRPr="00555720">
        <w:rPr>
          <w:rFonts w:eastAsia="MS PGothic" w:cs="Calibri"/>
          <w:b/>
          <w:bCs/>
          <w:iCs/>
          <w:color w:val="0070C0"/>
          <w:lang w:val="en-US" w:eastAsia="zh-CN"/>
        </w:rPr>
        <w:t>: Developing evaluation form for participants</w:t>
      </w:r>
    </w:p>
    <w:p w14:paraId="1A8966FD" w14:textId="22787D26" w:rsidR="002428A3" w:rsidRPr="005C0E14" w:rsidRDefault="002428A3" w:rsidP="005C0E14">
      <w:pPr>
        <w:keepNext/>
        <w:keepLines/>
        <w:spacing w:before="160" w:after="60" w:line="240" w:lineRule="auto"/>
        <w:jc w:val="both"/>
        <w:outlineLvl w:val="3"/>
        <w:rPr>
          <w:rFonts w:eastAsia="MS PGothic" w:cs="Calibri"/>
          <w:bCs/>
          <w:iCs/>
          <w:lang w:val="en-US" w:eastAsia="zh-CN"/>
        </w:rPr>
      </w:pPr>
      <w:r w:rsidRPr="008C761D">
        <w:rPr>
          <w:rFonts w:eastAsia="MS PGothic" w:cs="Calibri"/>
          <w:bCs/>
          <w:iCs/>
          <w:lang w:val="en-US" w:eastAsia="zh-CN"/>
        </w:rPr>
        <w:t xml:space="preserve">This activity will </w:t>
      </w:r>
      <w:r w:rsidR="00514D12" w:rsidRPr="008C761D">
        <w:rPr>
          <w:rFonts w:eastAsia="MS PGothic" w:cs="Calibri"/>
          <w:bCs/>
          <w:iCs/>
          <w:lang w:val="en-US" w:eastAsia="zh-CN"/>
        </w:rPr>
        <w:t>involve</w:t>
      </w:r>
      <w:r w:rsidRPr="008C761D">
        <w:rPr>
          <w:rFonts w:eastAsia="MS PGothic" w:cs="Calibri"/>
          <w:bCs/>
          <w:iCs/>
          <w:lang w:val="en-US" w:eastAsia="zh-CN"/>
        </w:rPr>
        <w:t xml:space="preserve"> crafting a concise document to gather feedback from the participants. Using a mix of rating scales and open-ended questions, the form provides valuable insights for organizers and facilitators to assess the success of the event and identify areas for improvement in future programs.</w:t>
      </w:r>
    </w:p>
    <w:p w14:paraId="2440BCB2" w14:textId="77777777" w:rsidR="008D1B70" w:rsidRPr="008C761D" w:rsidRDefault="008D1B70"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8D1B70" w:rsidRPr="008C761D" w14:paraId="71CB4B5F" w14:textId="77777777" w:rsidTr="00BA5E44">
        <w:tc>
          <w:tcPr>
            <w:tcW w:w="2518" w:type="dxa"/>
            <w:tcBorders>
              <w:top w:val="nil"/>
              <w:bottom w:val="single" w:sz="4" w:space="0" w:color="FFFFFF"/>
            </w:tcBorders>
            <w:shd w:val="clear" w:color="auto" w:fill="2F5496"/>
          </w:tcPr>
          <w:p w14:paraId="6293C8C3" w14:textId="77777777" w:rsidR="008D1B70" w:rsidRPr="008C761D" w:rsidRDefault="008D1B70" w:rsidP="00E84CD0">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Completed in year:</w:t>
            </w:r>
            <w:r w:rsidRPr="008C761D">
              <w:rPr>
                <w:rFonts w:eastAsia="Times New Roman" w:cs="Calibri"/>
                <w:b/>
                <w:color w:val="FFFFFF"/>
                <w:sz w:val="20"/>
                <w:szCs w:val="20"/>
                <w:lang w:val="en-US"/>
              </w:rPr>
              <w:tab/>
            </w:r>
          </w:p>
        </w:tc>
        <w:tc>
          <w:tcPr>
            <w:tcW w:w="6246" w:type="dxa"/>
            <w:tcBorders>
              <w:top w:val="nil"/>
              <w:bottom w:val="single" w:sz="4" w:space="0" w:color="FFFFFF"/>
            </w:tcBorders>
            <w:shd w:val="clear" w:color="auto" w:fill="D9E2F3"/>
          </w:tcPr>
          <w:p w14:paraId="5A89C159" w14:textId="66B0CAC5" w:rsidR="008D1B70" w:rsidRPr="008C761D" w:rsidRDefault="0014474B" w:rsidP="0014474B">
            <w:pPr>
              <w:tabs>
                <w:tab w:val="left" w:pos="1526"/>
              </w:tabs>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001ECD" w:rsidRPr="008C761D">
              <w:rPr>
                <w:rFonts w:eastAsia="Times New Roman" w:cs="Calibri"/>
                <w:color w:val="202124"/>
                <w:sz w:val="20"/>
                <w:szCs w:val="20"/>
                <w:lang w:val="en-US"/>
              </w:rPr>
              <w:t>4</w:t>
            </w:r>
          </w:p>
        </w:tc>
      </w:tr>
      <w:tr w:rsidR="008D1B70" w:rsidRPr="008C761D" w14:paraId="6C53A68B" w14:textId="77777777" w:rsidTr="00BA5E44">
        <w:tc>
          <w:tcPr>
            <w:tcW w:w="2518" w:type="dxa"/>
            <w:tcBorders>
              <w:top w:val="single" w:sz="4" w:space="0" w:color="FFFFFF"/>
              <w:bottom w:val="single" w:sz="4" w:space="0" w:color="FFFFFF"/>
            </w:tcBorders>
            <w:shd w:val="clear" w:color="auto" w:fill="2F5496"/>
          </w:tcPr>
          <w:p w14:paraId="1F1765C3"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5FA7B331" w14:textId="275FD484" w:rsidR="002428A3" w:rsidRPr="008C761D" w:rsidRDefault="000304CE" w:rsidP="00555720">
            <w:pPr>
              <w:numPr>
                <w:ilvl w:val="0"/>
                <w:numId w:val="2"/>
              </w:numPr>
              <w:tabs>
                <w:tab w:val="left" w:pos="162"/>
              </w:tabs>
              <w:spacing w:after="0" w:line="240" w:lineRule="auto"/>
              <w:ind w:left="183" w:hanging="183"/>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Methodology for preparing annual training programme and curriculum</w:t>
            </w:r>
            <w:r w:rsidR="002428A3" w:rsidRPr="008C761D">
              <w:rPr>
                <w:rFonts w:eastAsia="Times New Roman" w:cs="Calibri"/>
                <w:color w:val="202124"/>
                <w:sz w:val="20"/>
                <w:szCs w:val="20"/>
                <w:lang w:val="en-US"/>
              </w:rPr>
              <w:t>;</w:t>
            </w:r>
          </w:p>
          <w:p w14:paraId="3F925856" w14:textId="77777777" w:rsidR="008D1B70" w:rsidRPr="008C761D" w:rsidRDefault="002428A3" w:rsidP="00555720">
            <w:pPr>
              <w:numPr>
                <w:ilvl w:val="0"/>
                <w:numId w:val="2"/>
              </w:numPr>
              <w:tabs>
                <w:tab w:val="left" w:pos="162"/>
              </w:tabs>
              <w:spacing w:after="0" w:line="240" w:lineRule="auto"/>
              <w:ind w:left="183" w:hanging="183"/>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Satisfaction of the participants with the </w:t>
            </w:r>
            <w:proofErr w:type="gramStart"/>
            <w:r w:rsidRPr="008C761D">
              <w:rPr>
                <w:rFonts w:eastAsia="Times New Roman" w:cs="Calibri"/>
                <w:color w:val="202124"/>
                <w:sz w:val="20"/>
                <w:szCs w:val="20"/>
                <w:lang w:val="en-US"/>
              </w:rPr>
              <w:t>carried out</w:t>
            </w:r>
            <w:proofErr w:type="gramEnd"/>
            <w:r w:rsidRPr="008C761D">
              <w:rPr>
                <w:rFonts w:eastAsia="Times New Roman" w:cs="Calibri"/>
                <w:color w:val="202124"/>
                <w:sz w:val="20"/>
                <w:szCs w:val="20"/>
                <w:lang w:val="en-US"/>
              </w:rPr>
              <w:t xml:space="preserve"> trainings (low, medium or high level of satisfaction);</w:t>
            </w:r>
          </w:p>
        </w:tc>
      </w:tr>
      <w:tr w:rsidR="008D1B70" w:rsidRPr="008C761D" w14:paraId="5DC36241" w14:textId="77777777" w:rsidTr="00BA5E44">
        <w:tc>
          <w:tcPr>
            <w:tcW w:w="2518" w:type="dxa"/>
            <w:tcBorders>
              <w:top w:val="single" w:sz="4" w:space="0" w:color="FFFFFF"/>
              <w:bottom w:val="single" w:sz="4" w:space="0" w:color="FFFFFF"/>
            </w:tcBorders>
            <w:shd w:val="clear" w:color="auto" w:fill="2F5496"/>
          </w:tcPr>
          <w:p w14:paraId="60291163"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Cost implications:</w:t>
            </w:r>
          </w:p>
        </w:tc>
        <w:tc>
          <w:tcPr>
            <w:tcW w:w="6246" w:type="dxa"/>
            <w:tcBorders>
              <w:top w:val="single" w:sz="4" w:space="0" w:color="FFFFFF"/>
              <w:bottom w:val="single" w:sz="4" w:space="0" w:color="FFFFFF"/>
            </w:tcBorders>
            <w:shd w:val="clear" w:color="auto" w:fill="D9E2F3"/>
          </w:tcPr>
          <w:p w14:paraId="228CFC93" w14:textId="078893B4" w:rsidR="008D1B70" w:rsidRPr="008C761D" w:rsidRDefault="008D1B70" w:rsidP="00E84CD0">
            <w:pPr>
              <w:tabs>
                <w:tab w:val="left" w:pos="1526"/>
              </w:tabs>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EUR </w:t>
            </w:r>
            <w:r w:rsidR="006A55CA" w:rsidRPr="008C761D">
              <w:rPr>
                <w:rFonts w:eastAsia="Times New Roman" w:cs="Calibri"/>
                <w:color w:val="202124"/>
                <w:sz w:val="20"/>
                <w:szCs w:val="20"/>
                <w:lang w:val="en-US"/>
              </w:rPr>
              <w:t>5.000</w:t>
            </w:r>
          </w:p>
          <w:p w14:paraId="15C265AD" w14:textId="77777777" w:rsidR="008D1B70" w:rsidRPr="008C761D" w:rsidRDefault="008D1B70" w:rsidP="00E84CD0">
            <w:pPr>
              <w:tabs>
                <w:tab w:val="left" w:pos="1526"/>
              </w:tabs>
              <w:spacing w:after="0" w:line="240" w:lineRule="auto"/>
              <w:jc w:val="both"/>
              <w:rPr>
                <w:rFonts w:eastAsia="Times New Roman" w:cs="Calibri"/>
                <w:color w:val="202124"/>
                <w:sz w:val="20"/>
                <w:szCs w:val="20"/>
                <w:lang w:val="en-US"/>
              </w:rPr>
            </w:pPr>
          </w:p>
        </w:tc>
      </w:tr>
      <w:tr w:rsidR="008D1B70" w:rsidRPr="008C761D" w14:paraId="174E780D" w14:textId="77777777" w:rsidTr="00BA5E44">
        <w:tc>
          <w:tcPr>
            <w:tcW w:w="2518" w:type="dxa"/>
            <w:tcBorders>
              <w:top w:val="single" w:sz="4" w:space="0" w:color="FFFFFF"/>
              <w:bottom w:val="single" w:sz="4" w:space="0" w:color="FFFFFF"/>
            </w:tcBorders>
            <w:shd w:val="clear" w:color="auto" w:fill="2F5496"/>
          </w:tcPr>
          <w:p w14:paraId="2B9D5199"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4D502955" w14:textId="2060F53E" w:rsidR="008D1B70" w:rsidRPr="008C761D" w:rsidRDefault="00D3676F" w:rsidP="00E84CD0">
            <w:pPr>
              <w:tabs>
                <w:tab w:val="left" w:pos="4219"/>
              </w:tabs>
              <w:spacing w:after="0" w:line="240" w:lineRule="auto"/>
              <w:jc w:val="both"/>
              <w:rPr>
                <w:rFonts w:eastAsia="Times New Roman" w:cs="Calibri"/>
                <w:color w:val="202124"/>
                <w:sz w:val="20"/>
                <w:szCs w:val="20"/>
                <w:lang w:val="en-US"/>
              </w:rPr>
            </w:pPr>
            <w:r w:rsidRPr="00D3676F">
              <w:rPr>
                <w:rFonts w:eastAsia="Times New Roman" w:cs="Calibri"/>
                <w:color w:val="202124"/>
                <w:sz w:val="20"/>
                <w:szCs w:val="20"/>
                <w:lang w:val="en-US"/>
              </w:rPr>
              <w:t>MoF – PF Academy</w:t>
            </w:r>
          </w:p>
        </w:tc>
      </w:tr>
      <w:tr w:rsidR="008D1B70" w:rsidRPr="008C761D" w14:paraId="126A0C43" w14:textId="77777777" w:rsidTr="00BA5E44">
        <w:tc>
          <w:tcPr>
            <w:tcW w:w="2518" w:type="dxa"/>
            <w:tcBorders>
              <w:top w:val="single" w:sz="4" w:space="0" w:color="FFFFFF"/>
              <w:bottom w:val="nil"/>
            </w:tcBorders>
            <w:shd w:val="clear" w:color="auto" w:fill="2F5496"/>
          </w:tcPr>
          <w:p w14:paraId="386039DA"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Risk:</w:t>
            </w:r>
          </w:p>
        </w:tc>
        <w:tc>
          <w:tcPr>
            <w:tcW w:w="6246" w:type="dxa"/>
            <w:tcBorders>
              <w:top w:val="single" w:sz="4" w:space="0" w:color="FFFFFF"/>
              <w:bottom w:val="nil"/>
            </w:tcBorders>
            <w:shd w:val="clear" w:color="auto" w:fill="D9E2F3"/>
          </w:tcPr>
          <w:p w14:paraId="5E9843B3" w14:textId="00165653" w:rsidR="008D1B70" w:rsidRPr="008C761D" w:rsidRDefault="002428A3" w:rsidP="003A338C">
            <w:pPr>
              <w:numPr>
                <w:ilvl w:val="0"/>
                <w:numId w:val="71"/>
              </w:numPr>
              <w:tabs>
                <w:tab w:val="left" w:pos="122"/>
              </w:tabs>
              <w:spacing w:after="0" w:line="240" w:lineRule="auto"/>
              <w:ind w:left="317"/>
              <w:contextualSpacing/>
              <w:jc w:val="both"/>
              <w:rPr>
                <w:rFonts w:eastAsia="Times New Roman" w:cs="Calibri"/>
                <w:color w:val="202124"/>
                <w:sz w:val="20"/>
                <w:szCs w:val="20"/>
                <w:lang w:val="en-US"/>
              </w:rPr>
            </w:pPr>
            <w:r w:rsidRPr="008C761D">
              <w:rPr>
                <w:rFonts w:eastAsia="Times New Roman" w:cs="Calibri"/>
                <w:sz w:val="20"/>
                <w:szCs w:val="20"/>
                <w:lang w:val="en-US"/>
              </w:rPr>
              <w:t xml:space="preserve">Insufficient training as </w:t>
            </w:r>
            <w:r w:rsidR="000304CE" w:rsidRPr="008C761D">
              <w:rPr>
                <w:rFonts w:eastAsia="Times New Roman" w:cs="Calibri"/>
                <w:sz w:val="20"/>
                <w:szCs w:val="20"/>
                <w:lang w:val="en-US"/>
              </w:rPr>
              <w:t>a result of</w:t>
            </w:r>
            <w:r w:rsidR="00514D12">
              <w:rPr>
                <w:rFonts w:eastAsia="Times New Roman" w:cs="Calibri"/>
                <w:sz w:val="20"/>
                <w:szCs w:val="20"/>
                <w:lang w:val="en-US"/>
              </w:rPr>
              <w:t xml:space="preserve"> </w:t>
            </w:r>
            <w:r w:rsidR="000304CE" w:rsidRPr="008C761D">
              <w:rPr>
                <w:rFonts w:eastAsia="Times New Roman" w:cs="Calibri"/>
                <w:sz w:val="20"/>
                <w:szCs w:val="20"/>
                <w:lang w:val="en-US"/>
              </w:rPr>
              <w:t>financial</w:t>
            </w:r>
            <w:r w:rsidR="00514D12">
              <w:rPr>
                <w:rFonts w:eastAsia="Times New Roman" w:cs="Calibri"/>
                <w:sz w:val="20"/>
                <w:szCs w:val="20"/>
                <w:lang w:val="en-US"/>
              </w:rPr>
              <w:t xml:space="preserve"> </w:t>
            </w:r>
            <w:r w:rsidRPr="008C761D">
              <w:rPr>
                <w:rFonts w:eastAsia="Times New Roman" w:cs="Calibri"/>
                <w:sz w:val="20"/>
                <w:szCs w:val="20"/>
                <w:lang w:val="en-US"/>
              </w:rPr>
              <w:t>resources.</w:t>
            </w:r>
          </w:p>
        </w:tc>
      </w:tr>
    </w:tbl>
    <w:p w14:paraId="09651ED7" w14:textId="77777777" w:rsidR="008D1B70" w:rsidRPr="008C761D" w:rsidRDefault="008D1B70" w:rsidP="00E84CD0">
      <w:pPr>
        <w:spacing w:line="240" w:lineRule="auto"/>
        <w:jc w:val="both"/>
        <w:rPr>
          <w:rFonts w:cs="Calibri"/>
          <w:lang w:val="en-US"/>
        </w:rPr>
      </w:pPr>
    </w:p>
    <w:p w14:paraId="075CCFF0" w14:textId="282F19B0" w:rsidR="002428A3" w:rsidRPr="008C761D" w:rsidRDefault="002428A3" w:rsidP="002428A3">
      <w:pPr>
        <w:spacing w:before="120" w:after="0" w:line="240" w:lineRule="auto"/>
        <w:jc w:val="both"/>
        <w:rPr>
          <w:rFonts w:eastAsia="Times New Roman" w:cs="Calibri"/>
          <w:b/>
          <w:color w:val="C00000"/>
          <w:lang w:val="en-US"/>
        </w:rPr>
      </w:pPr>
      <w:r w:rsidRPr="008C761D">
        <w:rPr>
          <w:rFonts w:cs="Calibri"/>
          <w:b/>
          <w:bCs/>
          <w:iCs/>
          <w:color w:val="0070C0"/>
          <w:sz w:val="24"/>
          <w:szCs w:val="24"/>
          <w:lang w:val="en-US"/>
        </w:rPr>
        <w:t>Measure</w:t>
      </w:r>
      <w:r w:rsidR="005E209F">
        <w:rPr>
          <w:rFonts w:cs="Calibri"/>
          <w:b/>
          <w:bCs/>
          <w:iCs/>
          <w:color w:val="0070C0"/>
          <w:sz w:val="24"/>
          <w:szCs w:val="24"/>
          <w:lang w:val="en-US"/>
        </w:rPr>
        <w:t xml:space="preserve"> </w:t>
      </w:r>
      <w:r w:rsidRPr="008C761D">
        <w:rPr>
          <w:rFonts w:cs="Calibri"/>
          <w:b/>
          <w:bCs/>
          <w:iCs/>
          <w:color w:val="0070C0"/>
          <w:sz w:val="24"/>
          <w:szCs w:val="24"/>
          <w:lang w:val="en-US"/>
        </w:rPr>
        <w:t xml:space="preserve">2: </w:t>
      </w:r>
      <w:r w:rsidR="000304CE" w:rsidRPr="008C761D">
        <w:rPr>
          <w:rFonts w:cs="Calibri"/>
          <w:b/>
          <w:bCs/>
          <w:iCs/>
          <w:color w:val="0070C0"/>
          <w:sz w:val="24"/>
          <w:szCs w:val="24"/>
          <w:lang w:val="en-US"/>
        </w:rPr>
        <w:t>Developing</w:t>
      </w:r>
      <w:r w:rsidR="007D6CD2" w:rsidRPr="008C761D">
        <w:rPr>
          <w:rFonts w:cs="Calibri"/>
          <w:b/>
          <w:bCs/>
          <w:iCs/>
          <w:color w:val="0070C0"/>
          <w:sz w:val="24"/>
          <w:szCs w:val="24"/>
          <w:lang w:val="en-US"/>
        </w:rPr>
        <w:t xml:space="preserve"> </w:t>
      </w:r>
      <w:r w:rsidRPr="008C761D">
        <w:rPr>
          <w:rFonts w:cs="Calibri"/>
          <w:b/>
          <w:bCs/>
          <w:iCs/>
          <w:color w:val="0070C0"/>
          <w:sz w:val="24"/>
          <w:szCs w:val="24"/>
          <w:lang w:val="en-US"/>
        </w:rPr>
        <w:t>of</w:t>
      </w:r>
      <w:bookmarkStart w:id="53" w:name="_Hlk153444250"/>
      <w:r w:rsidR="00514D12">
        <w:rPr>
          <w:rFonts w:cs="Calibri"/>
          <w:b/>
          <w:bCs/>
          <w:iCs/>
          <w:color w:val="0070C0"/>
          <w:sz w:val="24"/>
          <w:szCs w:val="24"/>
          <w:lang w:val="en-US"/>
        </w:rPr>
        <w:t xml:space="preserve"> </w:t>
      </w:r>
      <w:r w:rsidRPr="008C761D">
        <w:rPr>
          <w:rFonts w:cs="Calibri"/>
          <w:b/>
          <w:bCs/>
          <w:iCs/>
          <w:color w:val="0070C0"/>
          <w:sz w:val="24"/>
          <w:szCs w:val="24"/>
          <w:lang w:val="en-US"/>
        </w:rPr>
        <w:t>e-learning</w:t>
      </w:r>
      <w:r w:rsidR="007D6CD2" w:rsidRPr="008C761D">
        <w:rPr>
          <w:rFonts w:cs="Calibri"/>
          <w:b/>
          <w:bCs/>
          <w:iCs/>
          <w:color w:val="0070C0"/>
          <w:sz w:val="24"/>
          <w:szCs w:val="24"/>
          <w:lang w:val="en-US"/>
        </w:rPr>
        <w:t xml:space="preserve"> </w:t>
      </w:r>
      <w:r w:rsidRPr="008C761D">
        <w:rPr>
          <w:rFonts w:cs="Calibri"/>
          <w:b/>
          <w:bCs/>
          <w:iCs/>
          <w:color w:val="0070C0"/>
          <w:sz w:val="24"/>
          <w:szCs w:val="24"/>
          <w:lang w:val="en-US"/>
        </w:rPr>
        <w:t>platform</w:t>
      </w:r>
      <w:bookmarkEnd w:id="53"/>
      <w:r w:rsidRPr="008C761D">
        <w:rPr>
          <w:rFonts w:eastAsia="Times New Roman" w:cs="Calibri"/>
          <w:b/>
          <w:color w:val="C00000"/>
          <w:lang w:val="en-US"/>
        </w:rPr>
        <w:tab/>
      </w:r>
    </w:p>
    <w:p w14:paraId="0EA1D5A6" w14:textId="77777777" w:rsidR="002428A3" w:rsidRPr="008C761D" w:rsidRDefault="002428A3" w:rsidP="002428A3">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Measure Objective</w:t>
      </w:r>
    </w:p>
    <w:p w14:paraId="718E0244" w14:textId="279DD958" w:rsidR="002428A3" w:rsidRPr="008C761D" w:rsidRDefault="002428A3" w:rsidP="002428A3">
      <w:pPr>
        <w:spacing w:after="0" w:line="240" w:lineRule="auto"/>
        <w:jc w:val="both"/>
        <w:rPr>
          <w:rFonts w:cs="Calibri"/>
          <w:color w:val="000000"/>
          <w:lang w:val="en-US"/>
        </w:rPr>
      </w:pPr>
      <w:r w:rsidRPr="008C761D">
        <w:rPr>
          <w:rFonts w:cs="Calibri"/>
          <w:color w:val="000000"/>
          <w:lang w:val="en-US"/>
        </w:rPr>
        <w:t xml:space="preserve">Establishment of e-learning </w:t>
      </w:r>
      <w:r w:rsidR="00514D12" w:rsidRPr="008C761D">
        <w:rPr>
          <w:rFonts w:cs="Calibri"/>
          <w:color w:val="000000"/>
          <w:lang w:val="en-US"/>
        </w:rPr>
        <w:t>platform in</w:t>
      </w:r>
      <w:r w:rsidRPr="008C761D">
        <w:rPr>
          <w:rFonts w:cs="Calibri"/>
          <w:color w:val="000000"/>
          <w:lang w:val="en-US"/>
        </w:rPr>
        <w:t xml:space="preserve"> order to make the trainings organized by the academy, easily accessible for all participants. </w:t>
      </w:r>
    </w:p>
    <w:p w14:paraId="6FF9D70C" w14:textId="77777777" w:rsidR="002428A3" w:rsidRPr="008C761D" w:rsidRDefault="002428A3" w:rsidP="002428A3">
      <w:pPr>
        <w:spacing w:after="0" w:line="240" w:lineRule="auto"/>
        <w:jc w:val="both"/>
        <w:rPr>
          <w:rFonts w:cs="Calibri"/>
          <w:b/>
          <w:bCs/>
          <w:i/>
          <w:iCs/>
          <w:color w:val="4F81BD"/>
          <w:lang w:val="en-US"/>
        </w:rPr>
      </w:pPr>
    </w:p>
    <w:p w14:paraId="5EBBDA5F" w14:textId="77777777" w:rsidR="002428A3" w:rsidRPr="008C761D" w:rsidRDefault="002428A3" w:rsidP="002428A3">
      <w:pPr>
        <w:spacing w:after="0" w:line="240" w:lineRule="auto"/>
        <w:jc w:val="both"/>
        <w:rPr>
          <w:rFonts w:cs="Calibri"/>
          <w:b/>
          <w:bCs/>
          <w:i/>
          <w:iCs/>
          <w:color w:val="4F81BD"/>
          <w:lang w:val="en-US"/>
        </w:rPr>
      </w:pPr>
      <w:r w:rsidRPr="008C761D">
        <w:rPr>
          <w:rFonts w:cs="Calibri"/>
          <w:b/>
          <w:bCs/>
          <w:i/>
          <w:iCs/>
          <w:color w:val="4F81BD"/>
          <w:lang w:val="en-US"/>
        </w:rPr>
        <w:t>Context/Background</w:t>
      </w:r>
    </w:p>
    <w:p w14:paraId="67B567D2" w14:textId="7BE3751C" w:rsidR="002428A3" w:rsidRPr="008C761D" w:rsidRDefault="002428A3" w:rsidP="002428A3">
      <w:pPr>
        <w:spacing w:after="0" w:line="240" w:lineRule="auto"/>
        <w:jc w:val="both"/>
        <w:rPr>
          <w:rFonts w:cs="Calibri"/>
          <w:bCs/>
          <w:iCs/>
          <w:lang w:val="en-US"/>
        </w:rPr>
      </w:pPr>
      <w:r w:rsidRPr="008C761D">
        <w:rPr>
          <w:rFonts w:cs="Calibri"/>
          <w:bCs/>
          <w:iCs/>
          <w:lang w:val="en-US"/>
        </w:rPr>
        <w:t>This initiative aims to modernize and diversify the educational approach to better suit the needs of learners in the field of public finance.</w:t>
      </w:r>
      <w:r w:rsidR="00514D12">
        <w:rPr>
          <w:rFonts w:cs="Calibri"/>
          <w:bCs/>
          <w:iCs/>
          <w:lang w:val="en-US"/>
        </w:rPr>
        <w:t xml:space="preserve"> </w:t>
      </w:r>
      <w:r w:rsidRPr="008C761D">
        <w:rPr>
          <w:rFonts w:cs="Calibri"/>
          <w:bCs/>
          <w:iCs/>
          <w:lang w:val="en-US"/>
        </w:rPr>
        <w:t>The e-learning platform will be designed with features that cater to diverse learning needs.</w:t>
      </w:r>
      <w:r w:rsidR="00514D12">
        <w:rPr>
          <w:rFonts w:cs="Calibri"/>
          <w:bCs/>
          <w:iCs/>
          <w:lang w:val="en-US"/>
        </w:rPr>
        <w:t xml:space="preserve"> </w:t>
      </w:r>
      <w:r w:rsidRPr="008C761D">
        <w:rPr>
          <w:rFonts w:cs="Calibri"/>
          <w:bCs/>
          <w:iCs/>
          <w:lang w:val="en-US"/>
        </w:rPr>
        <w:t>E-learning allows for flexible, self-paced learning experiences that can reach a wider audience. For this purpose</w:t>
      </w:r>
      <w:r w:rsidR="00514D12">
        <w:rPr>
          <w:rFonts w:cs="Calibri"/>
          <w:bCs/>
          <w:iCs/>
          <w:lang w:val="en-US"/>
        </w:rPr>
        <w:t xml:space="preserve">, </w:t>
      </w:r>
      <w:r w:rsidRPr="008C761D">
        <w:rPr>
          <w:rFonts w:cs="Calibri"/>
          <w:bCs/>
          <w:iCs/>
          <w:lang w:val="en-US"/>
        </w:rPr>
        <w:t>Public Finance Academy took the initiative in order to acquire donor assistance.</w:t>
      </w:r>
    </w:p>
    <w:p w14:paraId="355CC00D" w14:textId="77777777" w:rsidR="002428A3" w:rsidRPr="00555720" w:rsidRDefault="002428A3" w:rsidP="002428A3">
      <w:pPr>
        <w:spacing w:after="0" w:line="240" w:lineRule="auto"/>
        <w:jc w:val="both"/>
        <w:rPr>
          <w:rFonts w:cs="Calibri"/>
          <w:b/>
          <w:bCs/>
          <w:i/>
          <w:iCs/>
          <w:color w:val="0070C0"/>
          <w:lang w:val="en-US"/>
        </w:rPr>
      </w:pPr>
    </w:p>
    <w:p w14:paraId="4240879E" w14:textId="77777777" w:rsidR="002428A3" w:rsidRPr="00555720" w:rsidRDefault="002428A3" w:rsidP="002428A3">
      <w:pPr>
        <w:spacing w:after="0" w:line="240" w:lineRule="auto"/>
        <w:jc w:val="both"/>
        <w:rPr>
          <w:rFonts w:cs="Calibri"/>
          <w:b/>
          <w:bCs/>
          <w:iCs/>
          <w:color w:val="0070C0"/>
          <w:lang w:val="en-US"/>
        </w:rPr>
      </w:pPr>
      <w:r w:rsidRPr="00555720">
        <w:rPr>
          <w:rFonts w:cs="Calibri"/>
          <w:b/>
          <w:bCs/>
          <w:iCs/>
          <w:color w:val="0070C0"/>
          <w:lang w:val="en-US"/>
        </w:rPr>
        <w:t xml:space="preserve">Activity 1: Developing </w:t>
      </w:r>
      <w:proofErr w:type="gramStart"/>
      <w:r w:rsidRPr="00555720">
        <w:rPr>
          <w:rFonts w:cs="Calibri"/>
          <w:b/>
          <w:bCs/>
          <w:iCs/>
          <w:color w:val="0070C0"/>
          <w:lang w:val="en-US"/>
        </w:rPr>
        <w:t>of  the</w:t>
      </w:r>
      <w:proofErr w:type="gramEnd"/>
      <w:r w:rsidRPr="00555720">
        <w:rPr>
          <w:rFonts w:cs="Calibri"/>
          <w:b/>
          <w:bCs/>
          <w:iCs/>
          <w:color w:val="0070C0"/>
          <w:lang w:val="en-US"/>
        </w:rPr>
        <w:t xml:space="preserve"> e – learning platform</w:t>
      </w:r>
    </w:p>
    <w:p w14:paraId="409F8A85" w14:textId="77777777" w:rsidR="002428A3" w:rsidRPr="008C761D" w:rsidRDefault="002428A3" w:rsidP="002428A3">
      <w:pPr>
        <w:spacing w:after="0" w:line="240" w:lineRule="auto"/>
        <w:jc w:val="both"/>
        <w:rPr>
          <w:rFonts w:cs="Calibri"/>
          <w:b/>
          <w:bCs/>
          <w:i/>
          <w:iCs/>
          <w:color w:val="4F81BD"/>
          <w:lang w:val="en-US"/>
        </w:rPr>
      </w:pPr>
    </w:p>
    <w:p w14:paraId="5043CD08" w14:textId="145FE5F2" w:rsidR="002428A3" w:rsidRPr="00356610" w:rsidRDefault="002428A3" w:rsidP="002428A3">
      <w:pPr>
        <w:spacing w:after="0" w:line="240" w:lineRule="auto"/>
        <w:jc w:val="both"/>
        <w:rPr>
          <w:rFonts w:cs="Calibri"/>
          <w:bCs/>
          <w:iCs/>
          <w:lang w:val="en-US"/>
        </w:rPr>
      </w:pPr>
      <w:r w:rsidRPr="008C761D">
        <w:rPr>
          <w:rFonts w:cs="Calibri"/>
          <w:bCs/>
          <w:iCs/>
          <w:lang w:val="en-US"/>
        </w:rPr>
        <w:t xml:space="preserve">This activity aims to create a dynamic e-learning platform that offers a diverse range of </w:t>
      </w:r>
      <w:proofErr w:type="gramStart"/>
      <w:r w:rsidRPr="008C761D">
        <w:rPr>
          <w:rFonts w:cs="Calibri"/>
          <w:bCs/>
          <w:iCs/>
          <w:lang w:val="en-US"/>
        </w:rPr>
        <w:t>high quality</w:t>
      </w:r>
      <w:proofErr w:type="gramEnd"/>
      <w:r w:rsidRPr="008C761D">
        <w:rPr>
          <w:rFonts w:cs="Calibri"/>
          <w:bCs/>
          <w:iCs/>
          <w:lang w:val="en-US"/>
        </w:rPr>
        <w:t xml:space="preserve"> educational resources (E-library). This e-platform will ensure compatibility across devices (smart devices)</w:t>
      </w:r>
      <w:r w:rsidR="005E209F">
        <w:rPr>
          <w:rFonts w:cs="Calibri"/>
          <w:bCs/>
          <w:iCs/>
          <w:lang w:val="en-US"/>
        </w:rPr>
        <w:t>.</w:t>
      </w:r>
    </w:p>
    <w:p w14:paraId="541D79E8" w14:textId="4408A5A3" w:rsidR="002428A3" w:rsidRPr="00555720" w:rsidRDefault="002428A3" w:rsidP="002428A3">
      <w:pPr>
        <w:keepNext/>
        <w:keepLines/>
        <w:spacing w:before="160" w:after="60" w:line="240" w:lineRule="auto"/>
        <w:jc w:val="both"/>
        <w:outlineLvl w:val="3"/>
        <w:rPr>
          <w:rFonts w:eastAsia="MS PGothic"/>
          <w:b/>
          <w:bCs/>
          <w:iCs/>
          <w:color w:val="0070C0"/>
          <w:lang w:val="en-US" w:eastAsia="zh-CN"/>
        </w:rPr>
      </w:pPr>
      <w:r w:rsidRPr="00555720">
        <w:rPr>
          <w:rFonts w:eastAsia="MS PGothic"/>
          <w:b/>
          <w:bCs/>
          <w:iCs/>
          <w:color w:val="0070C0"/>
          <w:lang w:val="en-US" w:eastAsia="zh-CN"/>
        </w:rPr>
        <w:lastRenderedPageBreak/>
        <w:t>Activity</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2:</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Developing</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video</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tutorial</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and guidelines</w:t>
      </w:r>
    </w:p>
    <w:p w14:paraId="09DA967F" w14:textId="3BBBB126" w:rsidR="002428A3" w:rsidRPr="008C761D" w:rsidRDefault="00514D12" w:rsidP="002428A3">
      <w:pPr>
        <w:spacing w:before="80" w:after="80" w:line="240" w:lineRule="auto"/>
        <w:jc w:val="both"/>
        <w:rPr>
          <w:rFonts w:eastAsia="Times New Roman" w:cs="Calibri"/>
          <w:color w:val="202124"/>
          <w:lang w:val="en-US"/>
        </w:rPr>
      </w:pPr>
      <w:r>
        <w:rPr>
          <w:rFonts w:eastAsia="Times New Roman" w:cs="Calibri"/>
          <w:color w:val="202124"/>
          <w:lang w:val="en-US"/>
        </w:rPr>
        <w:t xml:space="preserve">In relation to this activity, </w:t>
      </w:r>
      <w:r w:rsidR="002428A3" w:rsidRPr="008C761D">
        <w:rPr>
          <w:rFonts w:eastAsia="Times New Roman" w:cs="Calibri"/>
          <w:color w:val="202124"/>
          <w:lang w:val="en-US"/>
        </w:rPr>
        <w:t>Public Finance Academy will provide tutorial</w:t>
      </w:r>
      <w:r>
        <w:rPr>
          <w:rFonts w:eastAsia="Times New Roman" w:cs="Calibri"/>
          <w:color w:val="202124"/>
          <w:lang w:val="en-US"/>
        </w:rPr>
        <w:t xml:space="preserve"> </w:t>
      </w:r>
      <w:r w:rsidR="002428A3" w:rsidRPr="008C761D">
        <w:rPr>
          <w:rFonts w:eastAsia="Times New Roman" w:cs="Calibri"/>
          <w:color w:val="202124"/>
          <w:lang w:val="en-US"/>
        </w:rPr>
        <w:t>video</w:t>
      </w:r>
      <w:bookmarkStart w:id="54" w:name="_Hlk153541547"/>
      <w:r>
        <w:rPr>
          <w:rFonts w:eastAsia="Times New Roman" w:cs="Calibri"/>
          <w:color w:val="202124"/>
          <w:lang w:val="en-US"/>
        </w:rPr>
        <w:t xml:space="preserve"> </w:t>
      </w:r>
      <w:r w:rsidR="002428A3" w:rsidRPr="008C761D">
        <w:rPr>
          <w:rFonts w:eastAsia="Times New Roman" w:cs="Calibri"/>
          <w:color w:val="202124"/>
          <w:lang w:val="en-US"/>
        </w:rPr>
        <w:t>and guidelines</w:t>
      </w:r>
      <w:bookmarkEnd w:id="54"/>
      <w:r>
        <w:rPr>
          <w:rFonts w:eastAsia="Times New Roman" w:cs="Calibri"/>
          <w:color w:val="202124"/>
          <w:lang w:val="en-US"/>
        </w:rPr>
        <w:t xml:space="preserve"> </w:t>
      </w:r>
      <w:r w:rsidR="002428A3" w:rsidRPr="008C761D">
        <w:rPr>
          <w:rFonts w:eastAsia="Times New Roman" w:cs="Calibri"/>
          <w:color w:val="202124"/>
          <w:lang w:val="en-US"/>
        </w:rPr>
        <w:t xml:space="preserve">that will be a guide to the process of online trainings and for adequate </w:t>
      </w:r>
      <w:r w:rsidRPr="008C761D">
        <w:rPr>
          <w:rFonts w:eastAsia="Times New Roman" w:cs="Calibri"/>
          <w:color w:val="202124"/>
          <w:lang w:val="en-US"/>
        </w:rPr>
        <w:t>use of</w:t>
      </w:r>
      <w:r w:rsidR="002428A3" w:rsidRPr="008C761D">
        <w:rPr>
          <w:rFonts w:eastAsia="Times New Roman" w:cs="Calibri"/>
          <w:color w:val="202124"/>
          <w:lang w:val="en-US"/>
        </w:rPr>
        <w:t xml:space="preserve"> the online platform. With this opportunity, the academy will ensure that access to the online platform is provided in a clear way that is understandable to all participants.</w:t>
      </w:r>
    </w:p>
    <w:p w14:paraId="21CC381E" w14:textId="58854557" w:rsidR="002428A3" w:rsidRPr="00555720" w:rsidRDefault="002428A3" w:rsidP="002428A3">
      <w:pPr>
        <w:keepNext/>
        <w:keepLines/>
        <w:spacing w:before="160" w:after="60" w:line="240" w:lineRule="auto"/>
        <w:jc w:val="both"/>
        <w:outlineLvl w:val="3"/>
        <w:rPr>
          <w:rFonts w:eastAsia="MS PGothic"/>
          <w:b/>
          <w:bCs/>
          <w:iCs/>
          <w:color w:val="0070C0"/>
          <w:lang w:val="en-US" w:eastAsia="zh-CN"/>
        </w:rPr>
      </w:pPr>
      <w:r w:rsidRPr="00555720">
        <w:rPr>
          <w:rFonts w:eastAsia="MS PGothic"/>
          <w:b/>
          <w:bCs/>
          <w:iCs/>
          <w:color w:val="0070C0"/>
          <w:lang w:val="en-US" w:eastAsia="zh-CN"/>
        </w:rPr>
        <w:t>Activity 3: Organizing</w:t>
      </w:r>
      <w:r w:rsidR="008739B8" w:rsidRPr="00555720">
        <w:rPr>
          <w:rFonts w:eastAsia="MS PGothic"/>
          <w:b/>
          <w:bCs/>
          <w:iCs/>
          <w:color w:val="0070C0"/>
          <w:lang w:val="en-US" w:eastAsia="zh-CN"/>
        </w:rPr>
        <w:t xml:space="preserve"> </w:t>
      </w:r>
      <w:r w:rsidRPr="00555720">
        <w:rPr>
          <w:rFonts w:eastAsia="MS PGothic"/>
          <w:b/>
          <w:bCs/>
          <w:iCs/>
          <w:color w:val="0070C0"/>
          <w:lang w:val="en-US" w:eastAsia="zh-CN"/>
        </w:rPr>
        <w:t>online</w:t>
      </w:r>
      <w:r w:rsidR="008739B8" w:rsidRPr="00555720">
        <w:rPr>
          <w:rFonts w:eastAsia="MS PGothic"/>
          <w:b/>
          <w:bCs/>
          <w:iCs/>
          <w:color w:val="0070C0"/>
          <w:lang w:val="en-US" w:eastAsia="zh-CN"/>
        </w:rPr>
        <w:t xml:space="preserve"> </w:t>
      </w:r>
      <w:r w:rsidR="00514D12" w:rsidRPr="00555720">
        <w:rPr>
          <w:rFonts w:eastAsia="MS PGothic"/>
          <w:b/>
          <w:bCs/>
          <w:iCs/>
          <w:color w:val="0070C0"/>
          <w:lang w:val="en-US" w:eastAsia="zh-CN"/>
        </w:rPr>
        <w:t>trainings</w:t>
      </w:r>
    </w:p>
    <w:p w14:paraId="15596C55" w14:textId="673DE492" w:rsidR="002428A3" w:rsidRPr="008C761D" w:rsidRDefault="008739B8" w:rsidP="008739B8">
      <w:pPr>
        <w:spacing w:before="80" w:after="80" w:line="240" w:lineRule="auto"/>
        <w:jc w:val="both"/>
        <w:rPr>
          <w:rFonts w:eastAsia="Times New Roman" w:cs="Calibri"/>
          <w:color w:val="202124"/>
          <w:lang w:val="en-US" w:eastAsia="x-none"/>
        </w:rPr>
      </w:pPr>
      <w:r w:rsidRPr="008C761D">
        <w:rPr>
          <w:rFonts w:eastAsia="Times New Roman" w:cs="Calibri"/>
          <w:color w:val="202124"/>
          <w:lang w:val="en-US" w:eastAsia="x-none"/>
        </w:rPr>
        <w:t>The purpose of this activity is for the Public Finance</w:t>
      </w:r>
      <w:r w:rsidR="005E209F">
        <w:rPr>
          <w:rFonts w:eastAsia="Times New Roman" w:cs="Calibri"/>
          <w:color w:val="202124"/>
          <w:lang w:val="en-US" w:eastAsia="x-none"/>
        </w:rPr>
        <w:t xml:space="preserve"> Academy</w:t>
      </w:r>
      <w:r w:rsidRPr="008C761D">
        <w:rPr>
          <w:rFonts w:eastAsia="Times New Roman" w:cs="Calibri"/>
          <w:color w:val="202124"/>
          <w:lang w:val="en-US" w:eastAsia="x-none"/>
        </w:rPr>
        <w:t xml:space="preserve"> to organize online trainings and in this way to present the easier way of learning, as well as to confirm the success of the learning platform, facilitating the learning process.</w:t>
      </w:r>
    </w:p>
    <w:p w14:paraId="229DBF9D" w14:textId="77777777" w:rsidR="008D1B70" w:rsidRPr="008C761D" w:rsidRDefault="008D1B70" w:rsidP="00E84CD0">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8D1B70" w:rsidRPr="008C761D" w14:paraId="5486357D" w14:textId="77777777" w:rsidTr="00BA5E44">
        <w:tc>
          <w:tcPr>
            <w:tcW w:w="2518" w:type="dxa"/>
            <w:tcBorders>
              <w:top w:val="nil"/>
              <w:bottom w:val="single" w:sz="4" w:space="0" w:color="FFFFFF"/>
            </w:tcBorders>
            <w:shd w:val="clear" w:color="auto" w:fill="2F5496"/>
          </w:tcPr>
          <w:p w14:paraId="18CCAF7F" w14:textId="77777777" w:rsidR="008D1B70" w:rsidRPr="008C761D" w:rsidRDefault="008D1B70" w:rsidP="00E84CD0">
            <w:pPr>
              <w:tabs>
                <w:tab w:val="left" w:pos="1526"/>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Completed in year:</w:t>
            </w:r>
            <w:r w:rsidRPr="008C761D">
              <w:rPr>
                <w:rFonts w:eastAsia="Times New Roman" w:cs="Calibri"/>
                <w:b/>
                <w:color w:val="FFFFFF"/>
                <w:sz w:val="20"/>
                <w:szCs w:val="20"/>
                <w:lang w:val="en-US"/>
              </w:rPr>
              <w:tab/>
            </w:r>
          </w:p>
        </w:tc>
        <w:tc>
          <w:tcPr>
            <w:tcW w:w="6246" w:type="dxa"/>
            <w:tcBorders>
              <w:top w:val="nil"/>
              <w:bottom w:val="single" w:sz="4" w:space="0" w:color="FFFFFF"/>
            </w:tcBorders>
            <w:shd w:val="clear" w:color="auto" w:fill="D9E2F3"/>
          </w:tcPr>
          <w:p w14:paraId="7F755D38" w14:textId="3CAECC00" w:rsidR="008D1B70" w:rsidRPr="008C761D" w:rsidRDefault="008D1B70" w:rsidP="00E84CD0">
            <w:pPr>
              <w:tabs>
                <w:tab w:val="left" w:pos="1526"/>
              </w:tabs>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4D660D">
              <w:rPr>
                <w:rFonts w:eastAsia="Times New Roman" w:cs="Calibri"/>
                <w:color w:val="202124"/>
                <w:sz w:val="20"/>
                <w:szCs w:val="20"/>
                <w:lang w:val="en-US"/>
              </w:rPr>
              <w:t>7</w:t>
            </w:r>
          </w:p>
        </w:tc>
      </w:tr>
      <w:tr w:rsidR="008D1B70" w:rsidRPr="008C761D" w14:paraId="36A51EB8" w14:textId="77777777" w:rsidTr="00BA5E44">
        <w:tc>
          <w:tcPr>
            <w:tcW w:w="2518" w:type="dxa"/>
            <w:tcBorders>
              <w:top w:val="single" w:sz="4" w:space="0" w:color="FFFFFF"/>
              <w:bottom w:val="single" w:sz="4" w:space="0" w:color="FFFFFF"/>
            </w:tcBorders>
            <w:shd w:val="clear" w:color="auto" w:fill="2F5496"/>
          </w:tcPr>
          <w:p w14:paraId="3BBED7E6"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236D6414" w14:textId="7D9025AC" w:rsidR="008D1B70" w:rsidRPr="008C761D" w:rsidRDefault="002428A3" w:rsidP="00555720">
            <w:pPr>
              <w:numPr>
                <w:ilvl w:val="0"/>
                <w:numId w:val="1"/>
              </w:numPr>
              <w:tabs>
                <w:tab w:val="left" w:pos="122"/>
              </w:tabs>
              <w:spacing w:after="0" w:line="240" w:lineRule="auto"/>
              <w:ind w:left="93" w:hanging="96"/>
              <w:contextualSpacing/>
              <w:jc w:val="both"/>
              <w:rPr>
                <w:rFonts w:eastAsia="Times New Roman" w:cs="Calibri"/>
                <w:color w:val="202124"/>
                <w:sz w:val="20"/>
                <w:szCs w:val="20"/>
                <w:lang w:val="en-US"/>
              </w:rPr>
            </w:pPr>
            <w:r w:rsidRPr="008C761D">
              <w:rPr>
                <w:rFonts w:eastAsia="Times New Roman" w:cs="Calibri"/>
                <w:sz w:val="20"/>
                <w:szCs w:val="20"/>
                <w:lang w:val="en-US"/>
              </w:rPr>
              <w:t xml:space="preserve">Organized and implemented online trainings, </w:t>
            </w:r>
            <w:r w:rsidR="005E209F">
              <w:rPr>
                <w:rFonts w:eastAsia="Times New Roman" w:cs="Calibri"/>
                <w:sz w:val="20"/>
                <w:szCs w:val="20"/>
                <w:lang w:val="en-US"/>
              </w:rPr>
              <w:t>P</w:t>
            </w:r>
            <w:r w:rsidRPr="008C761D">
              <w:rPr>
                <w:rFonts w:eastAsia="Times New Roman" w:cs="Calibri"/>
                <w:sz w:val="20"/>
                <w:szCs w:val="20"/>
                <w:lang w:val="en-US"/>
              </w:rPr>
              <w:t>roviding learning materials.</w:t>
            </w:r>
          </w:p>
        </w:tc>
      </w:tr>
      <w:tr w:rsidR="008D1B70" w:rsidRPr="008C761D" w14:paraId="6AA90E45" w14:textId="77777777" w:rsidTr="00BA5E44">
        <w:tc>
          <w:tcPr>
            <w:tcW w:w="2518" w:type="dxa"/>
            <w:tcBorders>
              <w:top w:val="single" w:sz="4" w:space="0" w:color="FFFFFF"/>
              <w:bottom w:val="single" w:sz="4" w:space="0" w:color="FFFFFF"/>
            </w:tcBorders>
            <w:shd w:val="clear" w:color="auto" w:fill="2F5496"/>
          </w:tcPr>
          <w:p w14:paraId="77984F4F"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Cost implications:</w:t>
            </w:r>
            <w:r w:rsidRPr="008C761D">
              <w:rPr>
                <w:rFonts w:eastAsia="Times New Roman" w:cs="Calibri"/>
                <w:b/>
                <w:color w:val="FFFFFF"/>
                <w:sz w:val="20"/>
                <w:szCs w:val="20"/>
                <w:lang w:val="en-US"/>
              </w:rPr>
              <w:tab/>
            </w:r>
          </w:p>
        </w:tc>
        <w:tc>
          <w:tcPr>
            <w:tcW w:w="6246" w:type="dxa"/>
            <w:tcBorders>
              <w:top w:val="single" w:sz="4" w:space="0" w:color="FFFFFF"/>
              <w:bottom w:val="single" w:sz="4" w:space="0" w:color="FFFFFF"/>
            </w:tcBorders>
            <w:shd w:val="clear" w:color="auto" w:fill="D9E2F3"/>
          </w:tcPr>
          <w:p w14:paraId="29277B11" w14:textId="77777777" w:rsidR="008D1B70" w:rsidRPr="008C761D" w:rsidRDefault="000304CE" w:rsidP="00E84CD0">
            <w:pPr>
              <w:tabs>
                <w:tab w:val="left" w:pos="1526"/>
              </w:tabs>
              <w:spacing w:after="0" w:line="240" w:lineRule="auto"/>
              <w:jc w:val="both"/>
              <w:rPr>
                <w:rFonts w:eastAsia="Times New Roman" w:cs="Calibri"/>
                <w:color w:val="202124"/>
                <w:sz w:val="20"/>
                <w:szCs w:val="20"/>
                <w:lang w:val="en-US"/>
              </w:rPr>
            </w:pPr>
            <w:r w:rsidRPr="008C761D">
              <w:rPr>
                <w:rFonts w:eastAsia="Times New Roman" w:cs="Calibri"/>
                <w:sz w:val="20"/>
                <w:szCs w:val="20"/>
                <w:lang w:val="en-US"/>
              </w:rPr>
              <w:t xml:space="preserve">EUR 50.000 </w:t>
            </w:r>
            <w:r w:rsidR="002428A3" w:rsidRPr="008C761D">
              <w:rPr>
                <w:rFonts w:eastAsia="Times New Roman" w:cs="Calibri"/>
                <w:sz w:val="20"/>
                <w:szCs w:val="20"/>
                <w:lang w:val="en-US"/>
              </w:rPr>
              <w:t>(donators)</w:t>
            </w:r>
          </w:p>
        </w:tc>
      </w:tr>
      <w:tr w:rsidR="008D1B70" w:rsidRPr="008C761D" w14:paraId="5D5D9281" w14:textId="77777777" w:rsidTr="00BA5E44">
        <w:tc>
          <w:tcPr>
            <w:tcW w:w="2518" w:type="dxa"/>
            <w:tcBorders>
              <w:top w:val="single" w:sz="4" w:space="0" w:color="FFFFFF"/>
              <w:bottom w:val="single" w:sz="4" w:space="0" w:color="FFFFFF"/>
            </w:tcBorders>
            <w:shd w:val="clear" w:color="auto" w:fill="2F5496"/>
          </w:tcPr>
          <w:p w14:paraId="729557C3" w14:textId="2AC01C29" w:rsidR="008D1B70" w:rsidRPr="008C761D" w:rsidRDefault="00514D12"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Responsible</w:t>
            </w:r>
            <w:r w:rsidR="008D1B70" w:rsidRPr="008C761D">
              <w:rPr>
                <w:rFonts w:eastAsia="Times New Roman" w:cs="Calibri"/>
                <w:b/>
                <w:color w:val="FFFFFF"/>
                <w:sz w:val="20"/>
                <w:szCs w:val="20"/>
                <w:lang w:val="en-US"/>
              </w:rPr>
              <w:t xml:space="preserve"> entity:</w:t>
            </w:r>
          </w:p>
        </w:tc>
        <w:tc>
          <w:tcPr>
            <w:tcW w:w="6246" w:type="dxa"/>
            <w:tcBorders>
              <w:top w:val="single" w:sz="4" w:space="0" w:color="FFFFFF"/>
              <w:bottom w:val="single" w:sz="4" w:space="0" w:color="FFFFFF"/>
            </w:tcBorders>
            <w:shd w:val="clear" w:color="auto" w:fill="D9E2F3"/>
          </w:tcPr>
          <w:p w14:paraId="6654C6DA" w14:textId="211C88D8" w:rsidR="008D1B70" w:rsidRPr="008C761D" w:rsidRDefault="00D3676F" w:rsidP="00E84CD0">
            <w:pPr>
              <w:tabs>
                <w:tab w:val="left" w:pos="4219"/>
              </w:tabs>
              <w:spacing w:after="0" w:line="240" w:lineRule="auto"/>
              <w:jc w:val="both"/>
              <w:rPr>
                <w:rFonts w:eastAsia="Times New Roman" w:cs="Calibri"/>
                <w:color w:val="202124"/>
                <w:sz w:val="20"/>
                <w:szCs w:val="20"/>
                <w:lang w:val="en-US"/>
              </w:rPr>
            </w:pPr>
            <w:r w:rsidRPr="00D3676F">
              <w:rPr>
                <w:rFonts w:eastAsia="Times New Roman" w:cs="Calibri"/>
                <w:color w:val="202124"/>
                <w:sz w:val="20"/>
                <w:szCs w:val="20"/>
                <w:lang w:val="en-US"/>
              </w:rPr>
              <w:t>MoF – PF Academy</w:t>
            </w:r>
          </w:p>
        </w:tc>
      </w:tr>
      <w:tr w:rsidR="008D1B70" w:rsidRPr="008C761D" w14:paraId="507E17F0" w14:textId="77777777" w:rsidTr="00BA5E44">
        <w:tc>
          <w:tcPr>
            <w:tcW w:w="2518" w:type="dxa"/>
            <w:tcBorders>
              <w:top w:val="single" w:sz="4" w:space="0" w:color="FFFFFF"/>
              <w:bottom w:val="nil"/>
            </w:tcBorders>
            <w:shd w:val="clear" w:color="auto" w:fill="2F5496"/>
          </w:tcPr>
          <w:p w14:paraId="69CA3B9F" w14:textId="77777777" w:rsidR="008D1B70" w:rsidRPr="008C761D" w:rsidRDefault="008D1B70" w:rsidP="00E84CD0">
            <w:pPr>
              <w:tabs>
                <w:tab w:val="left" w:pos="4219"/>
              </w:tabs>
              <w:spacing w:after="0" w:line="240" w:lineRule="auto"/>
              <w:jc w:val="both"/>
              <w:rPr>
                <w:rFonts w:eastAsia="Times New Roman" w:cs="Calibri"/>
                <w:b/>
                <w:color w:val="FFFFFF"/>
                <w:sz w:val="20"/>
                <w:szCs w:val="20"/>
                <w:lang w:val="en-US"/>
              </w:rPr>
            </w:pPr>
            <w:r w:rsidRPr="008C761D">
              <w:rPr>
                <w:rFonts w:eastAsia="Times New Roman" w:cs="Calibri"/>
                <w:b/>
                <w:color w:val="FFFFFF"/>
                <w:sz w:val="20"/>
                <w:szCs w:val="20"/>
                <w:lang w:val="en-US"/>
              </w:rPr>
              <w:t>Risk:</w:t>
            </w:r>
          </w:p>
        </w:tc>
        <w:tc>
          <w:tcPr>
            <w:tcW w:w="6246" w:type="dxa"/>
            <w:tcBorders>
              <w:top w:val="single" w:sz="4" w:space="0" w:color="FFFFFF"/>
              <w:bottom w:val="nil"/>
            </w:tcBorders>
            <w:shd w:val="clear" w:color="auto" w:fill="D9E2F3"/>
          </w:tcPr>
          <w:p w14:paraId="0E5E3E06" w14:textId="1CBCADAF" w:rsidR="008D1B70" w:rsidRPr="008C761D" w:rsidRDefault="000304CE" w:rsidP="00555720">
            <w:pPr>
              <w:numPr>
                <w:ilvl w:val="0"/>
                <w:numId w:val="1"/>
              </w:numPr>
              <w:tabs>
                <w:tab w:val="left" w:pos="183"/>
              </w:tabs>
              <w:spacing w:after="0" w:line="240" w:lineRule="auto"/>
              <w:ind w:left="183" w:hanging="180"/>
              <w:contextualSpacing/>
              <w:jc w:val="both"/>
              <w:rPr>
                <w:rFonts w:eastAsia="Times New Roman" w:cs="Calibri"/>
                <w:color w:val="202124"/>
                <w:sz w:val="20"/>
                <w:szCs w:val="20"/>
                <w:lang w:val="en-US"/>
              </w:rPr>
            </w:pPr>
            <w:r w:rsidRPr="008C761D">
              <w:rPr>
                <w:rFonts w:eastAsia="Times New Roman" w:cs="Calibri"/>
                <w:sz w:val="20"/>
                <w:szCs w:val="20"/>
                <w:lang w:val="en-US"/>
              </w:rPr>
              <w:t>Deficiency of t</w:t>
            </w:r>
            <w:r w:rsidR="002428A3" w:rsidRPr="008C761D">
              <w:rPr>
                <w:rFonts w:eastAsia="Times New Roman" w:cs="Calibri"/>
                <w:sz w:val="20"/>
                <w:szCs w:val="20"/>
                <w:lang w:val="en-US"/>
              </w:rPr>
              <w:t>echnical support and maintenance, low responsiveness and acceptance by the stakeholders</w:t>
            </w:r>
          </w:p>
        </w:tc>
      </w:tr>
    </w:tbl>
    <w:p w14:paraId="10692F07" w14:textId="77777777" w:rsidR="008D1B70" w:rsidRPr="008C761D" w:rsidRDefault="008D1B70" w:rsidP="00E84CD0">
      <w:pPr>
        <w:spacing w:after="0" w:line="240" w:lineRule="auto"/>
        <w:ind w:firstLine="720"/>
        <w:jc w:val="both"/>
        <w:rPr>
          <w:rFonts w:cs="Calibri"/>
          <w:color w:val="FF0000"/>
          <w:lang w:val="en-US"/>
        </w:rPr>
      </w:pPr>
    </w:p>
    <w:p w14:paraId="2E3DD50B" w14:textId="1E0228C7" w:rsidR="002428A3" w:rsidRPr="008C761D" w:rsidRDefault="002428A3" w:rsidP="002428A3">
      <w:pPr>
        <w:spacing w:before="120" w:after="0" w:line="240" w:lineRule="auto"/>
        <w:jc w:val="both"/>
        <w:rPr>
          <w:rFonts w:eastAsia="Times New Roman" w:cs="Calibri"/>
          <w:b/>
          <w:color w:val="C00000"/>
          <w:lang w:val="en-US"/>
        </w:rPr>
      </w:pPr>
      <w:r w:rsidRPr="008C761D">
        <w:rPr>
          <w:rFonts w:cs="Calibri"/>
          <w:b/>
          <w:bCs/>
          <w:iCs/>
          <w:color w:val="0070C0"/>
          <w:sz w:val="24"/>
          <w:szCs w:val="24"/>
          <w:lang w:val="en-US"/>
        </w:rPr>
        <w:t>Measure</w:t>
      </w:r>
      <w:r w:rsidR="005E209F">
        <w:rPr>
          <w:rFonts w:cs="Calibri"/>
          <w:b/>
          <w:bCs/>
          <w:iCs/>
          <w:color w:val="0070C0"/>
          <w:sz w:val="24"/>
          <w:szCs w:val="24"/>
          <w:lang w:val="en-US"/>
        </w:rPr>
        <w:t xml:space="preserve"> </w:t>
      </w:r>
      <w:r w:rsidRPr="008C761D">
        <w:rPr>
          <w:rFonts w:cs="Calibri"/>
          <w:b/>
          <w:bCs/>
          <w:iCs/>
          <w:color w:val="0070C0"/>
          <w:sz w:val="24"/>
          <w:szCs w:val="24"/>
          <w:lang w:val="en-US"/>
        </w:rPr>
        <w:t>3: Developing</w:t>
      </w:r>
      <w:r w:rsidR="008739B8" w:rsidRPr="008C761D">
        <w:rPr>
          <w:rFonts w:cs="Calibri"/>
          <w:b/>
          <w:bCs/>
          <w:iCs/>
          <w:color w:val="0070C0"/>
          <w:sz w:val="24"/>
          <w:szCs w:val="24"/>
          <w:lang w:val="en-US"/>
        </w:rPr>
        <w:t xml:space="preserve"> </w:t>
      </w:r>
      <w:r w:rsidRPr="008C761D">
        <w:rPr>
          <w:rFonts w:cs="Calibri"/>
          <w:b/>
          <w:bCs/>
          <w:iCs/>
          <w:color w:val="0070C0"/>
          <w:sz w:val="24"/>
          <w:szCs w:val="24"/>
          <w:lang w:val="en-US"/>
        </w:rPr>
        <w:t>lеаdership</w:t>
      </w:r>
      <w:r w:rsidR="008739B8" w:rsidRPr="008C761D">
        <w:rPr>
          <w:rFonts w:cs="Calibri"/>
          <w:b/>
          <w:bCs/>
          <w:iCs/>
          <w:color w:val="0070C0"/>
          <w:sz w:val="24"/>
          <w:szCs w:val="24"/>
          <w:lang w:val="en-US"/>
        </w:rPr>
        <w:t xml:space="preserve"> </w:t>
      </w:r>
      <w:r w:rsidRPr="008C761D">
        <w:rPr>
          <w:rFonts w:cs="Calibri"/>
          <w:b/>
          <w:bCs/>
          <w:iCs/>
          <w:color w:val="0070C0"/>
          <w:sz w:val="24"/>
          <w:szCs w:val="24"/>
          <w:lang w:val="en-US"/>
        </w:rPr>
        <w:t>program</w:t>
      </w:r>
    </w:p>
    <w:p w14:paraId="1522D500" w14:textId="77777777" w:rsidR="002428A3" w:rsidRPr="008C761D" w:rsidRDefault="002428A3" w:rsidP="002428A3">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Measure Objective</w:t>
      </w:r>
    </w:p>
    <w:p w14:paraId="745217D8" w14:textId="77777777" w:rsidR="002428A3" w:rsidRPr="008C761D" w:rsidRDefault="002428A3" w:rsidP="002428A3">
      <w:pPr>
        <w:spacing w:after="0" w:line="240" w:lineRule="auto"/>
        <w:jc w:val="both"/>
        <w:rPr>
          <w:rFonts w:cs="Calibri"/>
          <w:color w:val="000000"/>
          <w:lang w:val="en-US"/>
        </w:rPr>
      </w:pPr>
      <w:r w:rsidRPr="008C761D">
        <w:rPr>
          <w:rFonts w:cs="Calibri"/>
          <w:color w:val="000000"/>
          <w:lang w:val="en-US"/>
        </w:rPr>
        <w:t>Developing a program for leaders where specialized trainings will be established to develop leadership competencies in order to train future officials with crucial knowledge in the field of public finance management.</w:t>
      </w:r>
    </w:p>
    <w:p w14:paraId="0C69B82D" w14:textId="77777777" w:rsidR="002428A3" w:rsidRPr="008C761D" w:rsidRDefault="002428A3" w:rsidP="002428A3">
      <w:pPr>
        <w:spacing w:after="0" w:line="240" w:lineRule="auto"/>
        <w:jc w:val="both"/>
        <w:rPr>
          <w:rFonts w:cs="Calibri"/>
          <w:b/>
          <w:bCs/>
          <w:i/>
          <w:iCs/>
          <w:color w:val="4F81BD"/>
          <w:lang w:val="en-US"/>
        </w:rPr>
      </w:pPr>
    </w:p>
    <w:p w14:paraId="4ECB4FD1" w14:textId="77777777" w:rsidR="002428A3" w:rsidRPr="008C761D" w:rsidRDefault="002428A3" w:rsidP="002428A3">
      <w:pPr>
        <w:spacing w:after="0" w:line="240" w:lineRule="auto"/>
        <w:jc w:val="both"/>
        <w:rPr>
          <w:rFonts w:cs="Calibri"/>
          <w:b/>
          <w:bCs/>
          <w:i/>
          <w:iCs/>
          <w:color w:val="4F81BD"/>
          <w:lang w:val="en-US"/>
        </w:rPr>
      </w:pPr>
      <w:r w:rsidRPr="008C761D">
        <w:rPr>
          <w:rFonts w:cs="Calibri"/>
          <w:b/>
          <w:bCs/>
          <w:i/>
          <w:iCs/>
          <w:color w:val="4F81BD"/>
          <w:lang w:val="en-US"/>
        </w:rPr>
        <w:t>Context/Background</w:t>
      </w:r>
    </w:p>
    <w:p w14:paraId="68C1EAFA" w14:textId="77777777" w:rsidR="002428A3" w:rsidRPr="008C761D" w:rsidRDefault="002428A3" w:rsidP="002428A3">
      <w:pPr>
        <w:spacing w:after="0" w:line="240" w:lineRule="auto"/>
        <w:jc w:val="both"/>
        <w:rPr>
          <w:rFonts w:cs="Calibri"/>
          <w:b/>
          <w:bCs/>
          <w:i/>
          <w:iCs/>
          <w:color w:val="4F81BD"/>
          <w:lang w:val="en-US"/>
        </w:rPr>
      </w:pPr>
    </w:p>
    <w:p w14:paraId="507F7371" w14:textId="53E32658" w:rsidR="008739B8" w:rsidRDefault="008739B8" w:rsidP="008739B8">
      <w:pPr>
        <w:spacing w:after="0" w:line="240" w:lineRule="auto"/>
        <w:jc w:val="both"/>
        <w:rPr>
          <w:rFonts w:cs="Calibri"/>
          <w:bCs/>
          <w:iCs/>
          <w:lang w:val="en-US"/>
        </w:rPr>
      </w:pPr>
      <w:r w:rsidRPr="008C761D">
        <w:rPr>
          <w:rFonts w:cs="Calibri"/>
          <w:bCs/>
          <w:iCs/>
          <w:lang w:val="en-US"/>
        </w:rPr>
        <w:t>This initiative strategically focuses on creating a specialized training program for future officials. Aligned with organizational objectives, the program aims to cultivate a cadre of leaders equipped with the essential skills for effective decision-making and strategic planning in the dynamic field of public finance.</w:t>
      </w:r>
    </w:p>
    <w:p w14:paraId="4C42E5D2" w14:textId="77777777" w:rsidR="005E209F" w:rsidRPr="008C761D" w:rsidRDefault="005E209F" w:rsidP="008739B8">
      <w:pPr>
        <w:spacing w:after="0" w:line="240" w:lineRule="auto"/>
        <w:jc w:val="both"/>
        <w:rPr>
          <w:rFonts w:cs="Calibri"/>
          <w:bCs/>
          <w:iCs/>
          <w:lang w:val="en-US"/>
        </w:rPr>
      </w:pPr>
    </w:p>
    <w:p w14:paraId="769494F1" w14:textId="2E5AC1CD" w:rsidR="002428A3" w:rsidRPr="002E4AA9" w:rsidRDefault="002428A3" w:rsidP="000304CE">
      <w:pPr>
        <w:spacing w:after="0" w:line="240" w:lineRule="auto"/>
        <w:jc w:val="both"/>
        <w:rPr>
          <w:rFonts w:cs="Calibri"/>
          <w:b/>
          <w:bCs/>
          <w:iCs/>
          <w:color w:val="0070C0"/>
          <w:lang w:val="en-US"/>
        </w:rPr>
      </w:pPr>
      <w:r w:rsidRPr="002E4AA9">
        <w:rPr>
          <w:rFonts w:cs="Calibri"/>
          <w:b/>
          <w:bCs/>
          <w:iCs/>
          <w:color w:val="0070C0"/>
          <w:lang w:val="en-US"/>
        </w:rPr>
        <w:t xml:space="preserve">Activity 1: </w:t>
      </w:r>
      <w:r w:rsidR="000304CE" w:rsidRPr="002E4AA9">
        <w:rPr>
          <w:rFonts w:cs="Calibri"/>
          <w:b/>
          <w:bCs/>
          <w:iCs/>
          <w:color w:val="0070C0"/>
          <w:lang w:val="en-US"/>
        </w:rPr>
        <w:t xml:space="preserve">Developing methodology for </w:t>
      </w:r>
      <w:r w:rsidR="00514D12" w:rsidRPr="002E4AA9">
        <w:rPr>
          <w:rFonts w:cs="Calibri"/>
          <w:b/>
          <w:bCs/>
          <w:iCs/>
          <w:color w:val="0070C0"/>
          <w:lang w:val="en-US"/>
        </w:rPr>
        <w:t>preparing annual</w:t>
      </w:r>
      <w:r w:rsidR="000304CE" w:rsidRPr="002E4AA9">
        <w:rPr>
          <w:rFonts w:cs="Calibri"/>
          <w:b/>
          <w:bCs/>
          <w:iCs/>
          <w:color w:val="0070C0"/>
          <w:lang w:val="en-US"/>
        </w:rPr>
        <w:t xml:space="preserve"> training programme and curriculum</w:t>
      </w:r>
    </w:p>
    <w:p w14:paraId="3D22C67B" w14:textId="77777777" w:rsidR="000304CE" w:rsidRPr="008C761D" w:rsidRDefault="000304CE" w:rsidP="000304CE">
      <w:pPr>
        <w:spacing w:after="0" w:line="240" w:lineRule="auto"/>
        <w:jc w:val="both"/>
        <w:rPr>
          <w:rFonts w:cs="Calibri"/>
          <w:b/>
          <w:bCs/>
          <w:i/>
          <w:iCs/>
          <w:color w:val="4F81BD"/>
          <w:lang w:val="en-US"/>
        </w:rPr>
      </w:pPr>
    </w:p>
    <w:p w14:paraId="77F9C2E5" w14:textId="3D7779B0" w:rsidR="008739B8" w:rsidRDefault="008739B8" w:rsidP="008739B8">
      <w:pPr>
        <w:spacing w:after="0" w:line="240" w:lineRule="auto"/>
        <w:jc w:val="both"/>
        <w:rPr>
          <w:rFonts w:eastAsia="Times New Roman" w:cs="Calibri"/>
          <w:color w:val="202124"/>
          <w:lang w:val="en-US" w:eastAsia="x-none"/>
        </w:rPr>
      </w:pPr>
      <w:r w:rsidRPr="008C761D">
        <w:rPr>
          <w:rFonts w:eastAsia="Times New Roman" w:cs="Calibri"/>
          <w:color w:val="202124"/>
          <w:lang w:val="en-US" w:eastAsia="x-none"/>
        </w:rPr>
        <w:t xml:space="preserve">Within this activity, the Public Finance Academy will </w:t>
      </w:r>
      <w:r w:rsidR="00514D12" w:rsidRPr="008C761D">
        <w:rPr>
          <w:rFonts w:eastAsia="Times New Roman" w:cs="Calibri"/>
          <w:color w:val="202124"/>
          <w:lang w:val="en-US" w:eastAsia="x-none"/>
        </w:rPr>
        <w:t>develop</w:t>
      </w:r>
      <w:r w:rsidRPr="008C761D">
        <w:rPr>
          <w:rFonts w:eastAsia="Times New Roman" w:cs="Calibri"/>
          <w:color w:val="202124"/>
          <w:lang w:val="en-US" w:eastAsia="x-none"/>
        </w:rPr>
        <w:t xml:space="preserve"> methodology for preparing annual training programme and curriculum for leadership which will lead for preparing training needs assessment, the Annual Training Programme and curriculum consisting of specific trainings for leaders in the field of public finance </w:t>
      </w:r>
      <w:r w:rsidR="00514D12" w:rsidRPr="008C761D">
        <w:rPr>
          <w:rFonts w:eastAsia="Times New Roman" w:cs="Calibri"/>
          <w:color w:val="202124"/>
          <w:lang w:val="en-US" w:eastAsia="x-none"/>
        </w:rPr>
        <w:t>management</w:t>
      </w:r>
      <w:r w:rsidRPr="008C761D">
        <w:rPr>
          <w:rFonts w:eastAsia="Times New Roman" w:cs="Calibri"/>
          <w:color w:val="202124"/>
          <w:lang w:val="en-US" w:eastAsia="x-none"/>
        </w:rPr>
        <w:t>.</w:t>
      </w:r>
    </w:p>
    <w:p w14:paraId="2B842AF5" w14:textId="77777777" w:rsidR="005E209F" w:rsidRPr="008C761D" w:rsidRDefault="005E209F" w:rsidP="008739B8">
      <w:pPr>
        <w:spacing w:after="0" w:line="240" w:lineRule="auto"/>
        <w:jc w:val="both"/>
        <w:rPr>
          <w:rFonts w:eastAsia="Times New Roman" w:cs="Calibri"/>
          <w:color w:val="202124"/>
          <w:lang w:val="en-US" w:eastAsia="x-none"/>
        </w:rPr>
      </w:pPr>
    </w:p>
    <w:p w14:paraId="786819C1" w14:textId="5ED5AF69" w:rsidR="002428A3" w:rsidRPr="002E4AA9" w:rsidRDefault="002428A3" w:rsidP="002428A3">
      <w:pPr>
        <w:spacing w:after="0" w:line="240" w:lineRule="auto"/>
        <w:jc w:val="both"/>
        <w:rPr>
          <w:rFonts w:cs="Calibri"/>
          <w:b/>
          <w:bCs/>
          <w:iCs/>
          <w:color w:val="0070C0"/>
          <w:lang w:val="en-US"/>
        </w:rPr>
      </w:pPr>
      <w:r w:rsidRPr="002E4AA9">
        <w:rPr>
          <w:rFonts w:cs="Calibri"/>
          <w:b/>
          <w:bCs/>
          <w:iCs/>
          <w:color w:val="0070C0"/>
          <w:lang w:val="en-US"/>
        </w:rPr>
        <w:t xml:space="preserve">Activity </w:t>
      </w:r>
      <w:r w:rsidR="000304CE" w:rsidRPr="002E4AA9">
        <w:rPr>
          <w:rFonts w:cs="Calibri"/>
          <w:b/>
          <w:bCs/>
          <w:iCs/>
          <w:color w:val="0070C0"/>
          <w:lang w:val="en-US"/>
        </w:rPr>
        <w:t>2</w:t>
      </w:r>
      <w:r w:rsidRPr="002E4AA9">
        <w:rPr>
          <w:rFonts w:cs="Calibri"/>
          <w:b/>
          <w:bCs/>
          <w:iCs/>
          <w:color w:val="0070C0"/>
          <w:lang w:val="en-US"/>
        </w:rPr>
        <w:t>: Organizing trainings</w:t>
      </w:r>
    </w:p>
    <w:p w14:paraId="573B2CB6" w14:textId="60F8D115" w:rsidR="008739B8" w:rsidRPr="008C761D" w:rsidRDefault="008739B8" w:rsidP="008739B8">
      <w:pPr>
        <w:spacing w:before="80" w:after="80" w:line="240" w:lineRule="auto"/>
        <w:jc w:val="both"/>
        <w:rPr>
          <w:rFonts w:eastAsia="Times New Roman" w:cs="Calibri"/>
          <w:color w:val="202124"/>
          <w:lang w:val="en-US" w:eastAsia="x-none"/>
        </w:rPr>
      </w:pPr>
      <w:r w:rsidRPr="008C761D">
        <w:rPr>
          <w:rFonts w:eastAsia="Times New Roman" w:cs="Calibri"/>
          <w:color w:val="202124"/>
          <w:lang w:val="en-US" w:eastAsia="x-none"/>
        </w:rPr>
        <w:t>The purpose of this activity is for the Public Finance</w:t>
      </w:r>
      <w:r w:rsidR="005E209F">
        <w:rPr>
          <w:rFonts w:eastAsia="Times New Roman" w:cs="Calibri"/>
          <w:color w:val="202124"/>
          <w:lang w:val="en-US" w:eastAsia="x-none"/>
        </w:rPr>
        <w:t xml:space="preserve"> Academy</w:t>
      </w:r>
      <w:r w:rsidRPr="008C761D">
        <w:rPr>
          <w:rFonts w:eastAsia="Times New Roman" w:cs="Calibri"/>
          <w:color w:val="202124"/>
          <w:lang w:val="en-US" w:eastAsia="x-none"/>
        </w:rPr>
        <w:t xml:space="preserve"> to organize trainings for building human capacity to enhance the skills and quality for new generation of leaders. </w:t>
      </w:r>
    </w:p>
    <w:p w14:paraId="3C502066" w14:textId="77777777" w:rsidR="002428A3" w:rsidRPr="008C761D" w:rsidRDefault="002428A3" w:rsidP="00E84CD0">
      <w:pPr>
        <w:keepNext/>
        <w:keepLines/>
        <w:spacing w:before="160" w:after="60" w:line="240" w:lineRule="auto"/>
        <w:jc w:val="both"/>
        <w:outlineLvl w:val="3"/>
        <w:rPr>
          <w:rFonts w:cs="Calibri"/>
          <w:b/>
          <w:bCs/>
          <w:iCs/>
          <w:color w:val="0070C0"/>
          <w:sz w:val="24"/>
          <w:szCs w:val="24"/>
          <w:lang w:val="en-US"/>
        </w:rPr>
      </w:pPr>
    </w:p>
    <w:p w14:paraId="68F7C25E" w14:textId="77777777" w:rsidR="008D1B70" w:rsidRPr="008C761D" w:rsidRDefault="008D1B70" w:rsidP="00E84CD0">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660"/>
        <w:gridCol w:w="6104"/>
      </w:tblGrid>
      <w:tr w:rsidR="008D1B70" w:rsidRPr="008C761D" w14:paraId="3AEFC0A7" w14:textId="77777777" w:rsidTr="0038698B">
        <w:trPr>
          <w:trHeight w:val="391"/>
        </w:trPr>
        <w:tc>
          <w:tcPr>
            <w:tcW w:w="2660" w:type="dxa"/>
            <w:tcBorders>
              <w:top w:val="nil"/>
              <w:bottom w:val="single" w:sz="4" w:space="0" w:color="FFFFFF"/>
            </w:tcBorders>
            <w:shd w:val="clear" w:color="auto" w:fill="2F5496"/>
          </w:tcPr>
          <w:p w14:paraId="03E87DC6" w14:textId="77777777" w:rsidR="008D1B70" w:rsidRPr="008C761D" w:rsidRDefault="008D1B70"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104" w:type="dxa"/>
            <w:tcBorders>
              <w:top w:val="nil"/>
              <w:bottom w:val="single" w:sz="4" w:space="0" w:color="FFFFFF"/>
            </w:tcBorders>
            <w:shd w:val="clear" w:color="auto" w:fill="D9E2F3"/>
          </w:tcPr>
          <w:p w14:paraId="092DBE72" w14:textId="77777777" w:rsidR="008D1B70" w:rsidRPr="008C761D" w:rsidRDefault="008D1B70" w:rsidP="00E84CD0">
            <w:pPr>
              <w:tabs>
                <w:tab w:val="left" w:pos="1526"/>
              </w:tabs>
              <w:spacing w:after="0" w:line="240" w:lineRule="auto"/>
              <w:jc w:val="both"/>
              <w:rPr>
                <w:rFonts w:cs="Calibri"/>
                <w:sz w:val="20"/>
                <w:szCs w:val="20"/>
                <w:lang w:val="en-US"/>
              </w:rPr>
            </w:pPr>
            <w:r w:rsidRPr="008C761D">
              <w:rPr>
                <w:rFonts w:cs="Calibri"/>
                <w:sz w:val="20"/>
                <w:szCs w:val="20"/>
                <w:lang w:val="en-US"/>
              </w:rPr>
              <w:t>202</w:t>
            </w:r>
            <w:r w:rsidR="002428A3" w:rsidRPr="008C761D">
              <w:rPr>
                <w:rFonts w:cs="Calibri"/>
                <w:sz w:val="20"/>
                <w:szCs w:val="20"/>
                <w:lang w:val="en-US"/>
              </w:rPr>
              <w:t>7</w:t>
            </w:r>
          </w:p>
        </w:tc>
      </w:tr>
      <w:tr w:rsidR="008D1B70" w:rsidRPr="008C761D" w14:paraId="7D7A1ABA" w14:textId="77777777" w:rsidTr="0038698B">
        <w:trPr>
          <w:trHeight w:val="429"/>
        </w:trPr>
        <w:tc>
          <w:tcPr>
            <w:tcW w:w="2660" w:type="dxa"/>
            <w:tcBorders>
              <w:top w:val="single" w:sz="4" w:space="0" w:color="FFFFFF"/>
              <w:bottom w:val="single" w:sz="4" w:space="0" w:color="FFFFFF"/>
            </w:tcBorders>
            <w:shd w:val="clear" w:color="auto" w:fill="2F5496"/>
          </w:tcPr>
          <w:p w14:paraId="1ABEAB13" w14:textId="77777777" w:rsidR="008D1B70" w:rsidRPr="008C761D" w:rsidRDefault="008D1B70"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104" w:type="dxa"/>
            <w:tcBorders>
              <w:top w:val="single" w:sz="4" w:space="0" w:color="FFFFFF"/>
              <w:bottom w:val="single" w:sz="4" w:space="0" w:color="FFFFFF"/>
            </w:tcBorders>
            <w:shd w:val="clear" w:color="auto" w:fill="D9E2F3"/>
          </w:tcPr>
          <w:p w14:paraId="1FB5BAAA" w14:textId="67F65803" w:rsidR="000304CE" w:rsidRPr="008C761D" w:rsidRDefault="000304CE" w:rsidP="000304CE">
            <w:pPr>
              <w:tabs>
                <w:tab w:val="left" w:pos="1526"/>
              </w:tabs>
              <w:spacing w:after="0" w:line="240" w:lineRule="auto"/>
              <w:jc w:val="both"/>
              <w:rPr>
                <w:lang w:val="en-US"/>
              </w:rPr>
            </w:pPr>
            <w:r w:rsidRPr="008C761D">
              <w:rPr>
                <w:lang w:val="en-US"/>
              </w:rPr>
              <w:t>-</w:t>
            </w:r>
            <w:r w:rsidR="002E4AA9">
              <w:t xml:space="preserve"> </w:t>
            </w:r>
            <w:r w:rsidR="006A55CA" w:rsidRPr="008C761D">
              <w:rPr>
                <w:rFonts w:eastAsia="Times New Roman" w:cs="Calibri"/>
                <w:sz w:val="20"/>
                <w:szCs w:val="20"/>
                <w:lang w:val="en-US"/>
              </w:rPr>
              <w:t>Methodology for preparing annual training programme and curriculum</w:t>
            </w:r>
          </w:p>
          <w:p w14:paraId="19C6DF88" w14:textId="709B4719" w:rsidR="008D1B70" w:rsidRPr="008C761D" w:rsidRDefault="000304CE" w:rsidP="00E84CD0">
            <w:pPr>
              <w:tabs>
                <w:tab w:val="left" w:pos="1526"/>
              </w:tabs>
              <w:spacing w:after="0" w:line="240" w:lineRule="auto"/>
              <w:jc w:val="both"/>
              <w:rPr>
                <w:rFonts w:cs="Calibri"/>
                <w:sz w:val="20"/>
                <w:szCs w:val="20"/>
                <w:lang w:val="en-US"/>
              </w:rPr>
            </w:pPr>
            <w:r w:rsidRPr="008C761D">
              <w:rPr>
                <w:lang w:val="en-US"/>
              </w:rPr>
              <w:t>-</w:t>
            </w:r>
            <w:r w:rsidR="002E4AA9">
              <w:t xml:space="preserve"> </w:t>
            </w:r>
            <w:r w:rsidR="002428A3" w:rsidRPr="008C761D">
              <w:rPr>
                <w:lang w:val="en-US"/>
              </w:rPr>
              <w:t>O</w:t>
            </w:r>
            <w:r w:rsidR="002428A3" w:rsidRPr="008C761D">
              <w:rPr>
                <w:rFonts w:eastAsia="Times New Roman" w:cs="Calibri"/>
                <w:sz w:val="20"/>
                <w:szCs w:val="20"/>
                <w:lang w:val="en-US"/>
              </w:rPr>
              <w:t>rganized and implemented leadership trainings</w:t>
            </w:r>
          </w:p>
        </w:tc>
      </w:tr>
      <w:tr w:rsidR="008D1B70" w:rsidRPr="008C761D" w14:paraId="70D22AB7" w14:textId="77777777" w:rsidTr="0038698B">
        <w:trPr>
          <w:trHeight w:val="407"/>
        </w:trPr>
        <w:tc>
          <w:tcPr>
            <w:tcW w:w="2660" w:type="dxa"/>
            <w:tcBorders>
              <w:top w:val="single" w:sz="4" w:space="0" w:color="FFFFFF"/>
              <w:bottom w:val="single" w:sz="4" w:space="0" w:color="FFFFFF"/>
            </w:tcBorders>
            <w:shd w:val="clear" w:color="auto" w:fill="2F5496"/>
          </w:tcPr>
          <w:p w14:paraId="506045DC" w14:textId="77777777" w:rsidR="008D1B70" w:rsidRPr="008C761D" w:rsidRDefault="008D1B70"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lastRenderedPageBreak/>
              <w:t>Cost implications:</w:t>
            </w:r>
            <w:r w:rsidRPr="008C761D">
              <w:rPr>
                <w:rFonts w:cs="Calibri"/>
                <w:color w:val="FFFFFF"/>
                <w:sz w:val="20"/>
                <w:szCs w:val="20"/>
                <w:lang w:val="en-US"/>
              </w:rPr>
              <w:tab/>
            </w:r>
          </w:p>
        </w:tc>
        <w:tc>
          <w:tcPr>
            <w:tcW w:w="6104" w:type="dxa"/>
            <w:tcBorders>
              <w:top w:val="single" w:sz="4" w:space="0" w:color="FFFFFF"/>
              <w:bottom w:val="single" w:sz="4" w:space="0" w:color="FFFFFF"/>
            </w:tcBorders>
            <w:shd w:val="clear" w:color="auto" w:fill="D9E2F3"/>
          </w:tcPr>
          <w:p w14:paraId="1864DF2B" w14:textId="77777777" w:rsidR="008D1B70" w:rsidRPr="008C761D" w:rsidRDefault="000304CE" w:rsidP="00E84CD0">
            <w:pPr>
              <w:tabs>
                <w:tab w:val="left" w:pos="1526"/>
              </w:tabs>
              <w:spacing w:after="0" w:line="240" w:lineRule="auto"/>
              <w:jc w:val="both"/>
              <w:rPr>
                <w:rFonts w:eastAsia="Times New Roman" w:cs="Calibri"/>
                <w:sz w:val="20"/>
                <w:szCs w:val="20"/>
                <w:lang w:val="en-US"/>
              </w:rPr>
            </w:pPr>
            <w:r w:rsidRPr="008C761D">
              <w:rPr>
                <w:rFonts w:eastAsia="Times New Roman" w:cs="Calibri"/>
                <w:sz w:val="20"/>
                <w:szCs w:val="20"/>
                <w:lang w:val="en-US"/>
              </w:rPr>
              <w:t xml:space="preserve"> EUR 30.000 </w:t>
            </w:r>
            <w:r w:rsidR="002428A3" w:rsidRPr="008C761D">
              <w:rPr>
                <w:rFonts w:eastAsia="Times New Roman" w:cs="Calibri"/>
                <w:sz w:val="20"/>
                <w:szCs w:val="20"/>
                <w:lang w:val="en-US"/>
              </w:rPr>
              <w:t>(donators)</w:t>
            </w:r>
          </w:p>
        </w:tc>
      </w:tr>
      <w:tr w:rsidR="008D1B70" w:rsidRPr="008C761D" w14:paraId="65A8630E" w14:textId="77777777" w:rsidTr="0038698B">
        <w:trPr>
          <w:trHeight w:val="413"/>
        </w:trPr>
        <w:tc>
          <w:tcPr>
            <w:tcW w:w="2660" w:type="dxa"/>
            <w:tcBorders>
              <w:top w:val="single" w:sz="4" w:space="0" w:color="FFFFFF"/>
              <w:bottom w:val="single" w:sz="4" w:space="0" w:color="FFFFFF"/>
            </w:tcBorders>
            <w:shd w:val="clear" w:color="auto" w:fill="2F5496"/>
          </w:tcPr>
          <w:p w14:paraId="49BDB43A" w14:textId="77777777" w:rsidR="008D1B70" w:rsidRPr="008C761D" w:rsidRDefault="008D1B70"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104" w:type="dxa"/>
            <w:tcBorders>
              <w:top w:val="single" w:sz="4" w:space="0" w:color="FFFFFF"/>
              <w:bottom w:val="single" w:sz="4" w:space="0" w:color="FFFFFF"/>
            </w:tcBorders>
            <w:shd w:val="clear" w:color="auto" w:fill="D9E2F3"/>
          </w:tcPr>
          <w:p w14:paraId="0DB7F7C1" w14:textId="5C3F9229" w:rsidR="008D1B70" w:rsidRPr="008C761D" w:rsidRDefault="00D3676F" w:rsidP="00E84CD0">
            <w:pPr>
              <w:tabs>
                <w:tab w:val="left" w:pos="4219"/>
              </w:tabs>
              <w:spacing w:after="0" w:line="240" w:lineRule="auto"/>
              <w:jc w:val="both"/>
              <w:rPr>
                <w:rFonts w:eastAsia="Times New Roman" w:cs="Calibri"/>
                <w:sz w:val="20"/>
                <w:szCs w:val="20"/>
                <w:lang w:val="en-US"/>
              </w:rPr>
            </w:pPr>
            <w:r w:rsidRPr="00D3676F">
              <w:rPr>
                <w:rFonts w:eastAsia="Times New Roman" w:cs="Calibri"/>
                <w:sz w:val="20"/>
                <w:szCs w:val="20"/>
                <w:lang w:val="en-US"/>
              </w:rPr>
              <w:t>MoF – PF Academy</w:t>
            </w:r>
          </w:p>
        </w:tc>
      </w:tr>
      <w:tr w:rsidR="008D1B70" w:rsidRPr="008C761D" w14:paraId="0C615F77" w14:textId="77777777" w:rsidTr="0038698B">
        <w:trPr>
          <w:trHeight w:val="418"/>
        </w:trPr>
        <w:tc>
          <w:tcPr>
            <w:tcW w:w="2660" w:type="dxa"/>
            <w:tcBorders>
              <w:top w:val="single" w:sz="4" w:space="0" w:color="FFFFFF"/>
              <w:bottom w:val="nil"/>
            </w:tcBorders>
            <w:shd w:val="clear" w:color="auto" w:fill="2F5496"/>
          </w:tcPr>
          <w:p w14:paraId="07ECF5EB" w14:textId="77777777" w:rsidR="008D1B70" w:rsidRPr="008C761D" w:rsidRDefault="008D1B70"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104" w:type="dxa"/>
            <w:tcBorders>
              <w:top w:val="single" w:sz="4" w:space="0" w:color="FFFFFF"/>
              <w:bottom w:val="nil"/>
            </w:tcBorders>
            <w:shd w:val="clear" w:color="auto" w:fill="D9E2F3"/>
          </w:tcPr>
          <w:p w14:paraId="28A2E614" w14:textId="2EE17A00" w:rsidR="008D1B70" w:rsidRPr="002E4AA9" w:rsidRDefault="002428A3" w:rsidP="002E4AA9">
            <w:pPr>
              <w:pStyle w:val="ListParagraph"/>
              <w:numPr>
                <w:ilvl w:val="0"/>
                <w:numId w:val="1"/>
              </w:numPr>
              <w:tabs>
                <w:tab w:val="left" w:pos="122"/>
              </w:tabs>
              <w:spacing w:after="0" w:line="240" w:lineRule="auto"/>
              <w:ind w:left="136" w:hanging="134"/>
              <w:rPr>
                <w:rFonts w:cs="Calibri"/>
                <w:sz w:val="20"/>
                <w:szCs w:val="20"/>
                <w:lang w:val="en-US"/>
              </w:rPr>
            </w:pPr>
            <w:r w:rsidRPr="002E4AA9">
              <w:rPr>
                <w:rFonts w:cs="Calibri"/>
                <w:sz w:val="20"/>
                <w:szCs w:val="20"/>
                <w:lang w:val="en-US"/>
              </w:rPr>
              <w:t xml:space="preserve">Low </w:t>
            </w:r>
            <w:r w:rsidR="00514D12" w:rsidRPr="002E4AA9">
              <w:rPr>
                <w:rFonts w:cs="Calibri"/>
                <w:sz w:val="20"/>
                <w:szCs w:val="20"/>
                <w:lang w:val="en-US"/>
              </w:rPr>
              <w:t>responsiveness of</w:t>
            </w:r>
            <w:r w:rsidRPr="002E4AA9">
              <w:rPr>
                <w:rFonts w:cs="Calibri"/>
                <w:sz w:val="20"/>
                <w:szCs w:val="20"/>
                <w:lang w:val="en-US"/>
              </w:rPr>
              <w:t xml:space="preserve"> the stakeholders, resistance from</w:t>
            </w:r>
            <w:r w:rsidR="00514D12" w:rsidRPr="002E4AA9">
              <w:rPr>
                <w:rFonts w:cs="Calibri"/>
                <w:sz w:val="20"/>
                <w:szCs w:val="20"/>
                <w:lang w:val="en-US"/>
              </w:rPr>
              <w:t xml:space="preserve"> </w:t>
            </w:r>
            <w:r w:rsidRPr="002E4AA9">
              <w:rPr>
                <w:rFonts w:cs="Calibri"/>
                <w:sz w:val="20"/>
                <w:szCs w:val="20"/>
                <w:lang w:val="en-US"/>
              </w:rPr>
              <w:t>the new approach of leadership learning styles.</w:t>
            </w:r>
          </w:p>
        </w:tc>
      </w:tr>
    </w:tbl>
    <w:p w14:paraId="0E9815AD" w14:textId="77777777" w:rsidR="008D1B70" w:rsidRPr="008C761D" w:rsidRDefault="008D1B70" w:rsidP="00E84CD0">
      <w:pPr>
        <w:spacing w:line="240" w:lineRule="auto"/>
        <w:jc w:val="both"/>
        <w:rPr>
          <w:rFonts w:cs="Calibri"/>
          <w:b/>
          <w:color w:val="C00000"/>
          <w:lang w:val="en-US" w:eastAsia="zh-CN"/>
        </w:rPr>
      </w:pPr>
    </w:p>
    <w:p w14:paraId="10FA9D7E" w14:textId="77777777" w:rsidR="00D3676F" w:rsidRDefault="00D3676F" w:rsidP="008D2563">
      <w:pPr>
        <w:pStyle w:val="Heading1"/>
        <w:spacing w:line="240" w:lineRule="auto"/>
        <w:jc w:val="both"/>
        <w:rPr>
          <w:rFonts w:ascii="Calibri" w:hAnsi="Calibri" w:cs="Calibri"/>
          <w:color w:val="2F5496"/>
          <w:lang w:val="en-US"/>
        </w:rPr>
      </w:pPr>
    </w:p>
    <w:p w14:paraId="257556BD" w14:textId="77777777" w:rsidR="00D3676F" w:rsidRDefault="00D3676F" w:rsidP="008D2563">
      <w:pPr>
        <w:pStyle w:val="Heading1"/>
        <w:spacing w:line="240" w:lineRule="auto"/>
        <w:jc w:val="both"/>
        <w:rPr>
          <w:rFonts w:ascii="Calibri" w:hAnsi="Calibri" w:cs="Calibri"/>
          <w:color w:val="2F5496"/>
          <w:lang w:val="en-US"/>
        </w:rPr>
      </w:pPr>
    </w:p>
    <w:p w14:paraId="48ABC8A3" w14:textId="77777777" w:rsidR="00D3676F" w:rsidRDefault="00D3676F" w:rsidP="008D2563">
      <w:pPr>
        <w:pStyle w:val="Heading1"/>
        <w:spacing w:line="240" w:lineRule="auto"/>
        <w:jc w:val="both"/>
        <w:rPr>
          <w:rFonts w:ascii="Calibri" w:hAnsi="Calibri" w:cs="Calibri"/>
          <w:color w:val="2F5496"/>
          <w:lang w:val="en-US"/>
        </w:rPr>
      </w:pPr>
    </w:p>
    <w:p w14:paraId="1BBCA5F7" w14:textId="77777777" w:rsidR="00D3676F" w:rsidRDefault="00D3676F" w:rsidP="008D2563">
      <w:pPr>
        <w:pStyle w:val="Heading1"/>
        <w:spacing w:line="240" w:lineRule="auto"/>
        <w:jc w:val="both"/>
        <w:rPr>
          <w:rFonts w:ascii="Calibri" w:hAnsi="Calibri" w:cs="Calibri"/>
          <w:color w:val="2F5496"/>
          <w:lang w:val="en-US"/>
        </w:rPr>
      </w:pPr>
    </w:p>
    <w:p w14:paraId="068487B0" w14:textId="77777777" w:rsidR="00D3676F" w:rsidRDefault="00D3676F" w:rsidP="008D2563">
      <w:pPr>
        <w:pStyle w:val="Heading1"/>
        <w:spacing w:line="240" w:lineRule="auto"/>
        <w:jc w:val="both"/>
        <w:rPr>
          <w:rFonts w:ascii="Calibri" w:hAnsi="Calibri" w:cs="Calibri"/>
          <w:color w:val="2F5496"/>
          <w:lang w:val="en-US"/>
        </w:rPr>
      </w:pPr>
    </w:p>
    <w:p w14:paraId="749021F7" w14:textId="77777777" w:rsidR="00D3676F" w:rsidRDefault="00D3676F" w:rsidP="008D2563">
      <w:pPr>
        <w:pStyle w:val="Heading1"/>
        <w:spacing w:line="240" w:lineRule="auto"/>
        <w:jc w:val="both"/>
        <w:rPr>
          <w:rFonts w:ascii="Calibri" w:hAnsi="Calibri" w:cs="Calibri"/>
          <w:color w:val="2F5496"/>
          <w:lang w:val="en-US"/>
        </w:rPr>
      </w:pPr>
    </w:p>
    <w:p w14:paraId="736A88A8" w14:textId="77777777" w:rsidR="00D3676F" w:rsidRDefault="00D3676F" w:rsidP="008D2563">
      <w:pPr>
        <w:pStyle w:val="Heading1"/>
        <w:spacing w:line="240" w:lineRule="auto"/>
        <w:jc w:val="both"/>
        <w:rPr>
          <w:rFonts w:ascii="Calibri" w:hAnsi="Calibri" w:cs="Calibri"/>
          <w:color w:val="2F5496"/>
          <w:lang w:val="en-US"/>
        </w:rPr>
      </w:pPr>
    </w:p>
    <w:p w14:paraId="5D3F2CAE" w14:textId="77777777" w:rsidR="00D3676F" w:rsidRDefault="00D3676F" w:rsidP="008D2563">
      <w:pPr>
        <w:pStyle w:val="Heading1"/>
        <w:spacing w:line="240" w:lineRule="auto"/>
        <w:jc w:val="both"/>
        <w:rPr>
          <w:rFonts w:ascii="Calibri" w:hAnsi="Calibri" w:cs="Calibri"/>
          <w:color w:val="2F5496"/>
          <w:lang w:val="en-US"/>
        </w:rPr>
      </w:pPr>
    </w:p>
    <w:p w14:paraId="7144DD8D" w14:textId="77777777" w:rsidR="00D3676F" w:rsidRDefault="00D3676F" w:rsidP="008D2563">
      <w:pPr>
        <w:pStyle w:val="Heading1"/>
        <w:spacing w:line="240" w:lineRule="auto"/>
        <w:jc w:val="both"/>
        <w:rPr>
          <w:rFonts w:ascii="Calibri" w:hAnsi="Calibri" w:cs="Calibri"/>
          <w:color w:val="2F5496"/>
          <w:lang w:val="en-US"/>
        </w:rPr>
      </w:pPr>
    </w:p>
    <w:p w14:paraId="2E2E2598" w14:textId="77777777" w:rsidR="00D3676F" w:rsidRDefault="00D3676F" w:rsidP="008D2563">
      <w:pPr>
        <w:pStyle w:val="Heading1"/>
        <w:spacing w:line="240" w:lineRule="auto"/>
        <w:jc w:val="both"/>
        <w:rPr>
          <w:rFonts w:ascii="Calibri" w:hAnsi="Calibri" w:cs="Calibri"/>
          <w:color w:val="2F5496"/>
          <w:lang w:val="en-US"/>
        </w:rPr>
      </w:pPr>
    </w:p>
    <w:p w14:paraId="2CA9BB32" w14:textId="77777777" w:rsidR="00D3676F" w:rsidRDefault="00D3676F" w:rsidP="008D2563">
      <w:pPr>
        <w:pStyle w:val="Heading1"/>
        <w:spacing w:line="240" w:lineRule="auto"/>
        <w:jc w:val="both"/>
        <w:rPr>
          <w:rFonts w:ascii="Calibri" w:hAnsi="Calibri" w:cs="Calibri"/>
          <w:color w:val="2F5496"/>
          <w:lang w:val="en-US"/>
        </w:rPr>
      </w:pPr>
    </w:p>
    <w:p w14:paraId="59B19B9B" w14:textId="77777777" w:rsidR="00D3676F" w:rsidRDefault="00D3676F" w:rsidP="008D2563">
      <w:pPr>
        <w:pStyle w:val="Heading1"/>
        <w:spacing w:line="240" w:lineRule="auto"/>
        <w:jc w:val="both"/>
        <w:rPr>
          <w:rFonts w:ascii="Calibri" w:hAnsi="Calibri" w:cs="Calibri"/>
          <w:color w:val="2F5496"/>
          <w:lang w:val="en-US"/>
        </w:rPr>
      </w:pPr>
    </w:p>
    <w:p w14:paraId="0551E019" w14:textId="77777777" w:rsidR="00D3676F" w:rsidRDefault="00D3676F" w:rsidP="008D2563">
      <w:pPr>
        <w:pStyle w:val="Heading1"/>
        <w:spacing w:line="240" w:lineRule="auto"/>
        <w:jc w:val="both"/>
        <w:rPr>
          <w:rFonts w:ascii="Calibri" w:hAnsi="Calibri" w:cs="Calibri"/>
          <w:color w:val="2F5496"/>
          <w:lang w:val="en-US"/>
        </w:rPr>
      </w:pPr>
    </w:p>
    <w:p w14:paraId="5615D5D6" w14:textId="77777777" w:rsidR="00D3676F" w:rsidRDefault="00D3676F" w:rsidP="008D2563">
      <w:pPr>
        <w:pStyle w:val="Heading1"/>
        <w:spacing w:line="240" w:lineRule="auto"/>
        <w:jc w:val="both"/>
        <w:rPr>
          <w:rFonts w:ascii="Calibri" w:hAnsi="Calibri" w:cs="Calibri"/>
          <w:color w:val="2F5496"/>
          <w:lang w:val="en-US"/>
        </w:rPr>
      </w:pPr>
    </w:p>
    <w:p w14:paraId="580FD56E" w14:textId="6C86F4AC" w:rsidR="002E4AA9" w:rsidRDefault="002E4AA9" w:rsidP="002E4AA9">
      <w:pPr>
        <w:rPr>
          <w:sz w:val="10"/>
          <w:szCs w:val="10"/>
          <w:lang w:val="en-US"/>
        </w:rPr>
      </w:pPr>
    </w:p>
    <w:p w14:paraId="10656692" w14:textId="77777777" w:rsidR="00D3676F" w:rsidRPr="002E4AA9" w:rsidRDefault="00D3676F" w:rsidP="002E4AA9">
      <w:pPr>
        <w:rPr>
          <w:sz w:val="10"/>
          <w:szCs w:val="10"/>
          <w:lang w:val="en-US"/>
        </w:rPr>
      </w:pPr>
    </w:p>
    <w:p w14:paraId="6D688113" w14:textId="77777777" w:rsidR="00D3676F" w:rsidRDefault="00D3676F" w:rsidP="002E4AA9">
      <w:pPr>
        <w:autoSpaceDE w:val="0"/>
        <w:autoSpaceDN w:val="0"/>
        <w:adjustRightInd w:val="0"/>
        <w:spacing w:after="0" w:line="240" w:lineRule="auto"/>
        <w:jc w:val="both"/>
        <w:rPr>
          <w:rFonts w:eastAsia="StobiSerifRegular-Identity-H" w:cs="Calibri"/>
          <w:lang w:val="en-US"/>
        </w:rPr>
      </w:pPr>
    </w:p>
    <w:p w14:paraId="127EF32B" w14:textId="77777777" w:rsidR="00D3676F" w:rsidRDefault="00D3676F" w:rsidP="002E4AA9">
      <w:pPr>
        <w:autoSpaceDE w:val="0"/>
        <w:autoSpaceDN w:val="0"/>
        <w:adjustRightInd w:val="0"/>
        <w:spacing w:after="0" w:line="240" w:lineRule="auto"/>
        <w:jc w:val="both"/>
        <w:rPr>
          <w:rFonts w:eastAsia="StobiSerifRegular-Identity-H" w:cs="Calibri"/>
          <w:lang w:val="en-US"/>
        </w:rPr>
      </w:pPr>
    </w:p>
    <w:p w14:paraId="361A26F2" w14:textId="77777777" w:rsidR="00D3676F" w:rsidRPr="00D3676F" w:rsidRDefault="00D3676F" w:rsidP="00D3676F">
      <w:pPr>
        <w:keepNext/>
        <w:spacing w:before="240" w:after="60" w:line="240" w:lineRule="auto"/>
        <w:jc w:val="both"/>
        <w:outlineLvl w:val="0"/>
        <w:rPr>
          <w:rFonts w:eastAsia="Times New Roman" w:cs="Calibri"/>
          <w:b/>
          <w:bCs/>
          <w:color w:val="2F5496"/>
          <w:kern w:val="32"/>
          <w:sz w:val="32"/>
          <w:szCs w:val="32"/>
          <w:lang w:val="en-US"/>
        </w:rPr>
      </w:pPr>
      <w:bookmarkStart w:id="55" w:name="_Toc160611827"/>
      <w:r w:rsidRPr="00D3676F">
        <w:rPr>
          <w:rFonts w:eastAsia="Times New Roman" w:cs="Calibri"/>
          <w:b/>
          <w:bCs/>
          <w:color w:val="2F5496"/>
          <w:kern w:val="32"/>
          <w:sz w:val="32"/>
          <w:szCs w:val="32"/>
          <w:lang w:val="en-US"/>
        </w:rPr>
        <w:t>PILLAR VI - Public Internal Financial Control</w:t>
      </w:r>
      <w:bookmarkEnd w:id="55"/>
    </w:p>
    <w:p w14:paraId="56AA94D4" w14:textId="77777777" w:rsidR="00D3676F" w:rsidRDefault="00D3676F" w:rsidP="002E4AA9">
      <w:pPr>
        <w:autoSpaceDE w:val="0"/>
        <w:autoSpaceDN w:val="0"/>
        <w:adjustRightInd w:val="0"/>
        <w:spacing w:after="0" w:line="240" w:lineRule="auto"/>
        <w:jc w:val="both"/>
        <w:rPr>
          <w:rFonts w:eastAsia="StobiSerifRegular-Identity-H" w:cs="Calibri"/>
          <w:lang w:val="en-US"/>
        </w:rPr>
      </w:pPr>
    </w:p>
    <w:p w14:paraId="6A76E7D8" w14:textId="2B4379F6" w:rsidR="008739B8" w:rsidRPr="00163B4D" w:rsidRDefault="008739B8" w:rsidP="002E4AA9">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 xml:space="preserve">Public internal financial control as a whole is an integral element of national public financial management. It is a comprehensive concept that applies to the entire public sector, especially central </w:t>
      </w:r>
      <w:r w:rsidR="00163B4D" w:rsidRPr="00163B4D">
        <w:rPr>
          <w:rFonts w:eastAsia="StobiSerifRegular-Identity-H" w:cs="Calibri"/>
          <w:lang w:val="en-US"/>
        </w:rPr>
        <w:t>government</w:t>
      </w:r>
      <w:r w:rsidRPr="00163B4D">
        <w:rPr>
          <w:rFonts w:eastAsia="StobiSerifRegular-Identity-H" w:cs="Calibri"/>
          <w:lang w:val="en-US"/>
        </w:rPr>
        <w:t xml:space="preserve"> revenues and expenditures, including foreign funds.</w:t>
      </w:r>
    </w:p>
    <w:p w14:paraId="6EA9415A" w14:textId="77777777" w:rsidR="008739B8" w:rsidRPr="00163B4D" w:rsidRDefault="008739B8" w:rsidP="002E4AA9">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Public internal financial control covers financial management and control, internal audit and</w:t>
      </w:r>
    </w:p>
    <w:p w14:paraId="6E3D0B82" w14:textId="77777777" w:rsidR="008739B8" w:rsidRPr="00163B4D" w:rsidRDefault="008739B8" w:rsidP="002E4AA9">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lastRenderedPageBreak/>
        <w:t xml:space="preserve">their harmonization, in our country it is established in accordance with the international standards for internal control and internal audit. </w:t>
      </w:r>
    </w:p>
    <w:p w14:paraId="6C6B4DE8" w14:textId="77777777" w:rsidR="00164DE2" w:rsidRPr="00163B4D" w:rsidRDefault="00164DE2" w:rsidP="00164DE2">
      <w:pPr>
        <w:autoSpaceDE w:val="0"/>
        <w:autoSpaceDN w:val="0"/>
        <w:adjustRightInd w:val="0"/>
        <w:spacing w:after="0" w:line="240" w:lineRule="auto"/>
        <w:jc w:val="both"/>
        <w:rPr>
          <w:rFonts w:eastAsia="StobiSerifRegular-Identity-H" w:cs="Calibri"/>
          <w:lang w:val="en-US"/>
        </w:rPr>
      </w:pPr>
    </w:p>
    <w:p w14:paraId="2BC031F8" w14:textId="77777777" w:rsidR="008739B8" w:rsidRPr="00163B4D" w:rsidRDefault="008739B8" w:rsidP="008739B8">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The Minister of Finance is responsible for coordinating the development, the establishment, implementation and maintenance of the system of public internal financial control, and on its behalf the Central Harmonization Unit in the Ministry of Finance.</w:t>
      </w:r>
    </w:p>
    <w:p w14:paraId="0749C16D" w14:textId="77777777" w:rsidR="008739B8" w:rsidRPr="00163B4D" w:rsidRDefault="008739B8" w:rsidP="008739B8">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Coordination is done through:</w:t>
      </w:r>
    </w:p>
    <w:p w14:paraId="338E38C5" w14:textId="77777777" w:rsidR="008739B8" w:rsidRPr="00163B4D" w:rsidRDefault="008739B8" w:rsidP="008739B8">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 harmonization and supervision of financial management and control,</w:t>
      </w:r>
    </w:p>
    <w:p w14:paraId="7224A84E" w14:textId="77777777" w:rsidR="008739B8" w:rsidRPr="00163B4D" w:rsidRDefault="008739B8" w:rsidP="008739B8">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 harmonization and supervision of the internal audit and</w:t>
      </w:r>
    </w:p>
    <w:p w14:paraId="0359AC84" w14:textId="77777777" w:rsidR="008739B8" w:rsidRPr="00163B4D" w:rsidRDefault="008739B8" w:rsidP="008739B8">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 preparation and adoption of by-laws, manuals and guidelines.</w:t>
      </w:r>
    </w:p>
    <w:p w14:paraId="679B58C8" w14:textId="77777777" w:rsidR="00164DE2" w:rsidRPr="00163B4D" w:rsidRDefault="00164DE2" w:rsidP="00164DE2">
      <w:pPr>
        <w:autoSpaceDE w:val="0"/>
        <w:autoSpaceDN w:val="0"/>
        <w:adjustRightInd w:val="0"/>
        <w:spacing w:after="0" w:line="240" w:lineRule="auto"/>
        <w:jc w:val="both"/>
        <w:rPr>
          <w:rFonts w:eastAsia="StobiSerifRegular-Identity-H" w:cs="Calibri"/>
          <w:lang w:val="en-US"/>
        </w:rPr>
      </w:pPr>
    </w:p>
    <w:p w14:paraId="0603B93A" w14:textId="50E8DC85" w:rsidR="00164DE2" w:rsidRPr="00163B4D" w:rsidRDefault="008739B8" w:rsidP="00164DE2">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Under this Program document, effectiveness of the public internal financial control system will be strengthened by implementing measures and activities under the following three priorities:</w:t>
      </w:r>
    </w:p>
    <w:p w14:paraId="1060CB29" w14:textId="77777777" w:rsidR="005C0E14" w:rsidRPr="00163B4D" w:rsidRDefault="005C0E14" w:rsidP="00164DE2">
      <w:pPr>
        <w:autoSpaceDE w:val="0"/>
        <w:autoSpaceDN w:val="0"/>
        <w:adjustRightInd w:val="0"/>
        <w:spacing w:after="0" w:line="240" w:lineRule="auto"/>
        <w:jc w:val="both"/>
        <w:rPr>
          <w:rFonts w:eastAsia="StobiSerifRegular-Identity-H" w:cs="Calibri"/>
          <w:lang w:val="en-US"/>
        </w:rPr>
      </w:pPr>
    </w:p>
    <w:p w14:paraId="57E59367" w14:textId="6D4AD8E9" w:rsidR="00164DE2" w:rsidRPr="00163B4D" w:rsidRDefault="00164DE2" w:rsidP="005C0E14">
      <w:pPr>
        <w:pStyle w:val="ListParagraph"/>
        <w:numPr>
          <w:ilvl w:val="0"/>
          <w:numId w:val="116"/>
        </w:numPr>
        <w:autoSpaceDE w:val="0"/>
        <w:autoSpaceDN w:val="0"/>
        <w:adjustRightInd w:val="0"/>
        <w:spacing w:after="0" w:line="240" w:lineRule="auto"/>
        <w:rPr>
          <w:rFonts w:eastAsia="StobiSerifRegular-Identity-H" w:cs="Calibri"/>
          <w:b/>
          <w:lang w:val="en-US"/>
        </w:rPr>
      </w:pPr>
      <w:r w:rsidRPr="00163B4D">
        <w:rPr>
          <w:rFonts w:cs="Calibri"/>
          <w:b/>
          <w:color w:val="2C2825"/>
          <w:shd w:val="clear" w:color="auto" w:fill="FFFFFF"/>
          <w:lang w:val="en-US"/>
        </w:rPr>
        <w:t xml:space="preserve">Priority 1: </w:t>
      </w:r>
      <w:r w:rsidRPr="00163B4D">
        <w:rPr>
          <w:rFonts w:eastAsia="StobiSerifRegular-Identity-H" w:cs="Calibri"/>
          <w:b/>
          <w:lang w:val="en-US"/>
        </w:rPr>
        <w:t>Financial</w:t>
      </w:r>
      <w:r w:rsidR="008739B8" w:rsidRPr="00163B4D">
        <w:rPr>
          <w:rFonts w:eastAsia="StobiSerifRegular-Identity-H" w:cs="Calibri"/>
          <w:b/>
          <w:lang w:val="en-US"/>
        </w:rPr>
        <w:t xml:space="preserve"> </w:t>
      </w:r>
      <w:r w:rsidRPr="00163B4D">
        <w:rPr>
          <w:rFonts w:eastAsia="StobiSerifRegular-Identity-H" w:cs="Calibri"/>
          <w:b/>
          <w:lang w:val="en-US"/>
        </w:rPr>
        <w:t>management</w:t>
      </w:r>
      <w:r w:rsidR="008739B8" w:rsidRPr="00163B4D">
        <w:rPr>
          <w:rFonts w:eastAsia="StobiSerifRegular-Identity-H" w:cs="Calibri"/>
          <w:b/>
          <w:lang w:val="en-US"/>
        </w:rPr>
        <w:t xml:space="preserve"> </w:t>
      </w:r>
      <w:r w:rsidRPr="00163B4D">
        <w:rPr>
          <w:rFonts w:eastAsia="StobiSerifRegular-Identity-H" w:cs="Calibri"/>
          <w:b/>
          <w:lang w:val="en-US"/>
        </w:rPr>
        <w:t>and</w:t>
      </w:r>
      <w:r w:rsidR="008739B8" w:rsidRPr="00163B4D">
        <w:rPr>
          <w:rFonts w:eastAsia="StobiSerifRegular-Identity-H" w:cs="Calibri"/>
          <w:b/>
          <w:lang w:val="en-US"/>
        </w:rPr>
        <w:t xml:space="preserve"> </w:t>
      </w:r>
      <w:r w:rsidRPr="00163B4D">
        <w:rPr>
          <w:rFonts w:eastAsia="StobiSerifRegular-Identity-H" w:cs="Calibri"/>
          <w:b/>
          <w:lang w:val="en-US"/>
        </w:rPr>
        <w:t>control</w:t>
      </w:r>
    </w:p>
    <w:p w14:paraId="1D54AC23" w14:textId="45DA931F" w:rsidR="00164DE2" w:rsidRPr="00163B4D" w:rsidRDefault="00164DE2" w:rsidP="005C0E14">
      <w:pPr>
        <w:pStyle w:val="ListParagraph"/>
        <w:numPr>
          <w:ilvl w:val="0"/>
          <w:numId w:val="116"/>
        </w:numPr>
        <w:autoSpaceDE w:val="0"/>
        <w:autoSpaceDN w:val="0"/>
        <w:adjustRightInd w:val="0"/>
        <w:spacing w:after="0" w:line="240" w:lineRule="auto"/>
        <w:rPr>
          <w:rFonts w:eastAsia="StobiSerifRegular-Identity-H" w:cs="Calibri"/>
          <w:b/>
          <w:lang w:val="en-US"/>
        </w:rPr>
      </w:pPr>
      <w:r w:rsidRPr="00163B4D">
        <w:rPr>
          <w:rFonts w:cs="Calibri"/>
          <w:b/>
          <w:color w:val="2C2825"/>
          <w:shd w:val="clear" w:color="auto" w:fill="FFFFFF"/>
          <w:lang w:val="en-US"/>
        </w:rPr>
        <w:t xml:space="preserve">Priority 2: </w:t>
      </w:r>
      <w:r w:rsidRPr="00163B4D">
        <w:rPr>
          <w:rFonts w:eastAsia="StobiSerifRegular-Identity-H" w:cs="Calibri"/>
          <w:b/>
          <w:lang w:val="en-US"/>
        </w:rPr>
        <w:t>Internal</w:t>
      </w:r>
      <w:r w:rsidR="008739B8" w:rsidRPr="00163B4D">
        <w:rPr>
          <w:rFonts w:eastAsia="StobiSerifRegular-Identity-H" w:cs="Calibri"/>
          <w:b/>
          <w:lang w:val="en-US"/>
        </w:rPr>
        <w:t xml:space="preserve"> </w:t>
      </w:r>
      <w:r w:rsidRPr="00163B4D">
        <w:rPr>
          <w:rFonts w:eastAsia="StobiSerifRegular-Identity-H" w:cs="Calibri"/>
          <w:b/>
          <w:lang w:val="en-US"/>
        </w:rPr>
        <w:t>audit</w:t>
      </w:r>
    </w:p>
    <w:p w14:paraId="545C8CC3" w14:textId="77777777" w:rsidR="00164DE2" w:rsidRPr="00163B4D" w:rsidRDefault="00164DE2" w:rsidP="00164DE2">
      <w:pPr>
        <w:autoSpaceDE w:val="0"/>
        <w:autoSpaceDN w:val="0"/>
        <w:adjustRightInd w:val="0"/>
        <w:spacing w:after="0" w:line="240" w:lineRule="auto"/>
        <w:jc w:val="both"/>
        <w:rPr>
          <w:rFonts w:eastAsia="StobiSerifRegular-Identity-H" w:cs="Calibri"/>
          <w:lang w:val="en-US"/>
        </w:rPr>
      </w:pPr>
    </w:p>
    <w:p w14:paraId="4433890E" w14:textId="727BCB8D" w:rsidR="008E06E4" w:rsidRDefault="008E06E4" w:rsidP="008E06E4">
      <w:pPr>
        <w:autoSpaceDE w:val="0"/>
        <w:autoSpaceDN w:val="0"/>
        <w:adjustRightInd w:val="0"/>
        <w:spacing w:after="0" w:line="240" w:lineRule="auto"/>
        <w:jc w:val="both"/>
        <w:rPr>
          <w:rFonts w:eastAsia="StobiSerifRegular-Identity-H" w:cs="Calibri"/>
          <w:b/>
          <w:lang w:val="en-US"/>
        </w:rPr>
      </w:pPr>
      <w:r w:rsidRPr="00163B4D">
        <w:rPr>
          <w:rFonts w:cs="Calibri"/>
          <w:b/>
          <w:color w:val="2C2825"/>
          <w:shd w:val="clear" w:color="auto" w:fill="FFFFFF"/>
          <w:lang w:val="en-US"/>
        </w:rPr>
        <w:t xml:space="preserve">Priority 1: </w:t>
      </w:r>
      <w:r w:rsidRPr="00163B4D">
        <w:rPr>
          <w:rFonts w:eastAsia="StobiSerifRegular-Identity-H" w:cs="Calibri"/>
          <w:b/>
          <w:lang w:val="en-US"/>
        </w:rPr>
        <w:t>Financial management and control</w:t>
      </w:r>
    </w:p>
    <w:p w14:paraId="123CE453" w14:textId="77777777" w:rsidR="002E4AA9" w:rsidRPr="002E4AA9" w:rsidRDefault="002E4AA9" w:rsidP="008E06E4">
      <w:pPr>
        <w:autoSpaceDE w:val="0"/>
        <w:autoSpaceDN w:val="0"/>
        <w:adjustRightInd w:val="0"/>
        <w:spacing w:after="0" w:line="240" w:lineRule="auto"/>
        <w:jc w:val="both"/>
        <w:rPr>
          <w:rFonts w:eastAsia="StobiSerifRegular-Identity-H" w:cs="Calibri"/>
          <w:b/>
          <w:sz w:val="10"/>
          <w:szCs w:val="10"/>
          <w:lang w:val="en-US"/>
        </w:rPr>
      </w:pPr>
    </w:p>
    <w:p w14:paraId="47A679B9" w14:textId="4AFA940B" w:rsidR="00664F8E" w:rsidRPr="00163B4D" w:rsidRDefault="008E06E4" w:rsidP="00664F8E">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T</w:t>
      </w:r>
      <w:r w:rsidR="00664F8E" w:rsidRPr="00163B4D">
        <w:rPr>
          <w:rFonts w:eastAsia="StobiSerifRegular-Identity-H" w:cs="Calibri"/>
          <w:lang w:val="en-US"/>
        </w:rPr>
        <w:t>he goal is to increase the effectiveness of internal controls in financial management, thus ensuring implementation of the key financial processes in accordance with internal acts based on risk management.</w:t>
      </w:r>
    </w:p>
    <w:p w14:paraId="589883EC" w14:textId="77777777" w:rsidR="00664F8E" w:rsidRPr="00163B4D" w:rsidRDefault="00664F8E" w:rsidP="00664F8E">
      <w:pPr>
        <w:autoSpaceDE w:val="0"/>
        <w:autoSpaceDN w:val="0"/>
        <w:adjustRightInd w:val="0"/>
        <w:spacing w:after="0" w:line="240" w:lineRule="auto"/>
        <w:jc w:val="both"/>
        <w:rPr>
          <w:rFonts w:eastAsia="StobiSerifRegular-Identity-H" w:cs="Calibri"/>
          <w:lang w:val="en-US"/>
        </w:rPr>
      </w:pPr>
    </w:p>
    <w:p w14:paraId="368CB394" w14:textId="4510009F" w:rsidR="008E06E4" w:rsidRDefault="008E06E4" w:rsidP="008E06E4">
      <w:pPr>
        <w:autoSpaceDE w:val="0"/>
        <w:autoSpaceDN w:val="0"/>
        <w:adjustRightInd w:val="0"/>
        <w:spacing w:after="0" w:line="240" w:lineRule="auto"/>
        <w:jc w:val="both"/>
        <w:rPr>
          <w:rFonts w:eastAsia="StobiSerifRegular-Identity-H" w:cs="Calibri"/>
          <w:b/>
          <w:lang w:val="en-US"/>
        </w:rPr>
      </w:pPr>
      <w:r w:rsidRPr="00163B4D">
        <w:rPr>
          <w:rFonts w:cs="Calibri"/>
          <w:b/>
          <w:color w:val="2C2825"/>
          <w:shd w:val="clear" w:color="auto" w:fill="FFFFFF"/>
          <w:lang w:val="en-US"/>
        </w:rPr>
        <w:t xml:space="preserve">Priority 2: </w:t>
      </w:r>
      <w:r w:rsidRPr="00163B4D">
        <w:rPr>
          <w:rFonts w:eastAsia="StobiSerifRegular-Identity-H" w:cs="Calibri"/>
          <w:b/>
          <w:lang w:val="en-US"/>
        </w:rPr>
        <w:t>Internal audit</w:t>
      </w:r>
    </w:p>
    <w:p w14:paraId="11F49DA5" w14:textId="77777777" w:rsidR="002E4AA9" w:rsidRPr="002E4AA9" w:rsidRDefault="002E4AA9" w:rsidP="008E06E4">
      <w:pPr>
        <w:autoSpaceDE w:val="0"/>
        <w:autoSpaceDN w:val="0"/>
        <w:adjustRightInd w:val="0"/>
        <w:spacing w:after="0" w:line="240" w:lineRule="auto"/>
        <w:jc w:val="both"/>
        <w:rPr>
          <w:rFonts w:eastAsia="StobiSerifRegular-Identity-H" w:cs="Calibri"/>
          <w:b/>
          <w:sz w:val="10"/>
          <w:szCs w:val="10"/>
          <w:lang w:val="en-US"/>
        </w:rPr>
      </w:pPr>
    </w:p>
    <w:p w14:paraId="6E09ED24" w14:textId="214B4C27" w:rsidR="00664F8E" w:rsidRPr="00163B4D" w:rsidRDefault="008E06E4" w:rsidP="00664F8E">
      <w:pPr>
        <w:autoSpaceDE w:val="0"/>
        <w:autoSpaceDN w:val="0"/>
        <w:adjustRightInd w:val="0"/>
        <w:spacing w:after="0" w:line="240" w:lineRule="auto"/>
        <w:jc w:val="both"/>
        <w:rPr>
          <w:rFonts w:eastAsia="StobiSerifRegular-Identity-H" w:cs="Calibri"/>
          <w:lang w:val="en-US"/>
        </w:rPr>
      </w:pPr>
      <w:r w:rsidRPr="00163B4D">
        <w:rPr>
          <w:rFonts w:eastAsia="StobiSerifRegular-Identity-H" w:cs="Calibri"/>
          <w:lang w:val="en-US"/>
        </w:rPr>
        <w:t>T</w:t>
      </w:r>
      <w:r w:rsidR="00664F8E" w:rsidRPr="00163B4D">
        <w:rPr>
          <w:rFonts w:eastAsia="StobiSerifRegular-Identity-H" w:cs="Calibri"/>
          <w:lang w:val="en-US"/>
        </w:rPr>
        <w:t>he goal is to strengthen the effectiveness of internal audit in the public sector, so that the internal audit units, through their assurance and consulting engagements, will contribute to achieving the goals of public sector institutions.</w:t>
      </w:r>
    </w:p>
    <w:p w14:paraId="4087AF3F" w14:textId="77777777" w:rsidR="00A70273" w:rsidRPr="00163B4D" w:rsidRDefault="00A70273" w:rsidP="008739B8">
      <w:pPr>
        <w:autoSpaceDE w:val="0"/>
        <w:autoSpaceDN w:val="0"/>
        <w:adjustRightInd w:val="0"/>
        <w:spacing w:after="0" w:line="240" w:lineRule="auto"/>
        <w:jc w:val="both"/>
        <w:rPr>
          <w:rFonts w:eastAsia="StobiSerifRegular-Identity-H" w:cs="Calibri"/>
          <w:lang w:val="en-US"/>
        </w:rPr>
      </w:pPr>
    </w:p>
    <w:p w14:paraId="3937E302" w14:textId="22B30892" w:rsidR="007733B2" w:rsidRPr="002E4AA9" w:rsidRDefault="007733B2" w:rsidP="00D71473">
      <w:pPr>
        <w:pStyle w:val="Heading1"/>
        <w:rPr>
          <w:rFonts w:ascii="Calibri" w:hAnsi="Calibri" w:cs="Calibri"/>
          <w:color w:val="0070C0"/>
          <w:sz w:val="28"/>
          <w:szCs w:val="28"/>
          <w:lang w:val="en-US"/>
        </w:rPr>
      </w:pPr>
      <w:bookmarkStart w:id="56" w:name="_Toc160611828"/>
      <w:r w:rsidRPr="002E4AA9">
        <w:rPr>
          <w:rFonts w:ascii="Calibri" w:eastAsia="MS PGothic" w:hAnsi="Calibri" w:cs="Calibri"/>
          <w:color w:val="0070C0"/>
          <w:sz w:val="28"/>
          <w:szCs w:val="28"/>
          <w:lang w:val="en-US"/>
        </w:rPr>
        <w:t>Priority 1: Financial Manageme</w:t>
      </w:r>
      <w:r w:rsidR="00F31729" w:rsidRPr="002E4AA9">
        <w:rPr>
          <w:rFonts w:ascii="Calibri" w:eastAsia="MS PGothic" w:hAnsi="Calibri" w:cs="Calibri"/>
          <w:color w:val="0070C0"/>
          <w:sz w:val="28"/>
          <w:szCs w:val="28"/>
          <w:lang w:val="en-US"/>
        </w:rPr>
        <w:t>n</w:t>
      </w:r>
      <w:r w:rsidRPr="002E4AA9">
        <w:rPr>
          <w:rFonts w:ascii="Calibri" w:eastAsia="MS PGothic" w:hAnsi="Calibri" w:cs="Calibri"/>
          <w:color w:val="0070C0"/>
          <w:sz w:val="28"/>
          <w:szCs w:val="28"/>
          <w:lang w:val="en-US"/>
        </w:rPr>
        <w:t>t and Control</w:t>
      </w:r>
      <w:bookmarkEnd w:id="56"/>
    </w:p>
    <w:p w14:paraId="45687262"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52F8E667" w14:textId="77777777" w:rsidR="007733B2" w:rsidRPr="008C761D" w:rsidRDefault="007733B2" w:rsidP="00E84CD0">
      <w:pPr>
        <w:spacing w:before="80" w:after="80" w:line="240" w:lineRule="auto"/>
        <w:jc w:val="both"/>
        <w:rPr>
          <w:rFonts w:eastAsia="MS PGothic" w:cs="Calibri"/>
          <w:lang w:val="en-US" w:eastAsia="zh-CN"/>
        </w:rPr>
      </w:pPr>
      <w:r w:rsidRPr="008C761D">
        <w:rPr>
          <w:rFonts w:eastAsia="Times New Roman" w:cs="Calibri"/>
          <w:color w:val="202124"/>
          <w:lang w:val="en-US"/>
        </w:rPr>
        <w:t xml:space="preserve">Increased effectiveness of internal controls in public sector financial management </w:t>
      </w:r>
    </w:p>
    <w:p w14:paraId="31ABDE3A" w14:textId="77777777" w:rsidR="007733B2" w:rsidRPr="008C761D" w:rsidRDefault="007733B2" w:rsidP="00E84CD0">
      <w:pPr>
        <w:spacing w:before="80" w:after="80" w:line="240" w:lineRule="auto"/>
        <w:jc w:val="both"/>
        <w:rPr>
          <w:rFonts w:eastAsia="MS PGothic" w:cs="Calibri"/>
          <w:lang w:val="en-US" w:eastAsia="zh-CN"/>
        </w:rPr>
      </w:pPr>
    </w:p>
    <w:p w14:paraId="2979249F" w14:textId="77777777" w:rsidR="007733B2" w:rsidRPr="008C761D" w:rsidRDefault="007733B2" w:rsidP="00E84CD0">
      <w:pPr>
        <w:spacing w:before="80" w:after="80" w:line="240" w:lineRule="auto"/>
        <w:jc w:val="both"/>
        <w:rPr>
          <w:rFonts w:eastAsia="MS PGothic" w:cs="Calibri"/>
          <w:lang w:val="en-US" w:eastAsia="zh-CN"/>
        </w:rPr>
      </w:pPr>
      <w:r w:rsidRPr="008C761D">
        <w:rPr>
          <w:rFonts w:eastAsia="MS PGothic" w:cs="Calibri"/>
          <w:lang w:val="en-US" w:eastAsia="zh-CN"/>
        </w:rPr>
        <w:t>The objective of this priority will be achieved through the following measures and activities:</w:t>
      </w:r>
    </w:p>
    <w:tbl>
      <w:tblPr>
        <w:tblW w:w="8140" w:type="dxa"/>
        <w:tblInd w:w="548" w:type="dxa"/>
        <w:tblLook w:val="01E0" w:firstRow="1" w:lastRow="1" w:firstColumn="1" w:lastColumn="1" w:noHBand="0" w:noVBand="0"/>
      </w:tblPr>
      <w:tblGrid>
        <w:gridCol w:w="1629"/>
        <w:gridCol w:w="6511"/>
      </w:tblGrid>
      <w:tr w:rsidR="007733B2" w:rsidRPr="008C761D" w14:paraId="72E8D6E5" w14:textId="77777777" w:rsidTr="008E06E4">
        <w:tc>
          <w:tcPr>
            <w:tcW w:w="1629" w:type="dxa"/>
            <w:shd w:val="clear" w:color="auto" w:fill="auto"/>
          </w:tcPr>
          <w:p w14:paraId="277EC187" w14:textId="77777777" w:rsidR="007733B2" w:rsidRPr="008C761D" w:rsidRDefault="007733B2" w:rsidP="00E84CD0">
            <w:pPr>
              <w:spacing w:before="120" w:line="240" w:lineRule="auto"/>
              <w:jc w:val="both"/>
              <w:rPr>
                <w:rFonts w:cs="Calibri"/>
                <w:b/>
                <w:lang w:val="en-US"/>
              </w:rPr>
            </w:pPr>
            <w:r w:rsidRPr="008C761D">
              <w:rPr>
                <w:rFonts w:cs="Calibri"/>
                <w:b/>
                <w:lang w:val="en-US"/>
              </w:rPr>
              <w:t>Measure 1:</w:t>
            </w:r>
          </w:p>
        </w:tc>
        <w:tc>
          <w:tcPr>
            <w:tcW w:w="6511" w:type="dxa"/>
            <w:shd w:val="clear" w:color="auto" w:fill="auto"/>
          </w:tcPr>
          <w:p w14:paraId="44D322BF" w14:textId="23EEA4FA" w:rsidR="007733B2" w:rsidRPr="008C761D" w:rsidRDefault="00482674" w:rsidP="00E84CD0">
            <w:pPr>
              <w:spacing w:before="120" w:line="240" w:lineRule="auto"/>
              <w:jc w:val="both"/>
              <w:rPr>
                <w:rFonts w:cs="Calibri"/>
                <w:b/>
                <w:lang w:val="en-US"/>
              </w:rPr>
            </w:pPr>
            <w:r w:rsidRPr="008C761D">
              <w:rPr>
                <w:rFonts w:cs="Calibri"/>
                <w:b/>
                <w:bCs/>
                <w:iCs/>
                <w:lang w:val="en-US"/>
              </w:rPr>
              <w:t>Creating the conditions for improvement of a system of financial management based on risk management</w:t>
            </w:r>
          </w:p>
        </w:tc>
      </w:tr>
      <w:tr w:rsidR="007733B2" w:rsidRPr="008C761D" w14:paraId="6C2AE589" w14:textId="77777777" w:rsidTr="008E06E4">
        <w:tc>
          <w:tcPr>
            <w:tcW w:w="1629" w:type="dxa"/>
            <w:shd w:val="clear" w:color="auto" w:fill="auto"/>
          </w:tcPr>
          <w:p w14:paraId="69890367" w14:textId="77777777" w:rsidR="007733B2" w:rsidRPr="008C761D" w:rsidRDefault="007733B2" w:rsidP="00E84CD0">
            <w:pPr>
              <w:spacing w:before="120" w:line="240" w:lineRule="auto"/>
              <w:jc w:val="both"/>
              <w:rPr>
                <w:rFonts w:cs="Calibri"/>
                <w:lang w:val="en-US"/>
              </w:rPr>
            </w:pPr>
            <w:r w:rsidRPr="008C761D">
              <w:rPr>
                <w:rFonts w:cs="Calibri"/>
                <w:lang w:val="en-US"/>
              </w:rPr>
              <w:t>Activity 1:</w:t>
            </w:r>
          </w:p>
        </w:tc>
        <w:tc>
          <w:tcPr>
            <w:tcW w:w="6511" w:type="dxa"/>
            <w:shd w:val="clear" w:color="auto" w:fill="auto"/>
          </w:tcPr>
          <w:p w14:paraId="48547C21" w14:textId="0D60D05E" w:rsidR="007733B2" w:rsidRPr="008C761D" w:rsidRDefault="00114EDE" w:rsidP="00E84CD0">
            <w:pPr>
              <w:spacing w:before="120" w:line="240" w:lineRule="auto"/>
              <w:jc w:val="both"/>
              <w:rPr>
                <w:rFonts w:cs="Calibri"/>
                <w:lang w:val="en-US"/>
              </w:rPr>
            </w:pPr>
            <w:r w:rsidRPr="008C761D">
              <w:rPr>
                <w:rFonts w:eastAsia="Times New Roman" w:cs="Calibri"/>
                <w:color w:val="202124"/>
                <w:lang w:val="en-US"/>
              </w:rPr>
              <w:t xml:space="preserve">Strengthen the capacity of the CHU to </w:t>
            </w:r>
            <w:r w:rsidRPr="008C761D">
              <w:rPr>
                <w:lang w:val="en-US"/>
              </w:rPr>
              <w:t>monitor</w:t>
            </w:r>
            <w:r w:rsidR="005C0E14">
              <w:rPr>
                <w:lang w:val="en-US"/>
              </w:rPr>
              <w:t xml:space="preserve"> </w:t>
            </w:r>
            <w:r w:rsidRPr="008C761D">
              <w:rPr>
                <w:lang w:val="en-US"/>
              </w:rPr>
              <w:t>and</w:t>
            </w:r>
            <w:r w:rsidR="005C0E14">
              <w:rPr>
                <w:lang w:val="en-US"/>
              </w:rPr>
              <w:t xml:space="preserve"> </w:t>
            </w:r>
            <w:r w:rsidRPr="008C761D">
              <w:rPr>
                <w:lang w:val="en-US"/>
              </w:rPr>
              <w:t>report</w:t>
            </w:r>
            <w:r w:rsidR="005C0E14">
              <w:rPr>
                <w:lang w:val="en-US"/>
              </w:rPr>
              <w:t xml:space="preserve"> </w:t>
            </w:r>
            <w:r w:rsidRPr="008C761D">
              <w:rPr>
                <w:lang w:val="en-US"/>
              </w:rPr>
              <w:t>on</w:t>
            </w:r>
            <w:r w:rsidR="005C0E14">
              <w:rPr>
                <w:lang w:val="en-US"/>
              </w:rPr>
              <w:t xml:space="preserve"> </w:t>
            </w:r>
            <w:r w:rsidRPr="008C761D">
              <w:rPr>
                <w:lang w:val="en-US"/>
              </w:rPr>
              <w:t>the</w:t>
            </w:r>
            <w:r w:rsidR="005C0E14">
              <w:rPr>
                <w:lang w:val="en-US"/>
              </w:rPr>
              <w:t xml:space="preserve"> </w:t>
            </w:r>
            <w:r w:rsidRPr="008C761D">
              <w:rPr>
                <w:lang w:val="en-US"/>
              </w:rPr>
              <w:t>functioning</w:t>
            </w:r>
            <w:r w:rsidR="005C0E14">
              <w:rPr>
                <w:lang w:val="en-US"/>
              </w:rPr>
              <w:t xml:space="preserve"> </w:t>
            </w:r>
            <w:r w:rsidRPr="008C761D">
              <w:rPr>
                <w:lang w:val="en-US"/>
              </w:rPr>
              <w:t>of</w:t>
            </w:r>
            <w:r w:rsidR="005C0E14">
              <w:rPr>
                <w:lang w:val="en-US"/>
              </w:rPr>
              <w:t xml:space="preserve"> </w:t>
            </w:r>
            <w:r w:rsidRPr="008C761D">
              <w:rPr>
                <w:lang w:val="en-US"/>
              </w:rPr>
              <w:t>the</w:t>
            </w:r>
            <w:r w:rsidR="005C0E14">
              <w:rPr>
                <w:lang w:val="en-US"/>
              </w:rPr>
              <w:t xml:space="preserve"> overall </w:t>
            </w:r>
            <w:r w:rsidRPr="008C761D">
              <w:rPr>
                <w:lang w:val="en-US"/>
              </w:rPr>
              <w:t>internal</w:t>
            </w:r>
            <w:r w:rsidR="005C0E14">
              <w:rPr>
                <w:lang w:val="en-US"/>
              </w:rPr>
              <w:t xml:space="preserve"> </w:t>
            </w:r>
            <w:r w:rsidRPr="008C761D">
              <w:rPr>
                <w:lang w:val="en-US"/>
              </w:rPr>
              <w:t>control</w:t>
            </w:r>
            <w:r w:rsidR="005C0E14">
              <w:rPr>
                <w:lang w:val="en-US"/>
              </w:rPr>
              <w:t xml:space="preserve"> </w:t>
            </w:r>
            <w:r w:rsidRPr="008C761D">
              <w:rPr>
                <w:lang w:val="en-US"/>
              </w:rPr>
              <w:t>system</w:t>
            </w:r>
            <w:r w:rsidR="007733B2" w:rsidRPr="008C761D">
              <w:rPr>
                <w:rFonts w:eastAsia="Times New Roman" w:cs="Calibri"/>
                <w:color w:val="202124"/>
                <w:lang w:val="en-US"/>
              </w:rPr>
              <w:t>;</w:t>
            </w:r>
          </w:p>
        </w:tc>
      </w:tr>
      <w:tr w:rsidR="007733B2" w:rsidRPr="008C761D" w14:paraId="1AED47B8" w14:textId="77777777" w:rsidTr="008E06E4">
        <w:tc>
          <w:tcPr>
            <w:tcW w:w="1629" w:type="dxa"/>
            <w:shd w:val="clear" w:color="auto" w:fill="auto"/>
          </w:tcPr>
          <w:p w14:paraId="44B4BA05" w14:textId="77777777" w:rsidR="007733B2" w:rsidRPr="008C761D" w:rsidRDefault="007733B2" w:rsidP="00E84CD0">
            <w:pPr>
              <w:spacing w:before="120" w:line="240" w:lineRule="auto"/>
              <w:jc w:val="both"/>
              <w:rPr>
                <w:rFonts w:cs="Calibri"/>
                <w:lang w:val="en-US"/>
              </w:rPr>
            </w:pPr>
            <w:r w:rsidRPr="008C761D">
              <w:rPr>
                <w:rFonts w:cs="Calibri"/>
                <w:lang w:val="en-US"/>
              </w:rPr>
              <w:t>Activity 2:</w:t>
            </w:r>
          </w:p>
        </w:tc>
        <w:tc>
          <w:tcPr>
            <w:tcW w:w="6511" w:type="dxa"/>
            <w:shd w:val="clear" w:color="auto" w:fill="auto"/>
          </w:tcPr>
          <w:p w14:paraId="64513864" w14:textId="2B71C9D4" w:rsidR="007733B2" w:rsidRPr="008C761D" w:rsidRDefault="00482674" w:rsidP="00E84CD0">
            <w:pPr>
              <w:spacing w:before="120" w:line="240" w:lineRule="auto"/>
              <w:jc w:val="both"/>
              <w:rPr>
                <w:rFonts w:cs="Calibri"/>
                <w:lang w:val="en-US"/>
              </w:rPr>
            </w:pPr>
            <w:r w:rsidRPr="008C761D">
              <w:rPr>
                <w:rFonts w:eastAsia="Times New Roman" w:cs="Calibri"/>
                <w:color w:val="202124"/>
                <w:lang w:val="en-US"/>
              </w:rPr>
              <w:t>Preparation of the methodology for specific Financial Management and Control issues;</w:t>
            </w:r>
          </w:p>
        </w:tc>
      </w:tr>
      <w:tr w:rsidR="007733B2" w:rsidRPr="008C761D" w14:paraId="1EF88F96" w14:textId="77777777" w:rsidTr="008E06E4">
        <w:trPr>
          <w:trHeight w:val="532"/>
        </w:trPr>
        <w:tc>
          <w:tcPr>
            <w:tcW w:w="1629" w:type="dxa"/>
            <w:shd w:val="clear" w:color="auto" w:fill="auto"/>
          </w:tcPr>
          <w:p w14:paraId="1BE52D32" w14:textId="77777777" w:rsidR="007733B2" w:rsidRPr="008C761D" w:rsidRDefault="007733B2" w:rsidP="00E84CD0">
            <w:pPr>
              <w:spacing w:before="120" w:line="240" w:lineRule="auto"/>
              <w:jc w:val="both"/>
              <w:rPr>
                <w:rFonts w:cs="Calibri"/>
                <w:lang w:val="en-US"/>
              </w:rPr>
            </w:pPr>
            <w:r w:rsidRPr="008C761D">
              <w:rPr>
                <w:rFonts w:cs="Calibri"/>
                <w:lang w:val="en-US"/>
              </w:rPr>
              <w:t>Activity 3:</w:t>
            </w:r>
          </w:p>
        </w:tc>
        <w:tc>
          <w:tcPr>
            <w:tcW w:w="6511" w:type="dxa"/>
            <w:shd w:val="clear" w:color="auto" w:fill="auto"/>
          </w:tcPr>
          <w:p w14:paraId="4203985A" w14:textId="2DE3821F" w:rsidR="007733B2" w:rsidRPr="008C761D" w:rsidRDefault="00482674" w:rsidP="00E84CD0">
            <w:pPr>
              <w:spacing w:before="120" w:line="240" w:lineRule="auto"/>
              <w:jc w:val="both"/>
              <w:rPr>
                <w:rFonts w:cs="Calibri"/>
                <w:lang w:val="en-US"/>
              </w:rPr>
            </w:pPr>
            <w:r w:rsidRPr="008C761D">
              <w:rPr>
                <w:rFonts w:eastAsia="Times New Roman" w:cs="Calibri"/>
                <w:color w:val="202124"/>
                <w:lang w:val="en-US"/>
              </w:rPr>
              <w:t>Establishment of a network of institutions’ financial affairs units in coordination with the CHU, for exchange of experiences, best practices and raising awareness at public sector entities about responsibilities for the quality of financial management and control.</w:t>
            </w:r>
          </w:p>
        </w:tc>
      </w:tr>
    </w:tbl>
    <w:p w14:paraId="350592B6"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Outcome</w:t>
      </w:r>
    </w:p>
    <w:p w14:paraId="31DA2E87" w14:textId="77777777" w:rsidR="00482674" w:rsidRPr="008C761D" w:rsidRDefault="00482674" w:rsidP="00482674">
      <w:pPr>
        <w:keepNext/>
        <w:keepLines/>
        <w:spacing w:before="160" w:after="60" w:line="240" w:lineRule="auto"/>
        <w:jc w:val="both"/>
        <w:outlineLvl w:val="3"/>
        <w:rPr>
          <w:rFonts w:eastAsia="Times New Roman" w:cs="Calibri"/>
          <w:color w:val="202124"/>
          <w:lang w:val="en-US"/>
        </w:rPr>
      </w:pPr>
      <w:r w:rsidRPr="008C761D">
        <w:rPr>
          <w:rFonts w:eastAsia="Times New Roman" w:cs="Calibri"/>
          <w:color w:val="202124"/>
          <w:lang w:val="en-US"/>
        </w:rPr>
        <w:t>Prepared procedures for key financial management elements</w:t>
      </w:r>
    </w:p>
    <w:p w14:paraId="68AB9A91"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1A5591C2" w14:textId="77777777" w:rsidR="00E17781" w:rsidRPr="008C761D" w:rsidRDefault="00E17781" w:rsidP="003A338C">
      <w:pPr>
        <w:numPr>
          <w:ilvl w:val="0"/>
          <w:numId w:val="86"/>
        </w:numPr>
        <w:spacing w:before="120" w:after="120" w:line="240" w:lineRule="auto"/>
        <w:jc w:val="both"/>
        <w:rPr>
          <w:rFonts w:eastAsia="Times New Roman" w:cs="Calibri"/>
          <w:color w:val="202124"/>
          <w:lang w:val="en-US"/>
        </w:rPr>
      </w:pPr>
      <w:r w:rsidRPr="008C761D">
        <w:rPr>
          <w:rFonts w:eastAsia="Times New Roman" w:cs="Calibri"/>
          <w:color w:val="202124"/>
          <w:lang w:val="en-US"/>
        </w:rPr>
        <w:t>Percentage of institutions that have applied the guidelines for risk management in their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2872FA98" w14:textId="77777777" w:rsidTr="002B77A4">
        <w:trPr>
          <w:trHeight w:val="395"/>
        </w:trPr>
        <w:tc>
          <w:tcPr>
            <w:tcW w:w="4608" w:type="dxa"/>
            <w:shd w:val="clear" w:color="auto" w:fill="E8E8E8"/>
          </w:tcPr>
          <w:p w14:paraId="5FC57439"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508AA1D"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6C35024D" w14:textId="77777777" w:rsidTr="002B77A4">
        <w:trPr>
          <w:trHeight w:val="278"/>
        </w:trPr>
        <w:tc>
          <w:tcPr>
            <w:tcW w:w="4608" w:type="dxa"/>
            <w:shd w:val="clear" w:color="auto" w:fill="E8E8E8"/>
          </w:tcPr>
          <w:p w14:paraId="5E046DD0"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50</w:t>
            </w:r>
          </w:p>
        </w:tc>
        <w:tc>
          <w:tcPr>
            <w:tcW w:w="4608" w:type="dxa"/>
            <w:shd w:val="clear" w:color="auto" w:fill="E8E8E8"/>
          </w:tcPr>
          <w:p w14:paraId="6AF5A12C"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70</w:t>
            </w:r>
          </w:p>
        </w:tc>
      </w:tr>
    </w:tbl>
    <w:p w14:paraId="48A644C6" w14:textId="77777777" w:rsidR="00460ED3" w:rsidRPr="008C761D" w:rsidRDefault="00460ED3" w:rsidP="00460ED3">
      <w:pPr>
        <w:spacing w:before="120" w:after="120" w:line="240" w:lineRule="auto"/>
        <w:ind w:left="720"/>
        <w:jc w:val="both"/>
        <w:rPr>
          <w:rFonts w:eastAsia="Times New Roman" w:cs="Calibri"/>
          <w:color w:val="202124"/>
          <w:lang w:val="en-US"/>
        </w:rPr>
      </w:pPr>
    </w:p>
    <w:p w14:paraId="2DA94310" w14:textId="77777777" w:rsidR="00E17781" w:rsidRPr="008C761D" w:rsidRDefault="00E17781" w:rsidP="003A338C">
      <w:pPr>
        <w:numPr>
          <w:ilvl w:val="0"/>
          <w:numId w:val="86"/>
        </w:numPr>
        <w:spacing w:before="120" w:after="120" w:line="240" w:lineRule="auto"/>
        <w:jc w:val="both"/>
        <w:rPr>
          <w:rFonts w:eastAsia="Times New Roman" w:cs="Calibri"/>
          <w:color w:val="202124"/>
          <w:lang w:val="en-US"/>
        </w:rPr>
      </w:pPr>
      <w:r w:rsidRPr="008C761D">
        <w:rPr>
          <w:rFonts w:eastAsia="Times New Roman" w:cs="Calibri"/>
          <w:color w:val="202124"/>
          <w:lang w:val="en-US"/>
        </w:rPr>
        <w:t>Percentage of institutions that have delegated authorities and responsibilities for financial management and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61F31D97" w14:textId="77777777" w:rsidTr="002B77A4">
        <w:trPr>
          <w:trHeight w:val="395"/>
        </w:trPr>
        <w:tc>
          <w:tcPr>
            <w:tcW w:w="4608" w:type="dxa"/>
            <w:shd w:val="clear" w:color="auto" w:fill="E8E8E8"/>
          </w:tcPr>
          <w:p w14:paraId="517E7C33"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7C6FA3FD"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3DAFCFA3" w14:textId="77777777" w:rsidTr="002B77A4">
        <w:trPr>
          <w:trHeight w:val="278"/>
        </w:trPr>
        <w:tc>
          <w:tcPr>
            <w:tcW w:w="4608" w:type="dxa"/>
            <w:shd w:val="clear" w:color="auto" w:fill="E8E8E8"/>
          </w:tcPr>
          <w:p w14:paraId="46C30D49"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40</w:t>
            </w:r>
          </w:p>
        </w:tc>
        <w:tc>
          <w:tcPr>
            <w:tcW w:w="4608" w:type="dxa"/>
            <w:shd w:val="clear" w:color="auto" w:fill="E8E8E8"/>
          </w:tcPr>
          <w:p w14:paraId="43E184C8"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80</w:t>
            </w:r>
          </w:p>
        </w:tc>
      </w:tr>
    </w:tbl>
    <w:p w14:paraId="1CBD7809" w14:textId="77777777" w:rsidR="00460ED3" w:rsidRPr="008C761D" w:rsidRDefault="00460ED3" w:rsidP="00460ED3">
      <w:pPr>
        <w:spacing w:before="120" w:after="120" w:line="240" w:lineRule="auto"/>
        <w:ind w:left="720"/>
        <w:jc w:val="both"/>
        <w:rPr>
          <w:rFonts w:eastAsia="Times New Roman" w:cs="Calibri"/>
          <w:color w:val="202124"/>
          <w:lang w:val="en-US"/>
        </w:rPr>
      </w:pPr>
    </w:p>
    <w:p w14:paraId="2BB2A040" w14:textId="77777777" w:rsidR="00E17781" w:rsidRPr="008C761D" w:rsidRDefault="00E17781" w:rsidP="003A338C">
      <w:pPr>
        <w:numPr>
          <w:ilvl w:val="0"/>
          <w:numId w:val="86"/>
        </w:numPr>
        <w:spacing w:before="120" w:after="120" w:line="240" w:lineRule="auto"/>
        <w:jc w:val="both"/>
        <w:rPr>
          <w:rFonts w:eastAsia="MS PGothic" w:cs="Calibri"/>
          <w:lang w:val="en-US" w:eastAsia="zh-CN"/>
        </w:rPr>
      </w:pPr>
      <w:r w:rsidRPr="008C761D">
        <w:rPr>
          <w:rFonts w:eastAsia="Times New Roman" w:cs="Calibri"/>
          <w:color w:val="202124"/>
          <w:lang w:val="en-US"/>
        </w:rPr>
        <w:t>Percentage of implemented recommendations given during quality checks.</w:t>
      </w:r>
    </w:p>
    <w:p w14:paraId="7EBA8CD1" w14:textId="77777777" w:rsidR="00460ED3" w:rsidRPr="008C761D" w:rsidRDefault="00460ED3" w:rsidP="00460ED3">
      <w:pPr>
        <w:spacing w:before="120" w:after="120" w:line="240" w:lineRule="auto"/>
        <w:ind w:left="720"/>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7F260D5C" w14:textId="77777777" w:rsidTr="002B77A4">
        <w:trPr>
          <w:trHeight w:val="395"/>
        </w:trPr>
        <w:tc>
          <w:tcPr>
            <w:tcW w:w="4608" w:type="dxa"/>
            <w:shd w:val="clear" w:color="auto" w:fill="E8E8E8"/>
          </w:tcPr>
          <w:p w14:paraId="55B91866"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8E9DF3E"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75E5D200" w14:textId="77777777" w:rsidTr="002B77A4">
        <w:trPr>
          <w:trHeight w:val="278"/>
        </w:trPr>
        <w:tc>
          <w:tcPr>
            <w:tcW w:w="4608" w:type="dxa"/>
            <w:shd w:val="clear" w:color="auto" w:fill="E8E8E8"/>
          </w:tcPr>
          <w:p w14:paraId="71DB7955"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0</w:t>
            </w:r>
          </w:p>
        </w:tc>
        <w:tc>
          <w:tcPr>
            <w:tcW w:w="4608" w:type="dxa"/>
            <w:shd w:val="clear" w:color="auto" w:fill="E8E8E8"/>
          </w:tcPr>
          <w:p w14:paraId="0BCA95E9"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80</w:t>
            </w:r>
          </w:p>
        </w:tc>
      </w:tr>
    </w:tbl>
    <w:p w14:paraId="0CB63959" w14:textId="77777777" w:rsidR="00460ED3" w:rsidRPr="008C761D" w:rsidRDefault="00460ED3" w:rsidP="00460ED3">
      <w:pPr>
        <w:spacing w:before="120" w:after="120" w:line="240" w:lineRule="auto"/>
        <w:ind w:left="720"/>
        <w:jc w:val="both"/>
        <w:rPr>
          <w:rFonts w:eastAsia="MS PGothic" w:cs="Calibri"/>
          <w:lang w:val="en-US" w:eastAsia="zh-CN"/>
        </w:rPr>
      </w:pPr>
    </w:p>
    <w:p w14:paraId="5AABE20B" w14:textId="254F77AA" w:rsidR="007733B2" w:rsidRPr="008C761D" w:rsidRDefault="00A70273" w:rsidP="00E84CD0">
      <w:pPr>
        <w:spacing w:before="120" w:after="0" w:line="240" w:lineRule="auto"/>
        <w:jc w:val="both"/>
        <w:rPr>
          <w:rFonts w:cs="Calibri"/>
          <w:b/>
          <w:bCs/>
          <w:iCs/>
          <w:color w:val="CD0000"/>
          <w:lang w:val="en-US"/>
        </w:rPr>
      </w:pPr>
      <w:r w:rsidRPr="008C761D">
        <w:rPr>
          <w:rFonts w:cs="Calibri"/>
          <w:b/>
          <w:bCs/>
          <w:iCs/>
          <w:color w:val="0070C0"/>
          <w:sz w:val="24"/>
          <w:szCs w:val="24"/>
          <w:lang w:val="en-US"/>
        </w:rPr>
        <w:t>Measure 1: Creating the conditions for improvement of a system of financial management based on risk management</w:t>
      </w:r>
      <w:r w:rsidR="007733B2" w:rsidRPr="008C761D">
        <w:rPr>
          <w:rFonts w:cs="Calibri"/>
          <w:b/>
          <w:bCs/>
          <w:iCs/>
          <w:color w:val="FF0000"/>
          <w:lang w:val="en-US"/>
        </w:rPr>
        <w:tab/>
      </w:r>
    </w:p>
    <w:p w14:paraId="0F0BA4C7"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4CBD2588" w14:textId="77777777" w:rsidR="007733B2" w:rsidRPr="008C761D" w:rsidRDefault="007733B2" w:rsidP="00E84CD0">
      <w:pPr>
        <w:spacing w:after="0" w:line="240" w:lineRule="auto"/>
        <w:jc w:val="both"/>
        <w:rPr>
          <w:rFonts w:cs="Calibri"/>
          <w:color w:val="FF0000"/>
          <w:lang w:val="en-US"/>
        </w:rPr>
      </w:pPr>
    </w:p>
    <w:p w14:paraId="0F55B7F0" w14:textId="77777777" w:rsidR="007733B2" w:rsidRPr="008C761D" w:rsidRDefault="007733B2" w:rsidP="00E84CD0">
      <w:pPr>
        <w:spacing w:after="0" w:line="240" w:lineRule="auto"/>
        <w:jc w:val="both"/>
        <w:rPr>
          <w:rFonts w:cs="Calibri"/>
          <w:lang w:val="en-US"/>
        </w:rPr>
      </w:pPr>
      <w:r w:rsidRPr="008C761D">
        <w:rPr>
          <w:rFonts w:eastAsia="Times New Roman" w:cs="Calibri"/>
          <w:color w:val="202124"/>
          <w:lang w:val="en-US"/>
        </w:rPr>
        <w:t>Establishment of a comprehensive system of controls based on risk management, which guarantees the reasonable use of public funds by applying the principle of managerial accountability.</w:t>
      </w:r>
    </w:p>
    <w:p w14:paraId="667E2A62"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Reference to findings from external assessments: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974"/>
      </w:tblGrid>
      <w:tr w:rsidR="007733B2" w:rsidRPr="008C761D" w14:paraId="06C228EC" w14:textId="77777777" w:rsidTr="008E06E4">
        <w:tc>
          <w:tcPr>
            <w:tcW w:w="1240" w:type="dxa"/>
            <w:shd w:val="clear" w:color="auto" w:fill="DDDDDD"/>
          </w:tcPr>
          <w:p w14:paraId="112CD449"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t>PEFA</w:t>
            </w:r>
          </w:p>
          <w:p w14:paraId="7FD8B075" w14:textId="77777777" w:rsidR="007733B2" w:rsidRPr="008C761D" w:rsidRDefault="007733B2" w:rsidP="00E84CD0">
            <w:pPr>
              <w:spacing w:before="80" w:after="0" w:line="240" w:lineRule="auto"/>
              <w:jc w:val="both"/>
              <w:rPr>
                <w:rFonts w:cs="Calibri"/>
                <w:sz w:val="20"/>
                <w:szCs w:val="20"/>
                <w:lang w:val="en-US"/>
              </w:rPr>
            </w:pPr>
            <w:r w:rsidRPr="002E4AA9">
              <w:rPr>
                <w:rFonts w:cs="Calibri"/>
                <w:b/>
                <w:sz w:val="20"/>
                <w:szCs w:val="20"/>
                <w:lang w:val="en-US"/>
              </w:rPr>
              <w:t>2021:</w:t>
            </w:r>
          </w:p>
        </w:tc>
        <w:tc>
          <w:tcPr>
            <w:tcW w:w="7974" w:type="dxa"/>
            <w:shd w:val="clear" w:color="auto" w:fill="DDDDDD"/>
          </w:tcPr>
          <w:p w14:paraId="36F684B2" w14:textId="77777777"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Continuous efforts are made to promote sound financial management and control through internal rules and procedures, with a view to strengthen decentralized management and control in spending units.</w:t>
            </w:r>
            <w:r w:rsidRPr="008C761D">
              <w:rPr>
                <w:rFonts w:eastAsia="Times New Roman" w:cs="Calibri"/>
                <w:sz w:val="20"/>
                <w:szCs w:val="20"/>
                <w:lang w:val="en-US"/>
              </w:rPr>
              <w:t> (PI-25).</w:t>
            </w:r>
          </w:p>
          <w:p w14:paraId="2A4D74CF" w14:textId="77777777" w:rsidR="007733B2" w:rsidRPr="008C761D" w:rsidRDefault="007733B2" w:rsidP="00E84CD0">
            <w:pPr>
              <w:spacing w:after="0" w:line="240" w:lineRule="auto"/>
              <w:jc w:val="both"/>
              <w:rPr>
                <w:rFonts w:eastAsia="Times New Roman" w:cs="Calibri"/>
                <w:sz w:val="20"/>
                <w:szCs w:val="20"/>
                <w:lang w:val="en-US" w:eastAsia="mk-MK"/>
              </w:rPr>
            </w:pPr>
            <w:r w:rsidRPr="008C761D">
              <w:rPr>
                <w:rFonts w:cs="Calibri"/>
                <w:sz w:val="20"/>
                <w:szCs w:val="20"/>
                <w:lang w:val="en-US"/>
              </w:rPr>
              <w:t xml:space="preserve">Operationalization of the managerial accountability concept through delegation of </w:t>
            </w:r>
            <w:r w:rsidRPr="008C761D">
              <w:rPr>
                <w:rFonts w:cs="Calibri"/>
                <w:i/>
                <w:sz w:val="20"/>
                <w:szCs w:val="20"/>
                <w:lang w:val="en-US"/>
              </w:rPr>
              <w:t>budgets for programs under their purview will require</w:t>
            </w:r>
            <w:r w:rsidRPr="008C761D">
              <w:rPr>
                <w:rFonts w:cs="Calibri"/>
                <w:sz w:val="20"/>
                <w:szCs w:val="20"/>
                <w:lang w:val="en-US"/>
              </w:rPr>
              <w:t xml:space="preserve"> stronger independent assurance on adequacy and effectiveness of the prescribed controls</w:t>
            </w:r>
            <w:r w:rsidRPr="008C761D">
              <w:rPr>
                <w:rFonts w:eastAsia="Times New Roman" w:cs="Calibri"/>
                <w:color w:val="202124"/>
                <w:sz w:val="20"/>
                <w:szCs w:val="20"/>
                <w:lang w:val="en-US"/>
              </w:rPr>
              <w:t>.</w:t>
            </w:r>
          </w:p>
          <w:p w14:paraId="7887025C" w14:textId="14DF4399" w:rsidR="007733B2" w:rsidRPr="008C761D" w:rsidRDefault="007733B2" w:rsidP="00E84CD0">
            <w:pPr>
              <w:spacing w:after="0" w:line="240" w:lineRule="auto"/>
              <w:jc w:val="both"/>
              <w:rPr>
                <w:rFonts w:eastAsia="Times New Roman" w:cs="Calibri"/>
                <w:sz w:val="20"/>
                <w:szCs w:val="20"/>
                <w:lang w:val="en-US"/>
              </w:rPr>
            </w:pPr>
            <w:r w:rsidRPr="008C761D">
              <w:rPr>
                <w:rFonts w:cs="Calibri"/>
                <w:sz w:val="20"/>
                <w:szCs w:val="20"/>
                <w:lang w:val="en-US"/>
              </w:rPr>
              <w:t>The initiative is complementary to internal and external audit work on strengthening internal controls and could compensate for some of coverage gaps in those functions due to resource constraints</w:t>
            </w:r>
            <w:r w:rsidRPr="008C761D">
              <w:rPr>
                <w:rFonts w:eastAsia="Times New Roman" w:cs="Calibri"/>
                <w:color w:val="202124"/>
                <w:sz w:val="20"/>
                <w:szCs w:val="20"/>
                <w:lang w:val="en-US"/>
              </w:rPr>
              <w:t>.</w:t>
            </w:r>
            <w:r w:rsidR="00163B4D">
              <w:rPr>
                <w:rFonts w:eastAsia="Times New Roman" w:cs="Calibri"/>
                <w:color w:val="202124"/>
                <w:sz w:val="20"/>
                <w:szCs w:val="20"/>
                <w:lang w:val="en-US"/>
              </w:rPr>
              <w:t xml:space="preserve"> </w:t>
            </w:r>
            <w:r w:rsidRPr="008C761D">
              <w:rPr>
                <w:rFonts w:cs="Calibri"/>
                <w:sz w:val="20"/>
                <w:szCs w:val="20"/>
                <w:lang w:val="en-US"/>
              </w:rPr>
              <w:t>Links with the ongoing initiatives to strengthen integrity and quality management in public institutions can be better leveraged</w:t>
            </w:r>
            <w:r w:rsidRPr="008C761D">
              <w:rPr>
                <w:rFonts w:eastAsia="Times New Roman" w:cs="Calibri"/>
                <w:color w:val="202124"/>
                <w:sz w:val="20"/>
                <w:szCs w:val="20"/>
                <w:lang w:val="en-US"/>
              </w:rPr>
              <w:t>.</w:t>
            </w:r>
          </w:p>
          <w:p w14:paraId="6E728977" w14:textId="77777777" w:rsidR="007733B2" w:rsidRPr="008C761D" w:rsidRDefault="007733B2" w:rsidP="00E84CD0">
            <w:pPr>
              <w:spacing w:line="240" w:lineRule="auto"/>
              <w:jc w:val="both"/>
              <w:rPr>
                <w:rFonts w:eastAsia="Times New Roman" w:cs="Calibri"/>
                <w:b/>
                <w:sz w:val="20"/>
                <w:szCs w:val="20"/>
                <w:lang w:val="en-US"/>
              </w:rPr>
            </w:pPr>
            <w:r w:rsidRPr="008C761D">
              <w:rPr>
                <w:rFonts w:eastAsia="Times New Roman" w:cs="Calibri"/>
                <w:b/>
                <w:sz w:val="20"/>
                <w:szCs w:val="20"/>
                <w:lang w:val="en-US"/>
              </w:rPr>
              <w:t>Proposed Action</w:t>
            </w:r>
          </w:p>
          <w:p w14:paraId="3B1098C9" w14:textId="52E56807"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 xml:space="preserve">Enhance the capacity of MoF CHU to carry out quality reviews of risk management and internal control </w:t>
            </w:r>
            <w:r w:rsidR="00163B4D" w:rsidRPr="008C761D">
              <w:rPr>
                <w:rFonts w:cs="Calibri"/>
                <w:sz w:val="20"/>
                <w:szCs w:val="20"/>
                <w:lang w:val="en-US"/>
              </w:rPr>
              <w:t>effectiveness</w:t>
            </w:r>
            <w:r w:rsidR="00163B4D" w:rsidRPr="008C761D">
              <w:rPr>
                <w:rFonts w:eastAsia="Times New Roman" w:cs="Calibri"/>
                <w:color w:val="202124"/>
                <w:sz w:val="20"/>
                <w:szCs w:val="20"/>
                <w:lang w:val="en-US"/>
              </w:rPr>
              <w:t>.</w:t>
            </w:r>
            <w:r w:rsidR="00163B4D" w:rsidRPr="008C761D">
              <w:rPr>
                <w:rFonts w:cs="Calibri"/>
                <w:sz w:val="20"/>
                <w:szCs w:val="20"/>
                <w:lang w:val="en-US"/>
              </w:rPr>
              <w:t xml:space="preserve"> Guidelines</w:t>
            </w:r>
            <w:r w:rsidRPr="008C761D">
              <w:rPr>
                <w:rFonts w:cs="Calibri"/>
                <w:sz w:val="20"/>
                <w:szCs w:val="20"/>
                <w:lang w:val="en-US"/>
              </w:rPr>
              <w:t xml:space="preserve"> envisaged under the new PIFC Law should allow the MoF to assess effectiveness of internal control procedures in spending units</w:t>
            </w:r>
            <w:r w:rsidRPr="008C761D">
              <w:rPr>
                <w:rFonts w:eastAsia="Times New Roman" w:cs="Calibri"/>
                <w:color w:val="202124"/>
                <w:sz w:val="20"/>
                <w:szCs w:val="20"/>
                <w:lang w:val="en-US"/>
              </w:rPr>
              <w:t>.</w:t>
            </w:r>
          </w:p>
        </w:tc>
      </w:tr>
      <w:tr w:rsidR="007733B2" w:rsidRPr="008C761D" w14:paraId="316D8932" w14:textId="77777777" w:rsidTr="008E06E4">
        <w:tc>
          <w:tcPr>
            <w:tcW w:w="1240" w:type="dxa"/>
            <w:shd w:val="clear" w:color="auto" w:fill="DDDDDD"/>
          </w:tcPr>
          <w:p w14:paraId="61A8874D"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lastRenderedPageBreak/>
              <w:t>SIGMA</w:t>
            </w:r>
          </w:p>
          <w:p w14:paraId="195B7D33" w14:textId="77777777" w:rsidR="007733B2" w:rsidRPr="008C761D" w:rsidRDefault="007733B2" w:rsidP="00E84CD0">
            <w:pPr>
              <w:spacing w:before="80" w:after="0" w:line="240" w:lineRule="auto"/>
              <w:jc w:val="both"/>
              <w:rPr>
                <w:rFonts w:cs="Calibri"/>
                <w:sz w:val="20"/>
                <w:szCs w:val="20"/>
                <w:lang w:val="en-US"/>
              </w:rPr>
            </w:pPr>
            <w:r w:rsidRPr="002E4AA9">
              <w:rPr>
                <w:rFonts w:cs="Calibri"/>
                <w:b/>
                <w:sz w:val="20"/>
                <w:szCs w:val="20"/>
                <w:lang w:val="en-US"/>
              </w:rPr>
              <w:t>2021:</w:t>
            </w:r>
          </w:p>
        </w:tc>
        <w:tc>
          <w:tcPr>
            <w:tcW w:w="7974" w:type="dxa"/>
            <w:shd w:val="clear" w:color="auto" w:fill="DDDDDD"/>
          </w:tcPr>
          <w:p w14:paraId="65DEDA67" w14:textId="77777777" w:rsidR="007733B2" w:rsidRPr="008C761D" w:rsidRDefault="007733B2" w:rsidP="00E84CD0">
            <w:pPr>
              <w:spacing w:line="240" w:lineRule="auto"/>
              <w:jc w:val="both"/>
              <w:rPr>
                <w:rFonts w:eastAsia="Times New Roman" w:cs="Calibri"/>
                <w:color w:val="000000"/>
                <w:sz w:val="20"/>
                <w:szCs w:val="20"/>
                <w:lang w:val="en-US"/>
              </w:rPr>
            </w:pPr>
            <w:r w:rsidRPr="008C761D">
              <w:rPr>
                <w:rFonts w:eastAsia="Times New Roman" w:cs="Calibri"/>
                <w:color w:val="202124"/>
                <w:sz w:val="20"/>
                <w:szCs w:val="20"/>
                <w:lang w:val="en-US"/>
              </w:rPr>
              <w:t>Although the operational framework of internal control is generally in place, the implementation of good practices for IC and managerial accountability suffers from the scattered accountability structure in the overall organization of the public administration.</w:t>
            </w:r>
            <w:r w:rsidRPr="008C761D">
              <w:rPr>
                <w:rFonts w:eastAsia="Times New Roman" w:cs="Calibri"/>
                <w:color w:val="000000"/>
                <w:sz w:val="20"/>
                <w:szCs w:val="20"/>
                <w:lang w:val="en-US"/>
              </w:rPr>
              <w:t> </w:t>
            </w:r>
            <w:r w:rsidRPr="008C761D">
              <w:rPr>
                <w:rFonts w:cs="Calibri"/>
                <w:sz w:val="20"/>
                <w:szCs w:val="20"/>
                <w:lang w:val="en-US"/>
              </w:rPr>
              <w:t xml:space="preserve"> Not all budget organisations follow the legal obligations for putting in place internal procedures for the delegation of tasks, risk management and the definition and monitoring of performance indicators.</w:t>
            </w:r>
            <w:r w:rsidRPr="008C761D">
              <w:rPr>
                <w:rFonts w:eastAsia="Times New Roman" w:cs="Calibri"/>
                <w:color w:val="000000"/>
                <w:sz w:val="20"/>
                <w:szCs w:val="20"/>
                <w:lang w:val="en-US"/>
              </w:rPr>
              <w:t> </w:t>
            </w:r>
            <w:r w:rsidRPr="008C761D">
              <w:rPr>
                <w:rFonts w:cs="Calibri"/>
                <w:sz w:val="20"/>
                <w:szCs w:val="20"/>
                <w:lang w:val="en-US"/>
              </w:rPr>
              <w:t xml:space="preserve"> PIFC-related manuals do not appear to be consistently applied by budget organisations, and the IC requirements are perceived as an administrative burden rather than as useful management tools.</w:t>
            </w:r>
            <w:r w:rsidRPr="008C761D">
              <w:rPr>
                <w:rFonts w:eastAsia="Times New Roman" w:cs="Calibri"/>
                <w:color w:val="000000"/>
                <w:sz w:val="20"/>
                <w:szCs w:val="20"/>
                <w:lang w:val="en-US"/>
              </w:rPr>
              <w:t> </w:t>
            </w:r>
            <w:r w:rsidRPr="008C761D">
              <w:rPr>
                <w:rFonts w:cs="Calibri"/>
                <w:sz w:val="20"/>
                <w:szCs w:val="20"/>
                <w:lang w:val="en-US"/>
              </w:rPr>
              <w:t xml:space="preserve"> The new PIFC Law introducing the concept of parent budget users can potentially streamline accountability, monitoring and reporting lines.</w:t>
            </w:r>
          </w:p>
        </w:tc>
      </w:tr>
      <w:tr w:rsidR="007733B2" w:rsidRPr="008C761D" w14:paraId="1169F838" w14:textId="77777777" w:rsidTr="008E06E4">
        <w:tc>
          <w:tcPr>
            <w:tcW w:w="1240" w:type="dxa"/>
            <w:shd w:val="clear" w:color="auto" w:fill="DDDDDD"/>
          </w:tcPr>
          <w:p w14:paraId="52350C98"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t>EU:</w:t>
            </w:r>
          </w:p>
        </w:tc>
        <w:tc>
          <w:tcPr>
            <w:tcW w:w="7974" w:type="dxa"/>
            <w:shd w:val="clear" w:color="auto" w:fill="DDDDDD"/>
          </w:tcPr>
          <w:p w14:paraId="5830FD5B" w14:textId="7E9E3659" w:rsidR="00E17781" w:rsidRPr="008C761D" w:rsidRDefault="00E17781" w:rsidP="00E17781">
            <w:pPr>
              <w:spacing w:line="240" w:lineRule="auto"/>
              <w:jc w:val="both"/>
              <w:rPr>
                <w:rFonts w:cs="Calibri"/>
                <w:sz w:val="20"/>
                <w:szCs w:val="20"/>
                <w:lang w:val="en-US"/>
              </w:rPr>
            </w:pPr>
            <w:r w:rsidRPr="008C761D">
              <w:rPr>
                <w:rFonts w:cs="Calibri"/>
                <w:sz w:val="20"/>
                <w:szCs w:val="20"/>
                <w:lang w:val="en-US"/>
              </w:rPr>
              <w:t xml:space="preserve">North Macedonia needs to adopt and implement the new Law on Public Internal Financial Control (PIFC) and approve all the bylaws, manuals and operational instructions </w:t>
            </w:r>
            <w:r w:rsidR="00163B4D" w:rsidRPr="008C761D">
              <w:rPr>
                <w:rFonts w:cs="Calibri"/>
                <w:sz w:val="20"/>
                <w:szCs w:val="20"/>
                <w:lang w:val="en-US"/>
              </w:rPr>
              <w:t>accompanying the</w:t>
            </w:r>
            <w:r w:rsidRPr="008C761D">
              <w:rPr>
                <w:rFonts w:cs="Calibri"/>
                <w:sz w:val="20"/>
                <w:szCs w:val="20"/>
                <w:lang w:val="en-US"/>
              </w:rPr>
              <w:t xml:space="preserve"> implementation of the Law. The existing legal framework on internal control is broadly harmonised with international standards. The draft of the new PIFC Law contains improvements for the internal control system. It has been in parliamentary procedure for two years and the calendar for its adoption is not clear. This draft Law defines managerial accountability as the manager’s obligation for the achievement of results in a legal, ethical and regular manner, in line with the principles of economy, efficiency and effectiveness. It foresees that budget users will be accountable to parent budget users and public companies will be accountable to the managerial board and should also report to the parent budget users about its goals in the strategic plan.</w:t>
            </w:r>
          </w:p>
          <w:p w14:paraId="6A74799A" w14:textId="77777777" w:rsidR="007733B2" w:rsidRPr="008C761D" w:rsidRDefault="00E17781" w:rsidP="00E84CD0">
            <w:pPr>
              <w:spacing w:line="240" w:lineRule="auto"/>
              <w:jc w:val="both"/>
              <w:rPr>
                <w:rFonts w:cs="Calibri"/>
                <w:sz w:val="20"/>
                <w:szCs w:val="20"/>
                <w:lang w:val="en-US"/>
              </w:rPr>
            </w:pPr>
            <w:r w:rsidRPr="008C761D">
              <w:rPr>
                <w:rFonts w:cs="Calibri"/>
                <w:sz w:val="20"/>
                <w:szCs w:val="20"/>
                <w:lang w:val="en-US"/>
              </w:rPr>
              <w:t>North Macedonia needs to increase the capacity of the Central Harmonization Unit (CHU). The capacities of CHU to monitor and report on the functioning of the overall internal control system remain to be strengthened. The operational framework of PIFC is established and strategic objectives of the country to improve the overall internal control system are incorporated as Pillar VI of the 2022- 2025 Public Financial Management Reform Programme, including future plans to strengthen the quality control function of the CHU and to increase the capacity of the Internal Audit and Inspection. North Macedonia needs to strengthen managerial accountability and to foster delegation of decision-making authority. This includes addressing the fragmentation of public sector structures by reducing the number of primary budget users and establish systems to reinforce managerial accountability and delegation of tasks in all budget organizations.</w:t>
            </w:r>
          </w:p>
        </w:tc>
      </w:tr>
    </w:tbl>
    <w:p w14:paraId="296425B5"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02074E6D" w14:textId="54485426" w:rsidR="00E17781" w:rsidRPr="002E4AA9" w:rsidRDefault="00E17781" w:rsidP="00E17781">
      <w:pPr>
        <w:shd w:val="clear" w:color="auto" w:fill="FFFFFF"/>
        <w:spacing w:line="240" w:lineRule="auto"/>
        <w:jc w:val="both"/>
        <w:rPr>
          <w:rFonts w:cs="Calibri"/>
          <w:lang w:val="en-US"/>
        </w:rPr>
      </w:pPr>
      <w:r w:rsidRPr="002E4AA9">
        <w:rPr>
          <w:lang w:val="en-US"/>
        </w:rPr>
        <w:t>The</w:t>
      </w:r>
      <w:r w:rsidR="007D6CD2" w:rsidRPr="002E4AA9">
        <w:rPr>
          <w:lang w:val="en-US"/>
        </w:rPr>
        <w:t xml:space="preserve"> </w:t>
      </w:r>
      <w:r w:rsidRPr="002E4AA9">
        <w:rPr>
          <w:lang w:val="en-US"/>
        </w:rPr>
        <w:t>country</w:t>
      </w:r>
      <w:r w:rsidR="007D6CD2" w:rsidRPr="002E4AA9">
        <w:rPr>
          <w:lang w:val="en-US"/>
        </w:rPr>
        <w:t xml:space="preserve"> </w:t>
      </w:r>
      <w:r w:rsidRPr="002E4AA9">
        <w:rPr>
          <w:lang w:val="en-US"/>
        </w:rPr>
        <w:t>is</w:t>
      </w:r>
      <w:r w:rsidR="007D6CD2" w:rsidRPr="002E4AA9">
        <w:rPr>
          <w:lang w:val="en-US"/>
        </w:rPr>
        <w:t xml:space="preserve"> </w:t>
      </w:r>
      <w:r w:rsidRPr="002E4AA9">
        <w:rPr>
          <w:b/>
          <w:bCs/>
          <w:lang w:val="en-US"/>
        </w:rPr>
        <w:t>moderately</w:t>
      </w:r>
      <w:r w:rsidR="007D6CD2" w:rsidRPr="002E4AA9">
        <w:rPr>
          <w:b/>
          <w:bCs/>
          <w:lang w:val="en-US"/>
        </w:rPr>
        <w:t xml:space="preserve"> </w:t>
      </w:r>
      <w:r w:rsidRPr="002E4AA9">
        <w:rPr>
          <w:b/>
          <w:bCs/>
          <w:lang w:val="en-US"/>
        </w:rPr>
        <w:t>prepared</w:t>
      </w:r>
      <w:r w:rsidR="007D6CD2" w:rsidRPr="002E4AA9">
        <w:rPr>
          <w:b/>
          <w:bCs/>
          <w:lang w:val="en-US"/>
        </w:rPr>
        <w:t xml:space="preserve"> </w:t>
      </w:r>
      <w:r w:rsidRPr="002E4AA9">
        <w:rPr>
          <w:lang w:val="en-US"/>
        </w:rPr>
        <w:t>in</w:t>
      </w:r>
      <w:r w:rsidR="007D6CD2" w:rsidRPr="002E4AA9">
        <w:rPr>
          <w:lang w:val="en-US"/>
        </w:rPr>
        <w:t xml:space="preserve"> </w:t>
      </w:r>
      <w:r w:rsidRPr="002E4AA9">
        <w:rPr>
          <w:lang w:val="en-US"/>
        </w:rPr>
        <w:t>the</w:t>
      </w:r>
      <w:r w:rsidR="007D6CD2" w:rsidRPr="002E4AA9">
        <w:rPr>
          <w:lang w:val="en-US"/>
        </w:rPr>
        <w:t xml:space="preserve"> </w:t>
      </w:r>
      <w:r w:rsidRPr="002E4AA9">
        <w:rPr>
          <w:lang w:val="en-US"/>
        </w:rPr>
        <w:t>area</w:t>
      </w:r>
      <w:r w:rsidR="007D6CD2" w:rsidRPr="002E4AA9">
        <w:rPr>
          <w:lang w:val="en-US"/>
        </w:rPr>
        <w:t xml:space="preserve"> </w:t>
      </w:r>
      <w:r w:rsidRPr="002E4AA9">
        <w:rPr>
          <w:lang w:val="en-US"/>
        </w:rPr>
        <w:t>of</w:t>
      </w:r>
      <w:r w:rsidR="007D6CD2" w:rsidRPr="002E4AA9">
        <w:rPr>
          <w:lang w:val="en-US"/>
        </w:rPr>
        <w:t xml:space="preserve"> </w:t>
      </w:r>
      <w:r w:rsidRPr="002E4AA9">
        <w:rPr>
          <w:lang w:val="en-US"/>
        </w:rPr>
        <w:t>financial</w:t>
      </w:r>
      <w:r w:rsidR="007D6CD2" w:rsidRPr="002E4AA9">
        <w:rPr>
          <w:lang w:val="en-US"/>
        </w:rPr>
        <w:t xml:space="preserve"> </w:t>
      </w:r>
      <w:r w:rsidRPr="002E4AA9">
        <w:rPr>
          <w:lang w:val="en-US"/>
        </w:rPr>
        <w:t>control</w:t>
      </w:r>
      <w:r w:rsidRPr="002E4AA9">
        <w:rPr>
          <w:rFonts w:cs="Calibri"/>
          <w:lang w:val="en-US"/>
        </w:rPr>
        <w:t xml:space="preserve">. </w:t>
      </w:r>
      <w:r w:rsidRPr="002E4AA9">
        <w:rPr>
          <w:rFonts w:eastAsia="Times New Roman" w:cs="Calibri"/>
          <w:color w:val="202124"/>
          <w:lang w:val="en-US"/>
        </w:rPr>
        <w:t xml:space="preserve">The legal framework for internal control is broadly harmonised with international standards. Its implementation needs to be further strengthened. In the coming period, it is necessary to adopt and effectively implement the Law on Public Internal Financial Control System and their methodological tools on order to ensure their efficient implementation in coordination with reforms of the new Organic Budget </w:t>
      </w:r>
      <w:r w:rsidR="00163B4D" w:rsidRPr="002E4AA9">
        <w:rPr>
          <w:rFonts w:eastAsia="Times New Roman" w:cs="Calibri"/>
          <w:color w:val="202124"/>
          <w:lang w:val="en-US"/>
        </w:rPr>
        <w:t>Law. The</w:t>
      </w:r>
      <w:r w:rsidRPr="002E4AA9">
        <w:rPr>
          <w:rFonts w:eastAsia="Times New Roman" w:cs="Calibri"/>
          <w:color w:val="202124"/>
          <w:lang w:val="en-US"/>
        </w:rPr>
        <w:t xml:space="preserve"> draft Law on Public Internal Financial Control System defines the new model of managerial accountability according to which the head of the parent budget user is accountable for the development of an efficient and effective system for financial management and control of the body having appointed the respective head, the head of the budget user is accountable to the head of the parent budget user, and the head of the publicly owned enterprise is accountable to the supervisory board. Thereby, the head of the budget user and the head of the publicly owned enterprise adhere to the procedures and guidelines given by the parent budget user.</w:t>
      </w:r>
    </w:p>
    <w:p w14:paraId="6D584B84" w14:textId="77777777" w:rsidR="007733B2" w:rsidRPr="002E4AA9" w:rsidRDefault="007733B2" w:rsidP="00E84CD0">
      <w:pPr>
        <w:shd w:val="clear" w:color="auto" w:fill="FFFFFF"/>
        <w:spacing w:line="240" w:lineRule="auto"/>
        <w:jc w:val="both"/>
        <w:rPr>
          <w:rFonts w:cs="Calibri"/>
          <w:lang w:val="en-US"/>
        </w:rPr>
      </w:pPr>
      <w:r w:rsidRPr="002E4AA9">
        <w:rPr>
          <w:rFonts w:eastAsia="Times New Roman" w:cs="Calibri"/>
          <w:color w:val="202124"/>
          <w:lang w:val="en-US"/>
        </w:rPr>
        <w:t>The Law also defines the manner of delegating powers and responsibilities in the implementation of the key processes for financial management and control, whereby the delegation of powers and responsibilities does not exclude the accountability of the head of the public sector entity. When delegating powers and responsibilities, the head of the entity is obliged to apply the principle of segregation of duties in a manner that will not allow for one official to be responsible for approval of financial obligations, approval of payment and accounting at the same time.</w:t>
      </w:r>
    </w:p>
    <w:p w14:paraId="6F55EF54" w14:textId="77777777" w:rsidR="00E17781" w:rsidRPr="002E4AA9" w:rsidRDefault="00E17781" w:rsidP="00E84CD0">
      <w:pPr>
        <w:keepNext/>
        <w:keepLines/>
        <w:spacing w:before="160" w:after="60" w:line="240" w:lineRule="auto"/>
        <w:jc w:val="both"/>
        <w:outlineLvl w:val="3"/>
        <w:rPr>
          <w:rFonts w:eastAsia="Times New Roman" w:cs="Calibri"/>
          <w:color w:val="202124"/>
          <w:lang w:val="en-US"/>
        </w:rPr>
      </w:pPr>
      <w:r w:rsidRPr="002E4AA9">
        <w:rPr>
          <w:rFonts w:eastAsia="Times New Roman" w:cs="Calibri"/>
          <w:color w:val="202124"/>
          <w:lang w:val="en-US"/>
        </w:rPr>
        <w:lastRenderedPageBreak/>
        <w:t>Despite ongoing work to provide further guidance, the efficient implementation of managerial accountability remains a challenge for budget users at central and local levels. Coherent and consistent application of the manual on managerial accountability is yet to be ensured.</w:t>
      </w:r>
    </w:p>
    <w:p w14:paraId="4ECB5B55" w14:textId="0926C89A" w:rsidR="00E17781" w:rsidRPr="002E4AA9" w:rsidRDefault="007733B2" w:rsidP="00E84CD0">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Activity 1:</w:t>
      </w:r>
      <w:r w:rsidR="009A7962" w:rsidRPr="002E4AA9">
        <w:rPr>
          <w:rFonts w:eastAsia="MS PGothic" w:cs="Calibri"/>
          <w:b/>
          <w:bCs/>
          <w:iCs/>
          <w:color w:val="0070C0"/>
          <w:lang w:val="en-US" w:eastAsia="zh-CN"/>
        </w:rPr>
        <w:t xml:space="preserve"> </w:t>
      </w:r>
      <w:r w:rsidR="00E17781" w:rsidRPr="002E4AA9">
        <w:rPr>
          <w:rFonts w:eastAsia="MS PGothic" w:cs="Calibri"/>
          <w:b/>
          <w:bCs/>
          <w:iCs/>
          <w:color w:val="0070C0"/>
          <w:lang w:val="en-US" w:eastAsia="zh-CN"/>
        </w:rPr>
        <w:t>Strengthen the capacity of the CHU to monitor and report on the functioning of the overall internal control system</w:t>
      </w:r>
    </w:p>
    <w:p w14:paraId="34BE2DFD" w14:textId="77777777" w:rsidR="00A70273" w:rsidRPr="008C761D" w:rsidRDefault="00A70273" w:rsidP="00A70273">
      <w:pPr>
        <w:keepNext/>
        <w:keepLines/>
        <w:spacing w:before="160" w:after="60" w:line="240" w:lineRule="auto"/>
        <w:jc w:val="both"/>
        <w:outlineLvl w:val="3"/>
        <w:rPr>
          <w:rFonts w:cs="Calibri"/>
          <w:lang w:val="en-US"/>
        </w:rPr>
      </w:pPr>
      <w:r w:rsidRPr="008C761D">
        <w:rPr>
          <w:rFonts w:cs="Calibri"/>
          <w:lang w:val="en-US"/>
        </w:rPr>
        <w:t>Capacity of CHU to check the quality of financial management and control will be strengthened by adequate staffing and training.</w:t>
      </w:r>
    </w:p>
    <w:p w14:paraId="04E096E1" w14:textId="6EFBECFE" w:rsidR="008E06E4" w:rsidRPr="008C761D" w:rsidRDefault="00A70273" w:rsidP="008E06E4">
      <w:pPr>
        <w:spacing w:line="240" w:lineRule="auto"/>
        <w:jc w:val="both"/>
        <w:rPr>
          <w:rFonts w:eastAsia="MS PGothic" w:cs="Calibri"/>
          <w:lang w:val="en-US" w:eastAsia="zh-CN"/>
        </w:rPr>
      </w:pPr>
      <w:r w:rsidRPr="008C761D">
        <w:rPr>
          <w:rFonts w:eastAsia="MS PGothic" w:cs="Calibri"/>
          <w:lang w:val="en-US" w:eastAsia="zh-CN"/>
        </w:rPr>
        <w:t xml:space="preserve">Public Internal Financial Control, is a separate module in IFMIS, this will </w:t>
      </w:r>
      <w:r w:rsidR="00163B4D" w:rsidRPr="008C761D">
        <w:rPr>
          <w:rFonts w:eastAsia="MS PGothic" w:cs="Calibri"/>
          <w:lang w:val="en-US" w:eastAsia="zh-CN"/>
        </w:rPr>
        <w:t>provide</w:t>
      </w:r>
      <w:r w:rsidRPr="008C761D">
        <w:rPr>
          <w:rFonts w:eastAsia="MS PGothic" w:cs="Calibri"/>
          <w:lang w:val="en-US" w:eastAsia="zh-CN"/>
        </w:rPr>
        <w:t xml:space="preserve"> comprehensiveness and accuracy in the reporting by the parent budget users, budget users and publicly owned enterprises will be ensured. This activity will be in generally contribute to raising awareness and strengthening </w:t>
      </w:r>
      <w:r w:rsidR="00163B4D" w:rsidRPr="008C761D">
        <w:rPr>
          <w:rFonts w:eastAsia="MS PGothic" w:cs="Calibri"/>
          <w:lang w:val="en-US" w:eastAsia="zh-CN"/>
        </w:rPr>
        <w:t>managerial</w:t>
      </w:r>
      <w:r w:rsidRPr="008C761D">
        <w:rPr>
          <w:rFonts w:eastAsia="MS PGothic" w:cs="Calibri"/>
          <w:lang w:val="en-US" w:eastAsia="zh-CN"/>
        </w:rPr>
        <w:t xml:space="preserve"> accountability.</w:t>
      </w:r>
    </w:p>
    <w:p w14:paraId="6035FDA9" w14:textId="77777777" w:rsidR="008E06E4" w:rsidRPr="002E4AA9" w:rsidRDefault="00482674" w:rsidP="008E06E4">
      <w:pPr>
        <w:spacing w:line="240" w:lineRule="auto"/>
        <w:jc w:val="both"/>
        <w:rPr>
          <w:rFonts w:eastAsia="MS PGothic" w:cs="Calibri"/>
          <w:b/>
          <w:bCs/>
          <w:iCs/>
          <w:color w:val="0070C0"/>
          <w:lang w:val="en-US" w:eastAsia="zh-CN"/>
        </w:rPr>
      </w:pPr>
      <w:r w:rsidRPr="002E4AA9">
        <w:rPr>
          <w:rFonts w:eastAsia="MS PGothic" w:cs="Calibri"/>
          <w:b/>
          <w:bCs/>
          <w:iCs/>
          <w:color w:val="0070C0"/>
          <w:lang w:val="en-US" w:eastAsia="zh-CN"/>
        </w:rPr>
        <w:t>Activity 2: Preparation of the methodology for specific Financial Management and Control issues</w:t>
      </w:r>
    </w:p>
    <w:p w14:paraId="1AFE5DD2" w14:textId="3135046C" w:rsidR="008E06E4" w:rsidRPr="008C761D" w:rsidRDefault="00E17781" w:rsidP="008E06E4">
      <w:pPr>
        <w:spacing w:line="240" w:lineRule="auto"/>
        <w:jc w:val="both"/>
        <w:rPr>
          <w:rFonts w:eastAsia="MS PGothic" w:cs="Calibri"/>
          <w:lang w:val="en-US" w:eastAsia="zh-CN"/>
        </w:rPr>
      </w:pPr>
      <w:r w:rsidRPr="008C761D">
        <w:rPr>
          <w:rFonts w:eastAsia="MS PGothic" w:cs="Calibri"/>
          <w:lang w:val="en-US" w:eastAsia="zh-CN"/>
        </w:rPr>
        <w:t xml:space="preserve">Central Harmonization Unit, on based on previously prepared outputs for risk management in the frame of the </w:t>
      </w:r>
      <w:r w:rsidR="00163B4D" w:rsidRPr="008C761D">
        <w:rPr>
          <w:rFonts w:eastAsia="MS PGothic" w:cs="Calibri"/>
          <w:lang w:val="en-US" w:eastAsia="zh-CN"/>
        </w:rPr>
        <w:t>Twining</w:t>
      </w:r>
      <w:r w:rsidRPr="008C761D">
        <w:rPr>
          <w:rFonts w:eastAsia="MS PGothic" w:cs="Calibri"/>
          <w:lang w:val="en-US" w:eastAsia="zh-CN"/>
        </w:rPr>
        <w:t xml:space="preserve"> project will prepare new more practical and simplified guideline for risk management process which besides other, will cover the topic for corruption risks.</w:t>
      </w:r>
      <w:r w:rsidR="008E06E4" w:rsidRPr="008C761D">
        <w:rPr>
          <w:rFonts w:eastAsia="MS PGothic" w:cs="Calibri"/>
          <w:lang w:val="en-US" w:eastAsia="zh-CN"/>
        </w:rPr>
        <w:t xml:space="preserve"> </w:t>
      </w:r>
    </w:p>
    <w:p w14:paraId="69FAB12F" w14:textId="6953EF15" w:rsidR="00482674" w:rsidRPr="008C761D" w:rsidRDefault="00E17781" w:rsidP="008E06E4">
      <w:pPr>
        <w:spacing w:line="240" w:lineRule="auto"/>
        <w:jc w:val="both"/>
        <w:rPr>
          <w:rFonts w:eastAsia="MS PGothic" w:cs="Calibri"/>
          <w:b/>
          <w:bCs/>
          <w:iCs/>
          <w:color w:val="2E74B5"/>
          <w:lang w:val="en-US" w:eastAsia="zh-CN"/>
        </w:rPr>
      </w:pPr>
      <w:r w:rsidRPr="008C761D">
        <w:rPr>
          <w:rFonts w:eastAsia="MS PGothic" w:cs="Calibri"/>
          <w:lang w:val="en-US" w:eastAsia="zh-CN"/>
        </w:rPr>
        <w:t>After finalization of this guideline, Central Harmonization Unit will promote this document and support the institutions in the its implementation</w:t>
      </w:r>
      <w:r w:rsidR="008E06E4" w:rsidRPr="008C761D">
        <w:rPr>
          <w:rFonts w:eastAsia="MS PGothic" w:cs="Calibri"/>
          <w:lang w:val="en-US" w:eastAsia="zh-CN"/>
        </w:rPr>
        <w:t xml:space="preserve">. </w:t>
      </w:r>
      <w:r w:rsidR="00482674" w:rsidRPr="008C761D">
        <w:rPr>
          <w:rFonts w:eastAsia="MS PGothic" w:cs="Calibri"/>
          <w:lang w:val="en-US" w:eastAsia="zh-CN"/>
        </w:rPr>
        <w:t>Also,</w:t>
      </w:r>
      <w:r w:rsidR="00482674" w:rsidRPr="008C761D">
        <w:rPr>
          <w:rFonts w:eastAsia="MS PGothic" w:cs="Calibri"/>
          <w:b/>
          <w:bCs/>
          <w:iCs/>
          <w:color w:val="2E74B5"/>
          <w:lang w:val="en-US" w:eastAsia="zh-CN"/>
        </w:rPr>
        <w:t xml:space="preserve"> </w:t>
      </w:r>
      <w:r w:rsidR="00482674" w:rsidRPr="008C761D">
        <w:rPr>
          <w:rFonts w:eastAsia="MS PGothic" w:cs="Calibri"/>
          <w:lang w:val="en-US" w:eastAsia="zh-CN"/>
        </w:rPr>
        <w:t>Central Harmonization Unit, on based on previously prepared outputs for</w:t>
      </w:r>
      <w:r w:rsidR="00163B4D">
        <w:rPr>
          <w:rFonts w:eastAsia="MS PGothic" w:cs="Calibri"/>
          <w:lang w:val="en-US" w:eastAsia="zh-CN"/>
        </w:rPr>
        <w:t xml:space="preserve"> </w:t>
      </w:r>
      <w:r w:rsidR="00482674" w:rsidRPr="008C761D">
        <w:rPr>
          <w:rFonts w:eastAsia="MS PGothic" w:cs="Calibri"/>
          <w:lang w:val="en-US" w:eastAsia="zh-CN"/>
        </w:rPr>
        <w:t xml:space="preserve">managerial accountability in the frame of the </w:t>
      </w:r>
      <w:r w:rsidR="00163B4D" w:rsidRPr="008C761D">
        <w:rPr>
          <w:rFonts w:eastAsia="MS PGothic" w:cs="Calibri"/>
          <w:lang w:val="en-US" w:eastAsia="zh-CN"/>
        </w:rPr>
        <w:t>twinning</w:t>
      </w:r>
      <w:r w:rsidR="00482674" w:rsidRPr="008C761D">
        <w:rPr>
          <w:rFonts w:eastAsia="MS PGothic" w:cs="Calibri"/>
          <w:lang w:val="en-US" w:eastAsia="zh-CN"/>
        </w:rPr>
        <w:t xml:space="preserve"> project will prepare practical guideline for managerial accountability.</w:t>
      </w:r>
      <w:r w:rsidR="008E06E4" w:rsidRPr="008C761D">
        <w:rPr>
          <w:rFonts w:eastAsia="MS PGothic" w:cs="Calibri"/>
          <w:lang w:val="en-US" w:eastAsia="zh-CN"/>
        </w:rPr>
        <w:t xml:space="preserve"> </w:t>
      </w:r>
      <w:r w:rsidR="00482674" w:rsidRPr="008C761D">
        <w:rPr>
          <w:rFonts w:eastAsia="MS PGothic" w:cs="Calibri"/>
          <w:lang w:val="en-US" w:eastAsia="zh-CN"/>
        </w:rPr>
        <w:t xml:space="preserve">After finalization of this guideline, Central Harmonization Unit will promote this document to </w:t>
      </w:r>
      <w:r w:rsidR="00163B4D" w:rsidRPr="008C761D">
        <w:rPr>
          <w:rFonts w:eastAsia="MS PGothic" w:cs="Calibri"/>
          <w:lang w:val="en-US" w:eastAsia="zh-CN"/>
        </w:rPr>
        <w:t>high</w:t>
      </w:r>
      <w:r w:rsidR="00482674" w:rsidRPr="008C761D">
        <w:rPr>
          <w:rFonts w:eastAsia="MS PGothic" w:cs="Calibri"/>
          <w:lang w:val="en-US" w:eastAsia="zh-CN"/>
        </w:rPr>
        <w:t xml:space="preserve"> level management and support the institutions i</w:t>
      </w:r>
      <w:r w:rsidR="00163B4D">
        <w:rPr>
          <w:rFonts w:eastAsia="MS PGothic" w:cs="Calibri"/>
          <w:lang w:val="en-US" w:eastAsia="zh-CN"/>
        </w:rPr>
        <w:t>n the its implementation. Also,</w:t>
      </w:r>
      <w:r w:rsidR="00482674" w:rsidRPr="008C761D">
        <w:rPr>
          <w:rFonts w:eastAsia="MS PGothic" w:cs="Calibri"/>
          <w:lang w:val="en-US" w:eastAsia="zh-CN"/>
        </w:rPr>
        <w:t xml:space="preserve"> will be educated employees in the Financial affairs units and other relevant organizational units.</w:t>
      </w:r>
    </w:p>
    <w:p w14:paraId="4432F116" w14:textId="77777777" w:rsidR="00482674" w:rsidRPr="002E4AA9" w:rsidRDefault="00482674" w:rsidP="00482674">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Activity 3: Establishment of a network of institutions’ financial affairs units in coordination with the CHU, for exchange of experiences, best practices and raising awareness at public sector entities about responsibilities for the quality of financial management and control</w:t>
      </w:r>
    </w:p>
    <w:p w14:paraId="4C6EA74F" w14:textId="77777777" w:rsidR="00482674" w:rsidRPr="008C761D" w:rsidRDefault="00482674" w:rsidP="00482674">
      <w:pPr>
        <w:spacing w:before="80" w:after="80" w:line="240" w:lineRule="auto"/>
        <w:jc w:val="both"/>
        <w:rPr>
          <w:rFonts w:eastAsia="MS PGothic" w:cs="Calibri"/>
          <w:lang w:val="en-US" w:eastAsia="zh-CN"/>
        </w:rPr>
      </w:pPr>
      <w:r w:rsidRPr="008C761D">
        <w:rPr>
          <w:rFonts w:eastAsia="Times New Roman" w:cs="Calibri"/>
          <w:color w:val="202124"/>
          <w:lang w:val="en-US"/>
        </w:rPr>
        <w:t>Under this activity, financial affairs units will be provided access to the newly established web platform “Network of Institutions’ Financial Affairs Units” in coordination with the CHU in order to ensure cooperation and exchange of experiences and raising awareness at public sector entities about responsibilities for the quality of financial management and control.</w:t>
      </w:r>
    </w:p>
    <w:p w14:paraId="2D32EE9C"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12EF5D1A" w14:textId="77777777" w:rsidTr="00BA5E44">
        <w:tc>
          <w:tcPr>
            <w:tcW w:w="2518" w:type="dxa"/>
            <w:tcBorders>
              <w:top w:val="nil"/>
              <w:bottom w:val="single" w:sz="4" w:space="0" w:color="FFFFFF"/>
            </w:tcBorders>
            <w:shd w:val="clear" w:color="auto" w:fill="2F5496"/>
          </w:tcPr>
          <w:p w14:paraId="15F8A3ED" w14:textId="77777777" w:rsidR="007733B2" w:rsidRPr="008C761D" w:rsidRDefault="007733B2"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7EB578FC" w14:textId="77777777" w:rsidR="007733B2" w:rsidRPr="008C761D" w:rsidRDefault="003172CB"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cs="Calibri"/>
                <w:sz w:val="20"/>
                <w:szCs w:val="20"/>
                <w:lang w:val="en-US"/>
              </w:rPr>
              <w:t>202</w:t>
            </w:r>
            <w:r w:rsidR="00E17781" w:rsidRPr="008C761D">
              <w:rPr>
                <w:rFonts w:cs="Calibri"/>
                <w:sz w:val="20"/>
                <w:szCs w:val="20"/>
                <w:lang w:val="en-US"/>
              </w:rPr>
              <w:t>7</w:t>
            </w:r>
          </w:p>
        </w:tc>
      </w:tr>
      <w:tr w:rsidR="007733B2" w:rsidRPr="008C761D" w14:paraId="039EB0B6" w14:textId="77777777" w:rsidTr="00BA5E44">
        <w:tc>
          <w:tcPr>
            <w:tcW w:w="2518" w:type="dxa"/>
            <w:tcBorders>
              <w:top w:val="single" w:sz="4" w:space="0" w:color="FFFFFF"/>
              <w:bottom w:val="single" w:sz="4" w:space="0" w:color="FFFFFF"/>
            </w:tcBorders>
            <w:shd w:val="clear" w:color="auto" w:fill="2F5496"/>
          </w:tcPr>
          <w:p w14:paraId="03D3642C" w14:textId="77777777" w:rsidR="007733B2" w:rsidRPr="008C761D" w:rsidRDefault="007733B2"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5FB6A886" w14:textId="77777777" w:rsidR="00E17781" w:rsidRPr="008C761D" w:rsidRDefault="00E17781" w:rsidP="002E4AA9">
            <w:pPr>
              <w:numPr>
                <w:ilvl w:val="0"/>
                <w:numId w:val="72"/>
              </w:numPr>
              <w:tabs>
                <w:tab w:val="left" w:pos="273"/>
                <w:tab w:val="left" w:pos="363"/>
              </w:tabs>
              <w:spacing w:after="0" w:line="240" w:lineRule="auto"/>
              <w:ind w:left="273"/>
              <w:jc w:val="both"/>
              <w:rPr>
                <w:rFonts w:cs="Calibri"/>
                <w:sz w:val="20"/>
                <w:szCs w:val="20"/>
                <w:lang w:val="en-US"/>
              </w:rPr>
            </w:pPr>
            <w:r w:rsidRPr="008C761D">
              <w:rPr>
                <w:rFonts w:cs="Calibri"/>
                <w:sz w:val="20"/>
                <w:szCs w:val="20"/>
                <w:lang w:val="en-US"/>
              </w:rPr>
              <w:t>Simplified guideline for risk management process</w:t>
            </w:r>
          </w:p>
          <w:p w14:paraId="7D6C13E3" w14:textId="77777777" w:rsidR="00AD58AF" w:rsidRPr="008C761D" w:rsidRDefault="00AD58AF"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cs="Calibri"/>
                <w:sz w:val="20"/>
                <w:szCs w:val="20"/>
                <w:lang w:val="en-US"/>
              </w:rPr>
              <w:t xml:space="preserve">Guideline for managerial accountability </w:t>
            </w:r>
          </w:p>
          <w:p w14:paraId="1A60836D" w14:textId="32D05B91" w:rsidR="003C20E4" w:rsidRPr="008C761D" w:rsidRDefault="007733B2"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cs="Calibri"/>
                <w:sz w:val="20"/>
                <w:szCs w:val="20"/>
                <w:lang w:val="en-US"/>
              </w:rPr>
              <w:t>Strengthen</w:t>
            </w:r>
            <w:r w:rsidR="00AD58AF" w:rsidRPr="008C761D">
              <w:rPr>
                <w:rFonts w:cs="Calibri"/>
                <w:sz w:val="20"/>
                <w:szCs w:val="20"/>
                <w:lang w:val="en-US"/>
              </w:rPr>
              <w:t>ed</w:t>
            </w:r>
            <w:r w:rsidRPr="008C761D">
              <w:rPr>
                <w:rFonts w:cs="Calibri"/>
                <w:sz w:val="20"/>
                <w:szCs w:val="20"/>
                <w:lang w:val="en-US"/>
              </w:rPr>
              <w:t xml:space="preserve"> the CHU capacities</w:t>
            </w:r>
          </w:p>
        </w:tc>
      </w:tr>
      <w:tr w:rsidR="007733B2" w:rsidRPr="008C761D" w14:paraId="052BC110" w14:textId="77777777" w:rsidTr="00BA5E44">
        <w:tc>
          <w:tcPr>
            <w:tcW w:w="2518" w:type="dxa"/>
            <w:tcBorders>
              <w:top w:val="single" w:sz="4" w:space="0" w:color="FFFFFF"/>
              <w:bottom w:val="single" w:sz="4" w:space="0" w:color="FFFFFF"/>
            </w:tcBorders>
            <w:shd w:val="clear" w:color="auto" w:fill="2F5496"/>
          </w:tcPr>
          <w:p w14:paraId="79EDEDDC"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37CB1685" w14:textId="16ACFD6A" w:rsidR="007733B2" w:rsidRPr="008C761D" w:rsidRDefault="009A7962"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eastAsia="Times New Roman" w:cs="Calibri"/>
                <w:sz w:val="20"/>
                <w:szCs w:val="20"/>
                <w:lang w:val="en-US"/>
              </w:rPr>
              <w:t>86</w:t>
            </w:r>
            <w:r w:rsidR="00482674" w:rsidRPr="008C761D">
              <w:rPr>
                <w:rFonts w:eastAsia="Times New Roman" w:cs="Calibri"/>
                <w:sz w:val="20"/>
                <w:szCs w:val="20"/>
                <w:lang w:val="en-US"/>
              </w:rPr>
              <w:t xml:space="preserve">,000 </w:t>
            </w:r>
            <w:r w:rsidR="007733B2" w:rsidRPr="008C761D">
              <w:rPr>
                <w:rFonts w:eastAsia="Times New Roman" w:cs="Calibri"/>
                <w:sz w:val="20"/>
                <w:szCs w:val="20"/>
                <w:lang w:val="en-US"/>
              </w:rPr>
              <w:t xml:space="preserve">EUR </w:t>
            </w:r>
          </w:p>
        </w:tc>
      </w:tr>
      <w:tr w:rsidR="007733B2" w:rsidRPr="008C761D" w14:paraId="758A0CAA" w14:textId="77777777" w:rsidTr="00BA5E44">
        <w:tc>
          <w:tcPr>
            <w:tcW w:w="2518" w:type="dxa"/>
            <w:tcBorders>
              <w:top w:val="single" w:sz="4" w:space="0" w:color="FFFFFF"/>
              <w:bottom w:val="single" w:sz="4" w:space="0" w:color="FFFFFF"/>
            </w:tcBorders>
            <w:shd w:val="clear" w:color="auto" w:fill="2F5496"/>
          </w:tcPr>
          <w:p w14:paraId="7A9A46FE"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0BA289B8" w14:textId="1F06592B" w:rsidR="007733B2" w:rsidRPr="008C761D" w:rsidRDefault="007733B2"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cs="Calibri"/>
                <w:sz w:val="20"/>
                <w:szCs w:val="20"/>
                <w:lang w:val="en-US"/>
              </w:rPr>
              <w:t xml:space="preserve">Ministry of Finance </w:t>
            </w:r>
            <w:r w:rsidR="00D3676F">
              <w:rPr>
                <w:rFonts w:cs="Calibri"/>
                <w:sz w:val="20"/>
                <w:szCs w:val="20"/>
                <w:lang w:val="en-US"/>
              </w:rPr>
              <w:t>- PIFC</w:t>
            </w:r>
          </w:p>
        </w:tc>
      </w:tr>
      <w:tr w:rsidR="007733B2" w:rsidRPr="008C761D" w14:paraId="62AB27DA" w14:textId="77777777" w:rsidTr="00BA5E44">
        <w:tc>
          <w:tcPr>
            <w:tcW w:w="2518" w:type="dxa"/>
            <w:tcBorders>
              <w:top w:val="single" w:sz="4" w:space="0" w:color="FFFFFF"/>
              <w:bottom w:val="nil"/>
            </w:tcBorders>
            <w:shd w:val="clear" w:color="auto" w:fill="2F5496"/>
          </w:tcPr>
          <w:p w14:paraId="4C14D822"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56B46C4A" w14:textId="7E559BB8" w:rsidR="007733B2" w:rsidRPr="008C761D" w:rsidRDefault="00482674" w:rsidP="002E4AA9">
            <w:pPr>
              <w:numPr>
                <w:ilvl w:val="0"/>
                <w:numId w:val="72"/>
              </w:numPr>
              <w:tabs>
                <w:tab w:val="left" w:pos="273"/>
              </w:tabs>
              <w:spacing w:after="0" w:line="240" w:lineRule="auto"/>
              <w:ind w:left="273" w:hanging="270"/>
              <w:jc w:val="both"/>
              <w:rPr>
                <w:rFonts w:cs="Calibri"/>
                <w:sz w:val="20"/>
                <w:szCs w:val="20"/>
                <w:lang w:val="en-US"/>
              </w:rPr>
            </w:pPr>
            <w:r w:rsidRPr="008C761D">
              <w:rPr>
                <w:rFonts w:eastAsia="Times New Roman" w:cs="Calibri"/>
                <w:sz w:val="20"/>
                <w:szCs w:val="20"/>
                <w:lang w:val="en-US"/>
              </w:rPr>
              <w:t xml:space="preserve">Insufficient staffing and insufficient training of human </w:t>
            </w:r>
            <w:proofErr w:type="gramStart"/>
            <w:r w:rsidRPr="008C761D">
              <w:rPr>
                <w:rFonts w:eastAsia="Times New Roman" w:cs="Calibri"/>
                <w:sz w:val="20"/>
                <w:szCs w:val="20"/>
                <w:lang w:val="en-US"/>
              </w:rPr>
              <w:t>resources</w:t>
            </w:r>
            <w:r w:rsidRPr="008C761D">
              <w:rPr>
                <w:rFonts w:cs="Calibri"/>
                <w:sz w:val="20"/>
                <w:szCs w:val="20"/>
                <w:lang w:val="en-US"/>
              </w:rPr>
              <w:t>(</w:t>
            </w:r>
            <w:proofErr w:type="gramEnd"/>
            <w:r w:rsidRPr="008C761D">
              <w:rPr>
                <w:rFonts w:cs="Calibri"/>
                <w:sz w:val="20"/>
                <w:szCs w:val="20"/>
                <w:lang w:val="en-US"/>
              </w:rPr>
              <w:t>in the CHU and Financial Affairs Units=</w:t>
            </w:r>
          </w:p>
        </w:tc>
      </w:tr>
    </w:tbl>
    <w:p w14:paraId="5B24AF49" w14:textId="77777777" w:rsidR="007733B2" w:rsidRPr="008C761D" w:rsidRDefault="007733B2" w:rsidP="00E84CD0">
      <w:pPr>
        <w:spacing w:line="240" w:lineRule="auto"/>
        <w:jc w:val="both"/>
        <w:rPr>
          <w:rFonts w:cs="Calibri"/>
          <w:lang w:val="en-US"/>
        </w:rPr>
      </w:pPr>
    </w:p>
    <w:p w14:paraId="7B254B26" w14:textId="57470269" w:rsidR="007733B2" w:rsidRPr="002E4AA9" w:rsidRDefault="007733B2" w:rsidP="008D42D0">
      <w:pPr>
        <w:pStyle w:val="Heading1"/>
        <w:rPr>
          <w:rFonts w:ascii="Calibri" w:eastAsia="MS PGothic" w:hAnsi="Calibri" w:cs="Calibri"/>
          <w:color w:val="0070C0"/>
          <w:sz w:val="28"/>
          <w:szCs w:val="28"/>
          <w:lang w:val="en-US"/>
        </w:rPr>
      </w:pPr>
      <w:bookmarkStart w:id="57" w:name="_Toc160611829"/>
      <w:r w:rsidRPr="002E4AA9">
        <w:rPr>
          <w:rFonts w:ascii="Calibri" w:eastAsia="MS PGothic" w:hAnsi="Calibri" w:cs="Calibri"/>
          <w:color w:val="0070C0"/>
          <w:sz w:val="28"/>
          <w:szCs w:val="28"/>
          <w:lang w:val="en-US"/>
        </w:rPr>
        <w:t>Priority 2: Internal Audit</w:t>
      </w:r>
      <w:bookmarkEnd w:id="57"/>
    </w:p>
    <w:p w14:paraId="30904609"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Objective</w:t>
      </w:r>
    </w:p>
    <w:p w14:paraId="67733B5A" w14:textId="3F9AF5E7" w:rsidR="007733B2" w:rsidRPr="008C761D" w:rsidRDefault="007733B2" w:rsidP="00E84CD0">
      <w:pPr>
        <w:spacing w:before="80" w:after="80" w:line="240" w:lineRule="auto"/>
        <w:jc w:val="both"/>
        <w:rPr>
          <w:rFonts w:eastAsia="MS PGothic" w:cs="Calibri"/>
          <w:color w:val="000000"/>
          <w:lang w:val="en-US" w:eastAsia="zh-CN"/>
        </w:rPr>
      </w:pPr>
      <w:r w:rsidRPr="008C761D">
        <w:rPr>
          <w:rFonts w:eastAsia="MS PGothic" w:cs="Calibri"/>
          <w:lang w:val="en-US" w:eastAsia="mk-MK"/>
        </w:rPr>
        <w:t xml:space="preserve">Increased effectiveness of public sector internal audit. </w:t>
      </w:r>
    </w:p>
    <w:p w14:paraId="36D867AD" w14:textId="77777777" w:rsidR="008E06E4" w:rsidRPr="008C761D" w:rsidRDefault="008E06E4" w:rsidP="00E84CD0">
      <w:pPr>
        <w:spacing w:before="80" w:after="80" w:line="240" w:lineRule="auto"/>
        <w:jc w:val="both"/>
        <w:rPr>
          <w:rFonts w:eastAsia="MS PGothic" w:cs="Calibri"/>
          <w:color w:val="000000"/>
          <w:sz w:val="16"/>
          <w:szCs w:val="16"/>
          <w:lang w:val="en-US" w:eastAsia="zh-CN"/>
        </w:rPr>
      </w:pPr>
    </w:p>
    <w:p w14:paraId="4AB8EC46" w14:textId="77777777" w:rsidR="007733B2" w:rsidRPr="008C761D" w:rsidRDefault="007733B2" w:rsidP="00E84CD0">
      <w:pPr>
        <w:spacing w:before="80" w:after="80" w:line="240" w:lineRule="auto"/>
        <w:jc w:val="both"/>
        <w:rPr>
          <w:rFonts w:eastAsia="MS PGothic" w:cs="Calibri"/>
          <w:lang w:val="en-US" w:eastAsia="zh-CN"/>
        </w:rPr>
      </w:pPr>
      <w:r w:rsidRPr="008C761D">
        <w:rPr>
          <w:rFonts w:eastAsia="MS PGothic" w:cs="Calibri"/>
          <w:lang w:val="en-US" w:eastAsia="zh-CN"/>
        </w:rPr>
        <w:t>The objective of this priority will be achieved through the following measures and activities:</w:t>
      </w:r>
    </w:p>
    <w:tbl>
      <w:tblPr>
        <w:tblW w:w="8140" w:type="dxa"/>
        <w:tblInd w:w="548" w:type="dxa"/>
        <w:tblLook w:val="01E0" w:firstRow="1" w:lastRow="1" w:firstColumn="1" w:lastColumn="1" w:noHBand="0" w:noVBand="0"/>
      </w:tblPr>
      <w:tblGrid>
        <w:gridCol w:w="1714"/>
        <w:gridCol w:w="6426"/>
      </w:tblGrid>
      <w:tr w:rsidR="007733B2" w:rsidRPr="008C761D" w14:paraId="0B25181C" w14:textId="77777777" w:rsidTr="00BA5E44">
        <w:tc>
          <w:tcPr>
            <w:tcW w:w="1714" w:type="dxa"/>
            <w:shd w:val="clear" w:color="auto" w:fill="auto"/>
          </w:tcPr>
          <w:p w14:paraId="334D0795" w14:textId="77777777" w:rsidR="007733B2" w:rsidRPr="008C761D" w:rsidRDefault="007733B2" w:rsidP="00E84CD0">
            <w:pPr>
              <w:spacing w:before="120" w:line="240" w:lineRule="auto"/>
              <w:jc w:val="both"/>
              <w:rPr>
                <w:rFonts w:cs="Calibri"/>
                <w:b/>
                <w:lang w:val="en-US"/>
              </w:rPr>
            </w:pPr>
            <w:r w:rsidRPr="008C761D">
              <w:rPr>
                <w:rFonts w:cs="Calibri"/>
                <w:b/>
                <w:lang w:val="en-US"/>
              </w:rPr>
              <w:lastRenderedPageBreak/>
              <w:t>Measure 1:</w:t>
            </w:r>
          </w:p>
        </w:tc>
        <w:tc>
          <w:tcPr>
            <w:tcW w:w="6426" w:type="dxa"/>
            <w:shd w:val="clear" w:color="auto" w:fill="auto"/>
          </w:tcPr>
          <w:p w14:paraId="2D28A3EA" w14:textId="77777777" w:rsidR="007733B2" w:rsidRPr="008C761D" w:rsidRDefault="007733B2" w:rsidP="00E84CD0">
            <w:pPr>
              <w:spacing w:before="120" w:line="240" w:lineRule="auto"/>
              <w:jc w:val="both"/>
              <w:rPr>
                <w:rFonts w:cs="Calibri"/>
                <w:b/>
                <w:lang w:val="en-US"/>
              </w:rPr>
            </w:pPr>
            <w:r w:rsidRPr="008C761D">
              <w:rPr>
                <w:rFonts w:cs="Calibri"/>
                <w:b/>
                <w:lang w:val="en-US"/>
              </w:rPr>
              <w:t>Strengthening the quality of work of the internal audit units at the Ministries</w:t>
            </w:r>
          </w:p>
        </w:tc>
      </w:tr>
      <w:tr w:rsidR="007733B2" w:rsidRPr="008C761D" w14:paraId="4C35E20A" w14:textId="77777777" w:rsidTr="00BA5E44">
        <w:tc>
          <w:tcPr>
            <w:tcW w:w="1714" w:type="dxa"/>
            <w:shd w:val="clear" w:color="auto" w:fill="auto"/>
          </w:tcPr>
          <w:p w14:paraId="291AA451" w14:textId="77777777" w:rsidR="007733B2" w:rsidRPr="008C761D" w:rsidRDefault="007733B2" w:rsidP="00E84CD0">
            <w:pPr>
              <w:spacing w:after="0" w:line="240" w:lineRule="auto"/>
              <w:jc w:val="both"/>
              <w:rPr>
                <w:rFonts w:cs="Calibri"/>
                <w:lang w:val="en-US"/>
              </w:rPr>
            </w:pPr>
            <w:r w:rsidRPr="008C761D">
              <w:rPr>
                <w:rFonts w:cs="Calibri"/>
                <w:lang w:val="en-US"/>
              </w:rPr>
              <w:t>Activity 1:</w:t>
            </w:r>
          </w:p>
        </w:tc>
        <w:tc>
          <w:tcPr>
            <w:tcW w:w="6426" w:type="dxa"/>
            <w:shd w:val="clear" w:color="auto" w:fill="auto"/>
          </w:tcPr>
          <w:p w14:paraId="7E1E8F77" w14:textId="77777777" w:rsidR="007733B2" w:rsidRPr="008C761D" w:rsidRDefault="00AD58AF" w:rsidP="00E84CD0">
            <w:pPr>
              <w:spacing w:after="0" w:line="240" w:lineRule="auto"/>
              <w:jc w:val="both"/>
              <w:rPr>
                <w:rFonts w:cs="Calibri"/>
                <w:lang w:val="en-US"/>
              </w:rPr>
            </w:pPr>
            <w:r w:rsidRPr="008C761D">
              <w:rPr>
                <w:rFonts w:cs="Calibri"/>
                <w:lang w:val="en-US"/>
              </w:rPr>
              <w:t>Improving of Human Resources capacities of Internal Audit Units in the Ministries through adequate staffing and Continuous Professional Development at the internal auditors</w:t>
            </w:r>
            <w:r w:rsidR="007733B2" w:rsidRPr="008C761D">
              <w:rPr>
                <w:rFonts w:cs="Calibri"/>
                <w:lang w:val="en-US"/>
              </w:rPr>
              <w:t>;</w:t>
            </w:r>
          </w:p>
          <w:p w14:paraId="7572B27A" w14:textId="77777777" w:rsidR="007733B2" w:rsidRPr="008C761D" w:rsidRDefault="007733B2" w:rsidP="00E84CD0">
            <w:pPr>
              <w:spacing w:after="0" w:line="240" w:lineRule="auto"/>
              <w:jc w:val="both"/>
              <w:rPr>
                <w:rFonts w:cs="Calibri"/>
                <w:color w:val="FF0000"/>
                <w:sz w:val="16"/>
                <w:szCs w:val="16"/>
                <w:lang w:val="en-US"/>
              </w:rPr>
            </w:pPr>
          </w:p>
        </w:tc>
      </w:tr>
      <w:tr w:rsidR="007733B2" w:rsidRPr="008C761D" w14:paraId="72D0A878" w14:textId="77777777" w:rsidTr="00BA5E44">
        <w:tc>
          <w:tcPr>
            <w:tcW w:w="1714" w:type="dxa"/>
            <w:shd w:val="clear" w:color="auto" w:fill="auto"/>
          </w:tcPr>
          <w:p w14:paraId="01C67320" w14:textId="77777777" w:rsidR="007733B2" w:rsidRPr="008C761D" w:rsidRDefault="007733B2" w:rsidP="00E84CD0">
            <w:pPr>
              <w:spacing w:after="0" w:line="240" w:lineRule="auto"/>
              <w:jc w:val="both"/>
              <w:rPr>
                <w:rFonts w:cs="Calibri"/>
                <w:lang w:val="en-US"/>
              </w:rPr>
            </w:pPr>
            <w:r w:rsidRPr="008C761D">
              <w:rPr>
                <w:rFonts w:cs="Calibri"/>
                <w:lang w:val="en-US"/>
              </w:rPr>
              <w:t xml:space="preserve">Activity </w:t>
            </w:r>
            <w:r w:rsidR="00AD58AF" w:rsidRPr="008C761D">
              <w:rPr>
                <w:rFonts w:cs="Calibri"/>
                <w:lang w:val="en-US"/>
              </w:rPr>
              <w:t>2:</w:t>
            </w:r>
          </w:p>
        </w:tc>
        <w:tc>
          <w:tcPr>
            <w:tcW w:w="6426" w:type="dxa"/>
            <w:shd w:val="clear" w:color="auto" w:fill="auto"/>
          </w:tcPr>
          <w:p w14:paraId="353B3B03" w14:textId="558B909A" w:rsidR="00AD58AF" w:rsidRPr="008C761D" w:rsidRDefault="00AD58AF" w:rsidP="00AD58AF">
            <w:pPr>
              <w:spacing w:after="0" w:line="240" w:lineRule="auto"/>
              <w:jc w:val="both"/>
              <w:rPr>
                <w:rFonts w:cs="Calibri"/>
                <w:lang w:val="en-US"/>
              </w:rPr>
            </w:pPr>
            <w:r w:rsidRPr="008C761D">
              <w:rPr>
                <w:rFonts w:cs="Calibri"/>
                <w:lang w:val="en-US"/>
              </w:rPr>
              <w:t>Strengthen the capacity of the CHU to monitor and report on the quality of operations of the internal audit units;</w:t>
            </w:r>
          </w:p>
          <w:p w14:paraId="3C53B843" w14:textId="77777777" w:rsidR="007733B2" w:rsidRPr="008C761D" w:rsidRDefault="007733B2" w:rsidP="00E84CD0">
            <w:pPr>
              <w:spacing w:after="0" w:line="240" w:lineRule="auto"/>
              <w:jc w:val="both"/>
              <w:rPr>
                <w:rFonts w:cs="Calibri"/>
                <w:color w:val="FF0000"/>
                <w:sz w:val="16"/>
                <w:szCs w:val="16"/>
                <w:lang w:val="en-US"/>
              </w:rPr>
            </w:pPr>
          </w:p>
        </w:tc>
      </w:tr>
      <w:tr w:rsidR="007733B2" w:rsidRPr="008C761D" w14:paraId="05CB530C" w14:textId="77777777" w:rsidTr="00BA5E44">
        <w:tc>
          <w:tcPr>
            <w:tcW w:w="1714" w:type="dxa"/>
            <w:shd w:val="clear" w:color="auto" w:fill="auto"/>
          </w:tcPr>
          <w:p w14:paraId="49DC0465" w14:textId="77777777" w:rsidR="007733B2" w:rsidRPr="008C761D" w:rsidRDefault="007733B2" w:rsidP="00E84CD0">
            <w:pPr>
              <w:spacing w:after="0" w:line="240" w:lineRule="auto"/>
              <w:jc w:val="both"/>
              <w:rPr>
                <w:rFonts w:cs="Calibri"/>
                <w:lang w:val="en-US"/>
              </w:rPr>
            </w:pPr>
            <w:r w:rsidRPr="008C761D">
              <w:rPr>
                <w:rFonts w:cs="Calibri"/>
                <w:lang w:val="en-US"/>
              </w:rPr>
              <w:t xml:space="preserve">Activity </w:t>
            </w:r>
            <w:r w:rsidR="00AD58AF" w:rsidRPr="008C761D">
              <w:rPr>
                <w:rFonts w:cs="Calibri"/>
                <w:lang w:val="en-US"/>
              </w:rPr>
              <w:t>3</w:t>
            </w:r>
            <w:r w:rsidRPr="008C761D">
              <w:rPr>
                <w:rFonts w:cs="Calibri"/>
                <w:lang w:val="en-US"/>
              </w:rPr>
              <w:t>:</w:t>
            </w:r>
          </w:p>
        </w:tc>
        <w:tc>
          <w:tcPr>
            <w:tcW w:w="6426" w:type="dxa"/>
            <w:shd w:val="clear" w:color="auto" w:fill="auto"/>
          </w:tcPr>
          <w:p w14:paraId="18A179D3" w14:textId="77777777" w:rsidR="007733B2" w:rsidRPr="008C761D" w:rsidRDefault="007733B2" w:rsidP="00E84CD0">
            <w:pPr>
              <w:spacing w:after="0" w:line="240" w:lineRule="auto"/>
              <w:jc w:val="both"/>
              <w:rPr>
                <w:rFonts w:cs="Calibri"/>
                <w:color w:val="FF0000"/>
                <w:lang w:val="en-US"/>
              </w:rPr>
            </w:pPr>
            <w:r w:rsidRPr="008C761D">
              <w:rPr>
                <w:rFonts w:eastAsia="Times New Roman" w:cs="Calibri"/>
                <w:color w:val="202124"/>
                <w:lang w:val="en-US"/>
              </w:rPr>
              <w:t>Establishment of a network of institutions’ internal audit units in coordination with the CHU, for exchange of experience and best practices.</w:t>
            </w:r>
          </w:p>
        </w:tc>
      </w:tr>
      <w:tr w:rsidR="007733B2" w:rsidRPr="008C761D" w14:paraId="7B50377B" w14:textId="77777777" w:rsidTr="00BA5E44">
        <w:tc>
          <w:tcPr>
            <w:tcW w:w="1714" w:type="dxa"/>
            <w:shd w:val="clear" w:color="auto" w:fill="auto"/>
          </w:tcPr>
          <w:p w14:paraId="643D9A18" w14:textId="77777777" w:rsidR="007733B2" w:rsidRPr="008C761D" w:rsidRDefault="007733B2" w:rsidP="00E84CD0">
            <w:pPr>
              <w:spacing w:before="120" w:line="240" w:lineRule="auto"/>
              <w:jc w:val="both"/>
              <w:rPr>
                <w:rFonts w:cs="Calibri"/>
                <w:b/>
                <w:lang w:val="en-US"/>
              </w:rPr>
            </w:pPr>
            <w:r w:rsidRPr="008C761D">
              <w:rPr>
                <w:rFonts w:cs="Calibri"/>
                <w:b/>
                <w:lang w:val="en-US"/>
              </w:rPr>
              <w:t>Measure 2:</w:t>
            </w:r>
          </w:p>
        </w:tc>
        <w:tc>
          <w:tcPr>
            <w:tcW w:w="6426" w:type="dxa"/>
            <w:shd w:val="clear" w:color="auto" w:fill="auto"/>
          </w:tcPr>
          <w:p w14:paraId="2A4D8767" w14:textId="77777777" w:rsidR="007733B2" w:rsidRPr="008C761D" w:rsidRDefault="00AD58AF" w:rsidP="00E84CD0">
            <w:pPr>
              <w:spacing w:before="120" w:line="240" w:lineRule="auto"/>
              <w:jc w:val="both"/>
              <w:rPr>
                <w:rFonts w:cs="Calibri"/>
                <w:color w:val="FF0000"/>
                <w:lang w:val="en-US"/>
              </w:rPr>
            </w:pPr>
            <w:r w:rsidRPr="008C761D">
              <w:rPr>
                <w:rFonts w:cs="Calibri"/>
                <w:b/>
                <w:lang w:val="en-US"/>
              </w:rPr>
              <w:t>Improving the abilities to carry out performance and IT internal audits in the public sector institutions</w:t>
            </w:r>
            <w:r w:rsidR="007733B2" w:rsidRPr="008C761D">
              <w:rPr>
                <w:rFonts w:cs="Calibri"/>
                <w:b/>
                <w:lang w:val="en-US"/>
              </w:rPr>
              <w:tab/>
            </w:r>
            <w:r w:rsidR="007733B2" w:rsidRPr="008C761D">
              <w:rPr>
                <w:rFonts w:cs="Calibri"/>
                <w:b/>
                <w:color w:val="FF0000"/>
                <w:lang w:val="en-US"/>
              </w:rPr>
              <w:tab/>
            </w:r>
          </w:p>
        </w:tc>
      </w:tr>
      <w:tr w:rsidR="007733B2" w:rsidRPr="008C761D" w14:paraId="78AAB26F" w14:textId="77777777" w:rsidTr="008E06E4">
        <w:trPr>
          <w:trHeight w:val="662"/>
        </w:trPr>
        <w:tc>
          <w:tcPr>
            <w:tcW w:w="1714" w:type="dxa"/>
            <w:shd w:val="clear" w:color="auto" w:fill="auto"/>
          </w:tcPr>
          <w:p w14:paraId="4F6D6B4F" w14:textId="77777777" w:rsidR="007733B2" w:rsidRPr="008C761D" w:rsidRDefault="007733B2" w:rsidP="00E84CD0">
            <w:pPr>
              <w:spacing w:after="0" w:line="240" w:lineRule="auto"/>
              <w:jc w:val="both"/>
              <w:rPr>
                <w:rFonts w:cs="Calibri"/>
                <w:lang w:val="en-US"/>
              </w:rPr>
            </w:pPr>
            <w:r w:rsidRPr="008C761D">
              <w:rPr>
                <w:rFonts w:cs="Calibri"/>
                <w:lang w:val="en-US"/>
              </w:rPr>
              <w:t>Activity 1:</w:t>
            </w:r>
          </w:p>
        </w:tc>
        <w:tc>
          <w:tcPr>
            <w:tcW w:w="6426" w:type="dxa"/>
            <w:shd w:val="clear" w:color="auto" w:fill="auto"/>
          </w:tcPr>
          <w:p w14:paraId="63596CAA" w14:textId="77E19512" w:rsidR="007733B2" w:rsidRPr="008C761D" w:rsidRDefault="00542194" w:rsidP="00E84CD0">
            <w:pPr>
              <w:spacing w:after="0" w:line="240" w:lineRule="auto"/>
              <w:jc w:val="both"/>
              <w:rPr>
                <w:rFonts w:cs="Calibri"/>
                <w:lang w:val="en-US"/>
              </w:rPr>
            </w:pPr>
            <w:r w:rsidRPr="008C761D">
              <w:rPr>
                <w:rFonts w:cs="Calibri"/>
                <w:lang w:val="en-US"/>
              </w:rPr>
              <w:t>Preparation and promotion methodology for specific type of internal audits</w:t>
            </w:r>
            <w:r w:rsidR="008E06E4" w:rsidRPr="008C761D">
              <w:rPr>
                <w:rFonts w:cs="Calibri"/>
                <w:lang w:val="en-US"/>
              </w:rPr>
              <w:t>;</w:t>
            </w:r>
          </w:p>
        </w:tc>
      </w:tr>
      <w:tr w:rsidR="007733B2" w:rsidRPr="008C761D" w14:paraId="447C9267" w14:textId="77777777" w:rsidTr="00BA5E44">
        <w:tc>
          <w:tcPr>
            <w:tcW w:w="1714" w:type="dxa"/>
            <w:shd w:val="clear" w:color="auto" w:fill="auto"/>
          </w:tcPr>
          <w:p w14:paraId="766D1FBE" w14:textId="77777777" w:rsidR="00AD58AF" w:rsidRPr="008C761D" w:rsidRDefault="00AD58AF" w:rsidP="00E84CD0">
            <w:pPr>
              <w:spacing w:after="0" w:line="240" w:lineRule="auto"/>
              <w:jc w:val="both"/>
              <w:rPr>
                <w:rFonts w:cs="Calibri"/>
                <w:lang w:val="en-US"/>
              </w:rPr>
            </w:pPr>
            <w:r w:rsidRPr="008C761D">
              <w:rPr>
                <w:rFonts w:cs="Calibri"/>
                <w:lang w:val="en-US"/>
              </w:rPr>
              <w:t xml:space="preserve">Activity </w:t>
            </w:r>
            <w:r w:rsidR="00594C2A" w:rsidRPr="008C761D">
              <w:rPr>
                <w:rFonts w:cs="Calibri"/>
                <w:lang w:val="en-US"/>
              </w:rPr>
              <w:t>2</w:t>
            </w:r>
            <w:r w:rsidRPr="008C761D">
              <w:rPr>
                <w:rFonts w:cs="Calibri"/>
                <w:lang w:val="en-US"/>
              </w:rPr>
              <w:t>:</w:t>
            </w:r>
          </w:p>
          <w:p w14:paraId="5367B63B" w14:textId="77777777" w:rsidR="00AD58AF" w:rsidRPr="008C761D" w:rsidRDefault="00AD58AF" w:rsidP="00E84CD0">
            <w:pPr>
              <w:spacing w:after="0" w:line="240" w:lineRule="auto"/>
              <w:jc w:val="both"/>
              <w:rPr>
                <w:rFonts w:cs="Calibri"/>
                <w:lang w:val="en-US"/>
              </w:rPr>
            </w:pPr>
          </w:p>
        </w:tc>
        <w:tc>
          <w:tcPr>
            <w:tcW w:w="6426" w:type="dxa"/>
            <w:shd w:val="clear" w:color="auto" w:fill="auto"/>
          </w:tcPr>
          <w:p w14:paraId="0385F109" w14:textId="77777777" w:rsidR="00AD58AF" w:rsidRPr="008C761D" w:rsidRDefault="00AD58AF" w:rsidP="00E84CD0">
            <w:pPr>
              <w:spacing w:after="0" w:line="240" w:lineRule="auto"/>
              <w:jc w:val="both"/>
              <w:rPr>
                <w:rFonts w:cs="Calibri"/>
                <w:lang w:val="en-US"/>
              </w:rPr>
            </w:pPr>
            <w:r w:rsidRPr="008C761D">
              <w:rPr>
                <w:rFonts w:cs="Calibri"/>
                <w:lang w:val="en-US"/>
              </w:rPr>
              <w:t>Analysis of the situation and determination of the need for the establishment of a Central Unit for IT internal audits in the Ministry of Finance</w:t>
            </w:r>
          </w:p>
        </w:tc>
      </w:tr>
    </w:tbl>
    <w:p w14:paraId="7A0952BB"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52B7BD8E" w14:textId="77777777" w:rsidR="007733B2" w:rsidRPr="008C761D" w:rsidRDefault="007733B2" w:rsidP="00E84CD0">
      <w:pPr>
        <w:tabs>
          <w:tab w:val="left" w:pos="851"/>
        </w:tabs>
        <w:spacing w:after="0" w:line="240" w:lineRule="auto"/>
        <w:ind w:left="851"/>
        <w:jc w:val="both"/>
        <w:rPr>
          <w:rFonts w:eastAsia="MS PGothic" w:cs="Calibri"/>
          <w:color w:val="FF0000"/>
          <w:lang w:val="en-US" w:eastAsia="zh-CN"/>
        </w:rPr>
      </w:pPr>
      <w:r w:rsidRPr="008C761D">
        <w:rPr>
          <w:rFonts w:cs="Calibri"/>
          <w:lang w:val="en-US"/>
        </w:rPr>
        <w:t>Strengthened internal audit units that operate in line with the standards and contribute to achievement of the goals of the public sector institutions.</w:t>
      </w:r>
    </w:p>
    <w:p w14:paraId="6DEFC088"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21BA1A58" w14:textId="77777777"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cs="Calibri"/>
          <w:lang w:val="en-US"/>
        </w:rPr>
        <w:t>Number of internal auditors in Ministries;</w:t>
      </w:r>
    </w:p>
    <w:p w14:paraId="7B915C09"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31FC486A" w14:textId="77777777" w:rsidTr="002B77A4">
        <w:trPr>
          <w:trHeight w:val="395"/>
        </w:trPr>
        <w:tc>
          <w:tcPr>
            <w:tcW w:w="4608" w:type="dxa"/>
            <w:shd w:val="clear" w:color="auto" w:fill="E8E8E8"/>
          </w:tcPr>
          <w:p w14:paraId="1284BCB5"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094833EA"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6B0EBCB5" w14:textId="77777777" w:rsidTr="002B77A4">
        <w:trPr>
          <w:trHeight w:val="278"/>
        </w:trPr>
        <w:tc>
          <w:tcPr>
            <w:tcW w:w="4608" w:type="dxa"/>
            <w:shd w:val="clear" w:color="auto" w:fill="E8E8E8"/>
          </w:tcPr>
          <w:p w14:paraId="3672CB06"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33</w:t>
            </w:r>
          </w:p>
        </w:tc>
        <w:tc>
          <w:tcPr>
            <w:tcW w:w="4608" w:type="dxa"/>
            <w:shd w:val="clear" w:color="auto" w:fill="E8E8E8"/>
          </w:tcPr>
          <w:p w14:paraId="6CE367B7"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70</w:t>
            </w:r>
          </w:p>
        </w:tc>
      </w:tr>
    </w:tbl>
    <w:p w14:paraId="2F6A54E1"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1D470F96" w14:textId="77777777"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eastAsia="MS PGothic" w:cs="Calibri"/>
          <w:lang w:val="en-US" w:eastAsia="zh-CN"/>
        </w:rPr>
        <w:t>Percentage of implemented recommendations given during quality checks;</w:t>
      </w:r>
    </w:p>
    <w:p w14:paraId="4A2DAAC9"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6B482B01" w14:textId="77777777" w:rsidTr="002B77A4">
        <w:trPr>
          <w:trHeight w:val="395"/>
        </w:trPr>
        <w:tc>
          <w:tcPr>
            <w:tcW w:w="4608" w:type="dxa"/>
            <w:shd w:val="clear" w:color="auto" w:fill="E8E8E8"/>
          </w:tcPr>
          <w:p w14:paraId="54FDAAD3"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228F3746"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398D5471" w14:textId="77777777" w:rsidTr="002B77A4">
        <w:trPr>
          <w:trHeight w:val="278"/>
        </w:trPr>
        <w:tc>
          <w:tcPr>
            <w:tcW w:w="4608" w:type="dxa"/>
            <w:shd w:val="clear" w:color="auto" w:fill="E8E8E8"/>
          </w:tcPr>
          <w:p w14:paraId="4AA6B681"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0</w:t>
            </w:r>
          </w:p>
        </w:tc>
        <w:tc>
          <w:tcPr>
            <w:tcW w:w="4608" w:type="dxa"/>
            <w:shd w:val="clear" w:color="auto" w:fill="E8E8E8"/>
          </w:tcPr>
          <w:p w14:paraId="78B4577D"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80</w:t>
            </w:r>
          </w:p>
        </w:tc>
      </w:tr>
    </w:tbl>
    <w:p w14:paraId="7DED3A9B"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10EE380F" w14:textId="5F9EE438"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eastAsia="MS PGothic" w:cs="Calibri"/>
          <w:lang w:val="en-US" w:eastAsia="zh-CN"/>
        </w:rPr>
        <w:t xml:space="preserve">Percentage of </w:t>
      </w:r>
      <w:r w:rsidR="0036711D" w:rsidRPr="008C761D">
        <w:rPr>
          <w:rFonts w:eastAsia="MS PGothic" w:cs="Calibri"/>
          <w:lang w:val="en-US" w:eastAsia="zh-CN"/>
        </w:rPr>
        <w:t>certificated</w:t>
      </w:r>
      <w:r w:rsidR="0036711D">
        <w:rPr>
          <w:rFonts w:eastAsia="MS PGothic" w:cs="Calibri"/>
          <w:lang w:val="en-US" w:eastAsia="zh-CN"/>
        </w:rPr>
        <w:t xml:space="preserve"> </w:t>
      </w:r>
      <w:r w:rsidRPr="008C761D">
        <w:rPr>
          <w:rFonts w:eastAsia="MS PGothic" w:cs="Calibri"/>
          <w:lang w:val="en-US" w:eastAsia="zh-CN"/>
        </w:rPr>
        <w:t>internal auditors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62BF5E95" w14:textId="77777777" w:rsidTr="002B77A4">
        <w:trPr>
          <w:trHeight w:val="395"/>
        </w:trPr>
        <w:tc>
          <w:tcPr>
            <w:tcW w:w="4608" w:type="dxa"/>
            <w:shd w:val="clear" w:color="auto" w:fill="E8E8E8"/>
          </w:tcPr>
          <w:p w14:paraId="1DE952B8"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B172A52"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64FD8CAF" w14:textId="77777777" w:rsidTr="002B77A4">
        <w:trPr>
          <w:trHeight w:val="278"/>
        </w:trPr>
        <w:tc>
          <w:tcPr>
            <w:tcW w:w="4608" w:type="dxa"/>
            <w:shd w:val="clear" w:color="auto" w:fill="E8E8E8"/>
          </w:tcPr>
          <w:p w14:paraId="629C6F51"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30</w:t>
            </w:r>
          </w:p>
        </w:tc>
        <w:tc>
          <w:tcPr>
            <w:tcW w:w="4608" w:type="dxa"/>
            <w:shd w:val="clear" w:color="auto" w:fill="E8E8E8"/>
          </w:tcPr>
          <w:p w14:paraId="26675390"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80</w:t>
            </w:r>
          </w:p>
        </w:tc>
      </w:tr>
    </w:tbl>
    <w:p w14:paraId="6E0AF973"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3610B5DA" w14:textId="77777777"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cs="Calibri"/>
          <w:lang w:val="en-US"/>
        </w:rPr>
        <w:t>Percentage of implemented recommendations</w:t>
      </w:r>
    </w:p>
    <w:p w14:paraId="3A1D3673"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4EE0779A" w14:textId="77777777" w:rsidTr="002B77A4">
        <w:trPr>
          <w:trHeight w:val="395"/>
        </w:trPr>
        <w:tc>
          <w:tcPr>
            <w:tcW w:w="4608" w:type="dxa"/>
            <w:shd w:val="clear" w:color="auto" w:fill="E8E8E8"/>
          </w:tcPr>
          <w:p w14:paraId="0DBEB3D8"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680625AE"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2F670F00" w14:textId="77777777" w:rsidTr="002B77A4">
        <w:trPr>
          <w:trHeight w:val="278"/>
        </w:trPr>
        <w:tc>
          <w:tcPr>
            <w:tcW w:w="4608" w:type="dxa"/>
            <w:shd w:val="clear" w:color="auto" w:fill="E8E8E8"/>
          </w:tcPr>
          <w:p w14:paraId="14591E4C"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64</w:t>
            </w:r>
          </w:p>
        </w:tc>
        <w:tc>
          <w:tcPr>
            <w:tcW w:w="4608" w:type="dxa"/>
            <w:shd w:val="clear" w:color="auto" w:fill="E8E8E8"/>
          </w:tcPr>
          <w:p w14:paraId="39EC0ACC"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80</w:t>
            </w:r>
          </w:p>
        </w:tc>
      </w:tr>
    </w:tbl>
    <w:p w14:paraId="1FB73324"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5231B223" w14:textId="77777777"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cs="Calibri"/>
          <w:lang w:val="en-US"/>
        </w:rPr>
        <w:t>Number of performance audits preformed</w:t>
      </w:r>
      <w:r w:rsidRPr="008C761D">
        <w:rPr>
          <w:rFonts w:eastAsia="MS PGothic" w:cs="Calibri"/>
          <w:lang w:val="en-US" w:eastAsia="zh-CN"/>
        </w:rPr>
        <w:t>;</w:t>
      </w:r>
    </w:p>
    <w:p w14:paraId="578BBC2F"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269A5724" w14:textId="77777777" w:rsidTr="002B77A4">
        <w:trPr>
          <w:trHeight w:val="395"/>
        </w:trPr>
        <w:tc>
          <w:tcPr>
            <w:tcW w:w="4608" w:type="dxa"/>
            <w:shd w:val="clear" w:color="auto" w:fill="E8E8E8"/>
          </w:tcPr>
          <w:p w14:paraId="26BF3E41"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1C3FBAA"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246E9AFC" w14:textId="77777777" w:rsidTr="002B77A4">
        <w:trPr>
          <w:trHeight w:val="278"/>
        </w:trPr>
        <w:tc>
          <w:tcPr>
            <w:tcW w:w="4608" w:type="dxa"/>
            <w:shd w:val="clear" w:color="auto" w:fill="E8E8E8"/>
          </w:tcPr>
          <w:p w14:paraId="0A0DC444"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w:t>
            </w:r>
          </w:p>
        </w:tc>
        <w:tc>
          <w:tcPr>
            <w:tcW w:w="4608" w:type="dxa"/>
            <w:shd w:val="clear" w:color="auto" w:fill="E8E8E8"/>
          </w:tcPr>
          <w:p w14:paraId="4D2F236B"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16</w:t>
            </w:r>
          </w:p>
        </w:tc>
      </w:tr>
    </w:tbl>
    <w:p w14:paraId="423C8A97"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279DA2EA" w14:textId="77777777" w:rsidR="00AD58AF" w:rsidRPr="008C761D" w:rsidRDefault="00AD58AF" w:rsidP="003A338C">
      <w:pPr>
        <w:numPr>
          <w:ilvl w:val="0"/>
          <w:numId w:val="19"/>
        </w:numPr>
        <w:tabs>
          <w:tab w:val="left" w:pos="851"/>
        </w:tabs>
        <w:spacing w:after="0" w:line="240" w:lineRule="auto"/>
        <w:ind w:left="1276" w:hanging="426"/>
        <w:jc w:val="both"/>
        <w:rPr>
          <w:rFonts w:eastAsia="MS PGothic" w:cs="Calibri"/>
          <w:lang w:val="en-US" w:eastAsia="zh-CN"/>
        </w:rPr>
      </w:pPr>
      <w:r w:rsidRPr="008C761D">
        <w:rPr>
          <w:rFonts w:cs="Calibri"/>
          <w:lang w:val="en-US"/>
        </w:rPr>
        <w:t>Number of IT audits performed</w:t>
      </w:r>
      <w:r w:rsidRPr="008C761D">
        <w:rPr>
          <w:rFonts w:eastAsia="MS PGothic" w:cs="Calibri"/>
          <w:lang w:val="en-US" w:eastAsia="zh-CN"/>
        </w:rPr>
        <w:t>.</w:t>
      </w:r>
    </w:p>
    <w:p w14:paraId="657FBF9A"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2772ADB9" w14:textId="77777777" w:rsidTr="002B77A4">
        <w:trPr>
          <w:trHeight w:val="395"/>
        </w:trPr>
        <w:tc>
          <w:tcPr>
            <w:tcW w:w="4608" w:type="dxa"/>
            <w:shd w:val="clear" w:color="auto" w:fill="E8E8E8"/>
          </w:tcPr>
          <w:p w14:paraId="70E6538E"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4F205BE8"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719A56E6" w14:textId="77777777" w:rsidTr="002B77A4">
        <w:trPr>
          <w:trHeight w:val="278"/>
        </w:trPr>
        <w:tc>
          <w:tcPr>
            <w:tcW w:w="4608" w:type="dxa"/>
            <w:shd w:val="clear" w:color="auto" w:fill="E8E8E8"/>
          </w:tcPr>
          <w:p w14:paraId="757F4EE5"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w:t>
            </w:r>
          </w:p>
        </w:tc>
        <w:tc>
          <w:tcPr>
            <w:tcW w:w="4608" w:type="dxa"/>
            <w:shd w:val="clear" w:color="auto" w:fill="E8E8E8"/>
          </w:tcPr>
          <w:p w14:paraId="3002AC57"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11</w:t>
            </w:r>
          </w:p>
        </w:tc>
      </w:tr>
    </w:tbl>
    <w:p w14:paraId="4904B8D4" w14:textId="77777777" w:rsidR="00460ED3" w:rsidRPr="008C761D" w:rsidRDefault="00460ED3" w:rsidP="00460ED3">
      <w:pPr>
        <w:tabs>
          <w:tab w:val="left" w:pos="851"/>
        </w:tabs>
        <w:spacing w:after="0" w:line="240" w:lineRule="auto"/>
        <w:ind w:left="1276"/>
        <w:jc w:val="both"/>
        <w:rPr>
          <w:rFonts w:eastAsia="MS PGothic" w:cs="Calibri"/>
          <w:lang w:val="en-US" w:eastAsia="zh-CN"/>
        </w:rPr>
      </w:pPr>
    </w:p>
    <w:p w14:paraId="55337FD8" w14:textId="77777777" w:rsidR="007733B2" w:rsidRPr="008C761D" w:rsidRDefault="007733B2" w:rsidP="00E84CD0">
      <w:pPr>
        <w:spacing w:after="0" w:line="240" w:lineRule="auto"/>
        <w:ind w:firstLine="720"/>
        <w:jc w:val="both"/>
        <w:rPr>
          <w:rFonts w:eastAsia="MS PGothic" w:cs="Calibri"/>
          <w:color w:val="FF0000"/>
          <w:lang w:val="en-US" w:eastAsia="zh-CN"/>
        </w:rPr>
      </w:pPr>
    </w:p>
    <w:p w14:paraId="33BC71B6" w14:textId="77777777" w:rsidR="007733B2" w:rsidRPr="008C761D" w:rsidRDefault="007733B2" w:rsidP="00E84CD0">
      <w:pPr>
        <w:spacing w:after="0" w:line="240" w:lineRule="auto"/>
        <w:ind w:firstLine="720"/>
        <w:jc w:val="both"/>
        <w:rPr>
          <w:rFonts w:eastAsia="MS PGothic" w:cs="Calibri"/>
          <w:color w:val="FF0000"/>
          <w:lang w:val="en-US" w:eastAsia="zh-CN"/>
        </w:rPr>
      </w:pPr>
    </w:p>
    <w:p w14:paraId="5F6330B3" w14:textId="2053F065" w:rsidR="007733B2" w:rsidRPr="002E4AA9" w:rsidRDefault="007733B2" w:rsidP="00E84CD0">
      <w:pPr>
        <w:spacing w:line="240" w:lineRule="auto"/>
        <w:jc w:val="both"/>
        <w:rPr>
          <w:rFonts w:cs="Calibri"/>
          <w:b/>
          <w:bCs/>
          <w:iCs/>
          <w:color w:val="0070C0"/>
          <w:sz w:val="24"/>
          <w:szCs w:val="24"/>
          <w:lang w:val="en-US"/>
        </w:rPr>
      </w:pPr>
      <w:r w:rsidRPr="002E4AA9">
        <w:rPr>
          <w:rFonts w:cs="Calibri"/>
          <w:b/>
          <w:bCs/>
          <w:iCs/>
          <w:color w:val="0070C0"/>
          <w:sz w:val="24"/>
          <w:szCs w:val="24"/>
          <w:lang w:val="en-US"/>
        </w:rPr>
        <w:t>Measure 1:</w:t>
      </w:r>
      <w:r w:rsidR="002E4AA9">
        <w:rPr>
          <w:rFonts w:cs="Calibri"/>
          <w:b/>
          <w:bCs/>
          <w:iCs/>
          <w:color w:val="0070C0"/>
          <w:sz w:val="24"/>
          <w:szCs w:val="24"/>
        </w:rPr>
        <w:t xml:space="preserve"> </w:t>
      </w:r>
      <w:r w:rsidRPr="002E4AA9">
        <w:rPr>
          <w:rFonts w:cs="Calibri"/>
          <w:b/>
          <w:bCs/>
          <w:iCs/>
          <w:color w:val="0070C0"/>
          <w:sz w:val="24"/>
          <w:szCs w:val="24"/>
          <w:lang w:val="en-US"/>
        </w:rPr>
        <w:t>Strengthening</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the</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quality</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of</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work</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of</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the</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internal</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audit</w:t>
      </w:r>
      <w:r w:rsidR="00322E91" w:rsidRPr="002E4AA9">
        <w:rPr>
          <w:rFonts w:cs="Calibri"/>
          <w:b/>
          <w:bCs/>
          <w:iCs/>
          <w:color w:val="0070C0"/>
          <w:sz w:val="24"/>
          <w:szCs w:val="24"/>
          <w:lang w:val="en-US"/>
        </w:rPr>
        <w:t xml:space="preserve"> </w:t>
      </w:r>
      <w:r w:rsidRPr="002E4AA9">
        <w:rPr>
          <w:rFonts w:cs="Calibri"/>
          <w:b/>
          <w:bCs/>
          <w:iCs/>
          <w:color w:val="0070C0"/>
          <w:sz w:val="24"/>
          <w:szCs w:val="24"/>
          <w:lang w:val="en-US"/>
        </w:rPr>
        <w:t>units</w:t>
      </w:r>
      <w:r w:rsidR="00FD69EE" w:rsidRPr="002E4AA9">
        <w:rPr>
          <w:rFonts w:cs="Calibri"/>
          <w:b/>
          <w:bCs/>
          <w:iCs/>
          <w:color w:val="0070C0"/>
          <w:sz w:val="24"/>
          <w:szCs w:val="24"/>
          <w:lang w:val="en-US"/>
        </w:rPr>
        <w:t xml:space="preserve"> </w:t>
      </w:r>
      <w:r w:rsidRPr="002E4AA9">
        <w:rPr>
          <w:rFonts w:cs="Calibri"/>
          <w:b/>
          <w:bCs/>
          <w:iCs/>
          <w:color w:val="0070C0"/>
          <w:sz w:val="24"/>
          <w:szCs w:val="24"/>
          <w:lang w:val="en-US"/>
        </w:rPr>
        <w:t>at</w:t>
      </w:r>
      <w:r w:rsidR="00FD69EE" w:rsidRPr="002E4AA9">
        <w:rPr>
          <w:rFonts w:cs="Calibri"/>
          <w:b/>
          <w:bCs/>
          <w:iCs/>
          <w:color w:val="0070C0"/>
          <w:sz w:val="24"/>
          <w:szCs w:val="24"/>
          <w:lang w:val="en-US"/>
        </w:rPr>
        <w:t xml:space="preserve"> </w:t>
      </w:r>
      <w:r w:rsidRPr="002E4AA9">
        <w:rPr>
          <w:rFonts w:cs="Calibri"/>
          <w:b/>
          <w:bCs/>
          <w:iCs/>
          <w:color w:val="0070C0"/>
          <w:sz w:val="24"/>
          <w:szCs w:val="24"/>
          <w:lang w:val="en-US"/>
        </w:rPr>
        <w:t>the</w:t>
      </w:r>
      <w:r w:rsidR="00FD69EE" w:rsidRPr="002E4AA9">
        <w:rPr>
          <w:rFonts w:cs="Calibri"/>
          <w:b/>
          <w:bCs/>
          <w:iCs/>
          <w:color w:val="0070C0"/>
          <w:sz w:val="24"/>
          <w:szCs w:val="24"/>
          <w:lang w:val="en-US"/>
        </w:rPr>
        <w:t xml:space="preserve"> </w:t>
      </w:r>
      <w:r w:rsidRPr="002E4AA9">
        <w:rPr>
          <w:rFonts w:cs="Calibri"/>
          <w:b/>
          <w:bCs/>
          <w:iCs/>
          <w:color w:val="0070C0"/>
          <w:sz w:val="24"/>
          <w:szCs w:val="24"/>
          <w:lang w:val="en-US"/>
        </w:rPr>
        <w:t>Ministries</w:t>
      </w:r>
    </w:p>
    <w:p w14:paraId="7B503E35"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506F68C5" w14:textId="77777777" w:rsidR="007733B2" w:rsidRPr="008C761D" w:rsidRDefault="007733B2" w:rsidP="00E84CD0">
      <w:pPr>
        <w:spacing w:before="80" w:after="80" w:line="240" w:lineRule="auto"/>
        <w:jc w:val="both"/>
        <w:rPr>
          <w:rFonts w:eastAsia="MS PGothic" w:cs="Calibri"/>
          <w:lang w:val="en-US" w:eastAsia="zh-CN"/>
        </w:rPr>
      </w:pPr>
      <w:r w:rsidRPr="008C761D">
        <w:rPr>
          <w:rFonts w:eastAsia="MS PGothic" w:cs="Calibri"/>
          <w:lang w:val="en-US" w:eastAsia="zh-CN"/>
        </w:rPr>
        <w:t>Strengthening the quality of work of the internal audit units at the Ministries for the purpose of supporting the performance of their new tasks and duties as parent budget users.</w:t>
      </w:r>
    </w:p>
    <w:p w14:paraId="5D132E99"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7733B2" w:rsidRPr="008C761D" w14:paraId="35AC5419" w14:textId="77777777" w:rsidTr="008E06E4">
        <w:tc>
          <w:tcPr>
            <w:tcW w:w="1240" w:type="dxa"/>
            <w:shd w:val="clear" w:color="auto" w:fill="DDDDDD"/>
          </w:tcPr>
          <w:p w14:paraId="43EF860A"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t>PEFA 2021:</w:t>
            </w:r>
          </w:p>
        </w:tc>
        <w:tc>
          <w:tcPr>
            <w:tcW w:w="7832" w:type="dxa"/>
            <w:shd w:val="clear" w:color="auto" w:fill="DDDDDD"/>
          </w:tcPr>
          <w:p w14:paraId="56F5FB08" w14:textId="1292AC7D" w:rsidR="007733B2" w:rsidRPr="008C761D" w:rsidRDefault="007733B2" w:rsidP="00E84CD0">
            <w:pPr>
              <w:spacing w:line="240" w:lineRule="auto"/>
              <w:jc w:val="both"/>
              <w:rPr>
                <w:rFonts w:cs="Calibri"/>
                <w:sz w:val="20"/>
                <w:szCs w:val="20"/>
                <w:lang w:val="en-US"/>
              </w:rPr>
            </w:pPr>
            <w:r w:rsidRPr="008C761D">
              <w:rPr>
                <w:rFonts w:cs="Calibri"/>
                <w:sz w:val="20"/>
                <w:szCs w:val="20"/>
                <w:lang w:val="en-US"/>
              </w:rPr>
              <w:t xml:space="preserve">MoF CHU reported 91 established internal audit units, staffed with over 130 internal auditors as of May 2021, for all public sector institutions at the central government </w:t>
            </w:r>
            <w:r w:rsidR="0036711D" w:rsidRPr="008C761D">
              <w:rPr>
                <w:rFonts w:cs="Calibri"/>
                <w:sz w:val="20"/>
                <w:szCs w:val="20"/>
                <w:lang w:val="en-US"/>
              </w:rPr>
              <w:t>level. Excluding</w:t>
            </w:r>
            <w:r w:rsidRPr="008C761D">
              <w:rPr>
                <w:rFonts w:cs="Calibri"/>
                <w:sz w:val="20"/>
                <w:szCs w:val="20"/>
                <w:lang w:val="en-US"/>
              </w:rPr>
              <w:t xml:space="preserve"> PEs and EBUs from the totals, there are 13 internal audit units (IAU) which are covering 91.75 percent and 91.61 percent of CG revenue and expenditure, respectively, within the assessment </w:t>
            </w:r>
            <w:r w:rsidR="0036711D" w:rsidRPr="008C761D">
              <w:rPr>
                <w:rFonts w:cs="Calibri"/>
                <w:sz w:val="20"/>
                <w:szCs w:val="20"/>
                <w:lang w:val="en-US"/>
              </w:rPr>
              <w:t>scope. Under</w:t>
            </w:r>
            <w:r w:rsidRPr="008C761D">
              <w:rPr>
                <w:rFonts w:cs="Calibri"/>
                <w:sz w:val="20"/>
                <w:szCs w:val="20"/>
                <w:lang w:val="en-US"/>
              </w:rPr>
              <w:t xml:space="preserve"> the Law on PIFC in force at the time of the assessment, internal audit can be established as IAU (at least two internal auditors) and Internal Audit Department (IAD, at least five internal auditors), depending primarily on the average size of the budget in the past three years.</w:t>
            </w:r>
            <w:r w:rsidR="0036711D">
              <w:rPr>
                <w:rFonts w:cs="Calibri"/>
                <w:sz w:val="20"/>
                <w:szCs w:val="20"/>
                <w:lang w:val="en-US"/>
              </w:rPr>
              <w:t xml:space="preserve"> </w:t>
            </w:r>
            <w:r w:rsidRPr="008C761D">
              <w:rPr>
                <w:rFonts w:cs="Calibri"/>
                <w:sz w:val="20"/>
                <w:szCs w:val="20"/>
                <w:lang w:val="en-US"/>
              </w:rPr>
              <w:t>Institutions mandated to establish the IA function include all the CG ministries and SSFs.</w:t>
            </w:r>
            <w:r w:rsidR="0036711D">
              <w:rPr>
                <w:rFonts w:cs="Calibri"/>
                <w:sz w:val="20"/>
                <w:szCs w:val="20"/>
                <w:lang w:val="en-US"/>
              </w:rPr>
              <w:t xml:space="preserve"> </w:t>
            </w:r>
            <w:r w:rsidRPr="008C761D">
              <w:rPr>
                <w:rFonts w:cs="Calibri"/>
                <w:sz w:val="20"/>
                <w:szCs w:val="20"/>
                <w:lang w:val="en-US"/>
              </w:rPr>
              <w:t>Other institutions are required to establish the function, provided their average budgets in the last three years exceeded the threshold of Denar 50 million.</w:t>
            </w:r>
          </w:p>
        </w:tc>
      </w:tr>
      <w:tr w:rsidR="007733B2" w:rsidRPr="008C761D" w14:paraId="0E57594C" w14:textId="77777777" w:rsidTr="008E06E4">
        <w:tc>
          <w:tcPr>
            <w:tcW w:w="1240" w:type="dxa"/>
            <w:shd w:val="clear" w:color="auto" w:fill="DDDDDD"/>
          </w:tcPr>
          <w:p w14:paraId="2F231607"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t>SIGMA 2021:</w:t>
            </w:r>
          </w:p>
        </w:tc>
        <w:tc>
          <w:tcPr>
            <w:tcW w:w="7832" w:type="dxa"/>
            <w:shd w:val="clear" w:color="auto" w:fill="DDDDDD"/>
          </w:tcPr>
          <w:p w14:paraId="7010E74D" w14:textId="5972EFBA"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 xml:space="preserve">The annual PIFC reports provide comprehensive information on organisational capacity and numbers of reports and </w:t>
            </w:r>
            <w:r w:rsidR="0036711D" w:rsidRPr="008C761D">
              <w:rPr>
                <w:rFonts w:cs="Calibri"/>
                <w:sz w:val="20"/>
                <w:szCs w:val="20"/>
                <w:lang w:val="en-US"/>
              </w:rPr>
              <w:t>recommendations. It</w:t>
            </w:r>
            <w:r w:rsidRPr="008C761D">
              <w:rPr>
                <w:rFonts w:cs="Calibri"/>
                <w:sz w:val="20"/>
                <w:szCs w:val="20"/>
                <w:lang w:val="en-US"/>
              </w:rPr>
              <w:t xml:space="preserve"> does not report on the quality of IA as assessed through quality assurance measures because a formal system for quality assurance is lacking at CHU level.</w:t>
            </w:r>
            <w:r w:rsidR="0036711D">
              <w:rPr>
                <w:rFonts w:cs="Calibri"/>
                <w:sz w:val="20"/>
                <w:szCs w:val="20"/>
                <w:lang w:val="en-US"/>
              </w:rPr>
              <w:t xml:space="preserve"> </w:t>
            </w:r>
            <w:r w:rsidRPr="008C761D">
              <w:rPr>
                <w:rFonts w:cs="Calibri"/>
                <w:sz w:val="20"/>
                <w:szCs w:val="20"/>
                <w:lang w:val="en-US"/>
              </w:rPr>
              <w:t>CHU plans to develop an adequate quality assurance methodology and train the staff and afterwards proceed with “pilot” quality assurance measures.</w:t>
            </w:r>
            <w:r w:rsidR="0036711D">
              <w:rPr>
                <w:rFonts w:cs="Calibri"/>
                <w:sz w:val="20"/>
                <w:szCs w:val="20"/>
                <w:lang w:val="en-US"/>
              </w:rPr>
              <w:t xml:space="preserve"> </w:t>
            </w:r>
            <w:r w:rsidRPr="008C761D">
              <w:rPr>
                <w:rFonts w:cs="Calibri"/>
                <w:sz w:val="20"/>
                <w:szCs w:val="20"/>
                <w:lang w:val="en-US"/>
              </w:rPr>
              <w:t>The implementation will be challenging if the problems of fragmented organisation and understaffing are not first addressed.</w:t>
            </w:r>
          </w:p>
          <w:p w14:paraId="5386703B" w14:textId="235788DF"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In terms of the operational framework required to implement IA, laws and regulations are consistent with the international standards and specify appropriate operational arrangements.</w:t>
            </w:r>
            <w:r w:rsidR="0036711D">
              <w:rPr>
                <w:rFonts w:cs="Calibri"/>
                <w:sz w:val="20"/>
                <w:szCs w:val="20"/>
                <w:lang w:val="en-US"/>
              </w:rPr>
              <w:t xml:space="preserve"> </w:t>
            </w:r>
            <w:r w:rsidRPr="008C761D">
              <w:rPr>
                <w:rFonts w:cs="Calibri"/>
                <w:sz w:val="20"/>
                <w:szCs w:val="20"/>
                <w:lang w:val="en-US"/>
              </w:rPr>
              <w:t>However, the staffing of the IA function does not meet minimum requirements, and basic quality assurance arrangements for IA are not yet in place.</w:t>
            </w:r>
            <w:r w:rsidR="0036711D">
              <w:rPr>
                <w:rFonts w:cs="Calibri"/>
                <w:sz w:val="20"/>
                <w:szCs w:val="20"/>
                <w:lang w:val="en-US"/>
              </w:rPr>
              <w:t xml:space="preserve"> </w:t>
            </w:r>
            <w:r w:rsidRPr="008C761D">
              <w:rPr>
                <w:rFonts w:cs="Calibri"/>
                <w:sz w:val="20"/>
                <w:szCs w:val="20"/>
                <w:lang w:val="en-US"/>
              </w:rPr>
              <w:t>The decision to lower legal requirements on the size of IA units may prove to jeopardise the sustainability of IA systems.</w:t>
            </w:r>
          </w:p>
          <w:p w14:paraId="678C59A1" w14:textId="6C1E6ED5"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 xml:space="preserve">The small average size of IA units, combined with understaffing and low qualifications, has an impact on the quality of the audit </w:t>
            </w:r>
            <w:r w:rsidR="0036711D" w:rsidRPr="008C761D">
              <w:rPr>
                <w:rFonts w:cs="Calibri"/>
                <w:sz w:val="20"/>
                <w:szCs w:val="20"/>
                <w:lang w:val="en-US"/>
              </w:rPr>
              <w:t>activities. Although</w:t>
            </w:r>
            <w:r w:rsidRPr="008C761D">
              <w:rPr>
                <w:rFonts w:cs="Calibri"/>
                <w:sz w:val="20"/>
                <w:szCs w:val="20"/>
                <w:lang w:val="en-US"/>
              </w:rPr>
              <w:t xml:space="preserve"> 70% of IA units prepare strategic and annual audit plans based on a risk assessment, these plans generally lack ambition and fail to address high-risk and complex </w:t>
            </w:r>
            <w:r w:rsidR="0036711D" w:rsidRPr="008C761D">
              <w:rPr>
                <w:rFonts w:cs="Calibri"/>
                <w:sz w:val="20"/>
                <w:szCs w:val="20"/>
                <w:lang w:val="en-US"/>
              </w:rPr>
              <w:t>issues. Audit</w:t>
            </w:r>
            <w:r w:rsidRPr="008C761D">
              <w:rPr>
                <w:rFonts w:cs="Calibri"/>
                <w:sz w:val="20"/>
                <w:szCs w:val="20"/>
                <w:lang w:val="en-US"/>
              </w:rPr>
              <w:t xml:space="preserve"> reports, although demonstrating a credible link between evidence and conclusions, are generally focused on compliance issues with a narrow scope.</w:t>
            </w:r>
          </w:p>
        </w:tc>
      </w:tr>
      <w:tr w:rsidR="00A935E3" w:rsidRPr="008C761D" w14:paraId="5CBD1335" w14:textId="77777777" w:rsidTr="008E06E4">
        <w:tc>
          <w:tcPr>
            <w:tcW w:w="1240" w:type="dxa"/>
            <w:shd w:val="clear" w:color="auto" w:fill="DDDDDD"/>
          </w:tcPr>
          <w:p w14:paraId="480969FD" w14:textId="77777777" w:rsidR="00A935E3" w:rsidRPr="002E4AA9" w:rsidRDefault="00A935E3" w:rsidP="00E84CD0">
            <w:pPr>
              <w:spacing w:before="80" w:after="0" w:line="240" w:lineRule="auto"/>
              <w:jc w:val="both"/>
              <w:rPr>
                <w:rFonts w:cs="Calibri"/>
                <w:b/>
                <w:sz w:val="20"/>
                <w:szCs w:val="20"/>
                <w:lang w:val="en-US"/>
              </w:rPr>
            </w:pPr>
            <w:r w:rsidRPr="002E4AA9">
              <w:rPr>
                <w:rFonts w:cs="Calibri"/>
                <w:b/>
                <w:sz w:val="20"/>
                <w:szCs w:val="20"/>
                <w:lang w:val="en-US"/>
              </w:rPr>
              <w:t>EU:</w:t>
            </w:r>
          </w:p>
        </w:tc>
        <w:tc>
          <w:tcPr>
            <w:tcW w:w="7832" w:type="dxa"/>
            <w:shd w:val="clear" w:color="auto" w:fill="DDDDDD"/>
          </w:tcPr>
          <w:p w14:paraId="2C33DD49" w14:textId="77777777" w:rsidR="00A935E3" w:rsidRPr="008C761D" w:rsidRDefault="00A935E3" w:rsidP="00E84CD0">
            <w:pPr>
              <w:spacing w:line="240" w:lineRule="auto"/>
              <w:jc w:val="both"/>
              <w:rPr>
                <w:rFonts w:cs="Calibri"/>
                <w:sz w:val="20"/>
                <w:szCs w:val="20"/>
                <w:lang w:val="en-US"/>
              </w:rPr>
            </w:pPr>
            <w:r w:rsidRPr="008C761D">
              <w:rPr>
                <w:rFonts w:cs="Calibri"/>
                <w:sz w:val="20"/>
                <w:szCs w:val="20"/>
                <w:lang w:val="en-US"/>
              </w:rPr>
              <w:t xml:space="preserve">North Macedonia should adopt the new Public Internal Financial Controls (PIFC) Law. The draft Law contains improvements to strengthen the internal audit function and establishes </w:t>
            </w:r>
            <w:r w:rsidRPr="008C761D">
              <w:rPr>
                <w:rFonts w:cs="Calibri"/>
                <w:sz w:val="20"/>
                <w:szCs w:val="20"/>
                <w:lang w:val="en-US"/>
              </w:rPr>
              <w:lastRenderedPageBreak/>
              <w:t>the responsibility for implementing and monitoring the implementation of internal audit recommendations. North Macedonia needs to review the structure of Internal Audit Units (IAUs) in line with the Law to avoid fragmentation and scattered capacity of these units. The fragmentation and the small size of IAUs remain a challenge to carry out efficiently internal audit functions. The country should reduce the number of IAUs and increase their capacity to carry out their mandate, including carrying out performance and IT audits. The quality of work of the IAUs at the Ministries needs to be strengthened for the purpose of supporting the performance of their new tasks and duties as parent budget users. North Macedonia needs to develop a system for certification of Internal Auditors and improve the ability to carry out performance and IT audits. A national certification system for internal auditors is foreseen in the draft PIFC Law (still in parliamentary procedure). It is also recommended to establish a network of institutions’ IAUs in coordination with CHU, to exchange experience and good practices. Under this activity, IAUs should be access to the newly established web platform “Network of Institutions’ Financial Affairs Units” in coordination with CHU. With regard to anti-corruption, PIFC institutions and the SAO should strengthen cooperation with Anti-Corruption/Law enforcement institutions. The system to monitor the number of cases investigated, prosecuted and subject to court resolutions because of cases reported by internal audits units or inspection is only partially effective. Coordination between internal control bodies (Internal Audit and Financial Inspection) and the State Audit Office and anti-corruption bodies is lacking. The mechanism to report suspected cases to the State Commission for Prevention of Corruption or Public Prosecution is not clear.</w:t>
            </w:r>
          </w:p>
        </w:tc>
      </w:tr>
    </w:tbl>
    <w:p w14:paraId="5C96C25A"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Context/Background</w:t>
      </w:r>
    </w:p>
    <w:p w14:paraId="1EAAD854" w14:textId="57347B5A" w:rsidR="007733B2" w:rsidRPr="008C761D" w:rsidRDefault="007733B2" w:rsidP="0036711D">
      <w:pPr>
        <w:spacing w:before="80" w:after="80" w:line="240" w:lineRule="auto"/>
        <w:jc w:val="both"/>
        <w:rPr>
          <w:rFonts w:eastAsia="MS PGothic" w:cs="Calibri"/>
          <w:lang w:val="en-US" w:eastAsia="zh-CN"/>
        </w:rPr>
      </w:pPr>
      <w:r w:rsidRPr="008C761D">
        <w:rPr>
          <w:rFonts w:eastAsia="MS PGothic" w:cs="Calibri"/>
          <w:lang w:val="en-US" w:eastAsia="zh-CN"/>
        </w:rPr>
        <w:t xml:space="preserve">Out of a total of 16 ministries, IA Units in </w:t>
      </w:r>
      <w:r w:rsidR="00A935E3" w:rsidRPr="008C761D">
        <w:rPr>
          <w:rFonts w:eastAsia="MS PGothic" w:cs="Calibri"/>
          <w:lang w:val="en-US" w:eastAsia="zh-CN"/>
        </w:rPr>
        <w:t>2</w:t>
      </w:r>
      <w:r w:rsidRPr="008C761D">
        <w:rPr>
          <w:rFonts w:eastAsia="MS PGothic" w:cs="Calibri"/>
          <w:lang w:val="en-US" w:eastAsia="zh-CN"/>
        </w:rPr>
        <w:t xml:space="preserve"> Ministries are not staffed, IA Units in </w:t>
      </w:r>
      <w:r w:rsidR="00A935E3" w:rsidRPr="008C761D">
        <w:rPr>
          <w:rFonts w:eastAsia="MS PGothic" w:cs="Calibri"/>
          <w:lang w:val="en-US" w:eastAsia="zh-CN"/>
        </w:rPr>
        <w:t>7</w:t>
      </w:r>
      <w:r w:rsidRPr="008C761D">
        <w:rPr>
          <w:rFonts w:eastAsia="MS PGothic" w:cs="Calibri"/>
          <w:lang w:val="en-US" w:eastAsia="zh-CN"/>
        </w:rPr>
        <w:t xml:space="preserve"> ministries </w:t>
      </w:r>
      <w:r w:rsidR="0036711D" w:rsidRPr="008C761D">
        <w:rPr>
          <w:rFonts w:eastAsia="MS PGothic" w:cs="Calibri"/>
          <w:lang w:val="en-US" w:eastAsia="zh-CN"/>
        </w:rPr>
        <w:t>employee</w:t>
      </w:r>
      <w:r w:rsidRPr="008C761D">
        <w:rPr>
          <w:rFonts w:eastAsia="MS PGothic" w:cs="Calibri"/>
          <w:lang w:val="en-US" w:eastAsia="zh-CN"/>
        </w:rPr>
        <w:t xml:space="preserve"> only </w:t>
      </w:r>
      <w:r w:rsidR="00A935E3" w:rsidRPr="008C761D">
        <w:rPr>
          <w:rFonts w:eastAsia="MS PGothic" w:cs="Calibri"/>
          <w:lang w:val="en-US" w:eastAsia="zh-CN"/>
        </w:rPr>
        <w:t>one</w:t>
      </w:r>
      <w:r w:rsidRPr="008C761D">
        <w:rPr>
          <w:rFonts w:eastAsia="MS PGothic" w:cs="Calibri"/>
          <w:lang w:val="en-US" w:eastAsia="zh-CN"/>
        </w:rPr>
        <w:t xml:space="preserve"> person each, and </w:t>
      </w:r>
      <w:r w:rsidR="00A935E3" w:rsidRPr="008C761D">
        <w:rPr>
          <w:rFonts w:eastAsia="MS PGothic" w:cs="Calibri"/>
          <w:lang w:val="en-US" w:eastAsia="zh-CN"/>
        </w:rPr>
        <w:t>I</w:t>
      </w:r>
      <w:r w:rsidRPr="008C761D">
        <w:rPr>
          <w:rFonts w:eastAsia="MS PGothic" w:cs="Calibri"/>
          <w:lang w:val="en-US" w:eastAsia="zh-CN"/>
        </w:rPr>
        <w:t xml:space="preserve">A Units in </w:t>
      </w:r>
      <w:r w:rsidR="00A935E3" w:rsidRPr="008C761D">
        <w:rPr>
          <w:rFonts w:eastAsia="MS PGothic" w:cs="Calibri"/>
          <w:lang w:val="en-US" w:eastAsia="zh-CN"/>
        </w:rPr>
        <w:t>8</w:t>
      </w:r>
      <w:r w:rsidRPr="008C761D">
        <w:rPr>
          <w:rFonts w:eastAsia="MS PGothic" w:cs="Calibri"/>
          <w:lang w:val="en-US" w:eastAsia="zh-CN"/>
        </w:rPr>
        <w:t xml:space="preserve"> ministries have no heads of the respective </w:t>
      </w:r>
      <w:r w:rsidR="0036711D" w:rsidRPr="008C761D">
        <w:rPr>
          <w:rFonts w:eastAsia="MS PGothic" w:cs="Calibri"/>
          <w:lang w:val="en-US" w:eastAsia="zh-CN"/>
        </w:rPr>
        <w:t>Units. IA</w:t>
      </w:r>
      <w:r w:rsidRPr="008C761D">
        <w:rPr>
          <w:rFonts w:eastAsia="MS PGothic" w:cs="Calibri"/>
          <w:lang w:val="en-US" w:eastAsia="zh-CN"/>
        </w:rPr>
        <w:t xml:space="preserve"> Units are organized as </w:t>
      </w:r>
      <w:r w:rsidR="00A935E3" w:rsidRPr="008C761D">
        <w:rPr>
          <w:rFonts w:eastAsia="MS PGothic" w:cs="Calibri"/>
          <w:lang w:val="en-US" w:eastAsia="zh-CN"/>
        </w:rPr>
        <w:t>units</w:t>
      </w:r>
      <w:r w:rsidRPr="008C761D">
        <w:rPr>
          <w:rFonts w:eastAsia="MS PGothic" w:cs="Calibri"/>
          <w:lang w:val="en-US" w:eastAsia="zh-CN"/>
        </w:rPr>
        <w:t xml:space="preserve"> in 13 </w:t>
      </w:r>
      <w:r w:rsidR="0036711D" w:rsidRPr="008C761D">
        <w:rPr>
          <w:rFonts w:eastAsia="MS PGothic" w:cs="Calibri"/>
          <w:lang w:val="en-US" w:eastAsia="zh-CN"/>
        </w:rPr>
        <w:t>ministries. Having</w:t>
      </w:r>
      <w:r w:rsidRPr="008C761D">
        <w:rPr>
          <w:rFonts w:eastAsia="MS PGothic" w:cs="Calibri"/>
          <w:lang w:val="en-US" w:eastAsia="zh-CN"/>
        </w:rPr>
        <w:t xml:space="preserve"> in mind that under the new</w:t>
      </w:r>
      <w:r w:rsidR="00A935E3" w:rsidRPr="008C761D">
        <w:rPr>
          <w:rFonts w:eastAsia="MS PGothic" w:cs="Calibri"/>
          <w:lang w:val="en-US" w:eastAsia="zh-CN"/>
        </w:rPr>
        <w:t xml:space="preserve"> </w:t>
      </w:r>
      <w:r w:rsidR="0036711D" w:rsidRPr="008C761D">
        <w:rPr>
          <w:rFonts w:eastAsia="MS PGothic" w:cs="Calibri"/>
          <w:lang w:val="en-US" w:eastAsia="zh-CN"/>
        </w:rPr>
        <w:t>Draft</w:t>
      </w:r>
      <w:r w:rsidR="0036711D" w:rsidRPr="008C761D">
        <w:rPr>
          <w:rFonts w:eastAsia="Times New Roman" w:cs="Calibri"/>
          <w:color w:val="202124"/>
          <w:lang w:val="en-US"/>
        </w:rPr>
        <w:t xml:space="preserve"> Law</w:t>
      </w:r>
      <w:r w:rsidRPr="008C761D">
        <w:rPr>
          <w:rFonts w:eastAsia="Times New Roman" w:cs="Calibri"/>
          <w:color w:val="202124"/>
          <w:lang w:val="en-US"/>
        </w:rPr>
        <w:t xml:space="preserve"> on Public Internal Financial Control System</w:t>
      </w:r>
      <w:r w:rsidRPr="008C761D">
        <w:rPr>
          <w:rFonts w:eastAsia="MS PGothic" w:cs="Calibri"/>
          <w:lang w:val="en-US" w:eastAsia="zh-CN"/>
        </w:rPr>
        <w:t>, the ministries will be assigned the role of parent budget users which are to conduct internal audit in their administrative bodies, second-line budget users and public enterprises and state-owned joint stock companies falling within their competence, it is necessary to undertake urgent measures for reorganization of IA Units and their staffing.</w:t>
      </w:r>
    </w:p>
    <w:p w14:paraId="1B39DBFE" w14:textId="2CD31AA4" w:rsidR="00A935E3" w:rsidRPr="008C761D" w:rsidRDefault="00A935E3" w:rsidP="0036711D">
      <w:pPr>
        <w:spacing w:before="80" w:after="80" w:line="240" w:lineRule="auto"/>
        <w:jc w:val="both"/>
        <w:rPr>
          <w:rFonts w:eastAsia="MS PGothic" w:cs="Calibri"/>
          <w:lang w:val="en-US" w:eastAsia="zh-CN"/>
        </w:rPr>
      </w:pPr>
      <w:r w:rsidRPr="008C761D">
        <w:rPr>
          <w:rFonts w:eastAsia="MS PGothic" w:cs="Calibri"/>
          <w:lang w:val="en-US" w:eastAsia="zh-CN"/>
        </w:rPr>
        <w:t xml:space="preserve">Lack of continuous professional development of internal auditors in the </w:t>
      </w:r>
      <w:r w:rsidR="0036711D" w:rsidRPr="008C761D">
        <w:rPr>
          <w:rFonts w:eastAsia="MS PGothic" w:cs="Calibri"/>
          <w:lang w:val="en-US" w:eastAsia="zh-CN"/>
        </w:rPr>
        <w:t>furthermore</w:t>
      </w:r>
      <w:r w:rsidRPr="008C761D">
        <w:rPr>
          <w:rFonts w:eastAsia="MS PGothic" w:cs="Calibri"/>
          <w:lang w:val="en-US" w:eastAsia="zh-CN"/>
        </w:rPr>
        <w:t xml:space="preserve"> will be </w:t>
      </w:r>
      <w:r w:rsidR="0036711D" w:rsidRPr="008C761D">
        <w:rPr>
          <w:rFonts w:eastAsia="MS PGothic" w:cs="Calibri"/>
          <w:lang w:val="en-US" w:eastAsia="zh-CN"/>
        </w:rPr>
        <w:t>ensured</w:t>
      </w:r>
      <w:r w:rsidRPr="008C761D">
        <w:rPr>
          <w:rFonts w:eastAsia="MS PGothic" w:cs="Calibri"/>
          <w:lang w:val="en-US" w:eastAsia="zh-CN"/>
        </w:rPr>
        <w:t xml:space="preserve"> by the Public </w:t>
      </w:r>
      <w:r w:rsidR="0036711D" w:rsidRPr="008C761D">
        <w:rPr>
          <w:rFonts w:eastAsia="MS PGothic" w:cs="Calibri"/>
          <w:lang w:val="en-US" w:eastAsia="zh-CN"/>
        </w:rPr>
        <w:t>Finance</w:t>
      </w:r>
      <w:r w:rsidRPr="008C761D">
        <w:rPr>
          <w:rFonts w:eastAsia="MS PGothic" w:cs="Calibri"/>
          <w:lang w:val="en-US" w:eastAsia="zh-CN"/>
        </w:rPr>
        <w:t xml:space="preserve"> Academy. </w:t>
      </w:r>
    </w:p>
    <w:p w14:paraId="15B97212" w14:textId="77777777" w:rsidR="00A935E3" w:rsidRPr="008C761D" w:rsidRDefault="00A935E3" w:rsidP="00A935E3">
      <w:pPr>
        <w:keepNext/>
        <w:keepLines/>
        <w:spacing w:before="160" w:after="60" w:line="240" w:lineRule="auto"/>
        <w:jc w:val="both"/>
        <w:outlineLvl w:val="3"/>
        <w:rPr>
          <w:rFonts w:eastAsia="MS PGothic" w:cs="Calibri"/>
          <w:lang w:val="en-US" w:eastAsia="zh-CN"/>
        </w:rPr>
      </w:pPr>
      <w:r w:rsidRPr="008C761D">
        <w:rPr>
          <w:rFonts w:eastAsia="MS PGothic" w:cs="Calibri"/>
          <w:lang w:val="en-US" w:eastAsia="zh-CN"/>
        </w:rPr>
        <w:lastRenderedPageBreak/>
        <w:t>In order to strengthen IA Units, it is required to conduct more agile quality checks of their work, for the purpose of which the Central Harmonization Unit will prepare adequate methodological tools and establish a web network for institutional cooperation and exchange of experience to be coordinated by CHU.</w:t>
      </w:r>
    </w:p>
    <w:p w14:paraId="0659EB5E" w14:textId="7AE3ECF3" w:rsidR="007733B2" w:rsidRPr="002E4AA9" w:rsidRDefault="007733B2" w:rsidP="00E84CD0">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Activity 1:</w:t>
      </w:r>
      <w:r w:rsidR="00A70273" w:rsidRPr="002E4AA9">
        <w:rPr>
          <w:rFonts w:eastAsia="MS PGothic" w:cs="Calibri"/>
          <w:b/>
          <w:bCs/>
          <w:iCs/>
          <w:color w:val="0070C0"/>
          <w:lang w:val="en-US" w:eastAsia="zh-CN"/>
        </w:rPr>
        <w:t xml:space="preserve"> </w:t>
      </w:r>
      <w:r w:rsidR="00A935E3" w:rsidRPr="002E4AA9">
        <w:rPr>
          <w:rFonts w:eastAsia="MS PGothic" w:cs="Calibri"/>
          <w:b/>
          <w:bCs/>
          <w:iCs/>
          <w:color w:val="0070C0"/>
          <w:lang w:val="en-US" w:eastAsia="zh-CN"/>
        </w:rPr>
        <w:t>Improving of Human Resources capacities of Internal Audit Units in the Ministries through adequate staffing and Continuous Professional Development at the internal auditors</w:t>
      </w:r>
    </w:p>
    <w:p w14:paraId="42A72BEC" w14:textId="77777777" w:rsidR="00A935E3" w:rsidRPr="008C761D" w:rsidRDefault="00A935E3" w:rsidP="00A935E3">
      <w:pPr>
        <w:keepNext/>
        <w:keepLines/>
        <w:spacing w:before="160" w:after="60" w:line="240" w:lineRule="auto"/>
        <w:jc w:val="both"/>
        <w:outlineLvl w:val="3"/>
        <w:rPr>
          <w:rFonts w:eastAsia="MS PGothic" w:cs="Calibri"/>
          <w:lang w:val="en-US" w:eastAsia="zh-CN"/>
        </w:rPr>
      </w:pPr>
      <w:r w:rsidRPr="008C761D">
        <w:rPr>
          <w:rFonts w:eastAsia="MS PGothic" w:cs="Calibri"/>
          <w:lang w:val="en-US" w:eastAsia="zh-CN"/>
        </w:rPr>
        <w:t>With this activity, it is necessary to ensure the gradual staffing/re-equipment of the internal audit units in the ministries.</w:t>
      </w:r>
    </w:p>
    <w:p w14:paraId="224CCE1C" w14:textId="77777777" w:rsidR="00A935E3" w:rsidRPr="008C761D" w:rsidRDefault="00A935E3" w:rsidP="00A935E3">
      <w:pPr>
        <w:keepNext/>
        <w:keepLines/>
        <w:spacing w:before="160" w:after="60" w:line="240" w:lineRule="auto"/>
        <w:jc w:val="both"/>
        <w:outlineLvl w:val="3"/>
        <w:rPr>
          <w:rFonts w:eastAsia="MS PGothic" w:cs="Calibri"/>
          <w:lang w:val="en-US" w:eastAsia="zh-CN"/>
        </w:rPr>
      </w:pPr>
      <w:r w:rsidRPr="008C761D">
        <w:rPr>
          <w:rFonts w:eastAsia="MS PGothic" w:cs="Calibri"/>
          <w:lang w:val="en-US" w:eastAsia="zh-CN"/>
        </w:rPr>
        <w:t>CHU, through the Public Finance Academy, will provide training for internal auditors, and after the adoption of the draft Law on PIFC, it will start organizing an exam for the certification of internal auditors.</w:t>
      </w:r>
    </w:p>
    <w:p w14:paraId="778BC5AF" w14:textId="4E52CC7A" w:rsidR="007733B2" w:rsidRPr="002E4AA9" w:rsidRDefault="007733B2" w:rsidP="00E84CD0">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 xml:space="preserve">Activity </w:t>
      </w:r>
      <w:r w:rsidR="00A935E3" w:rsidRPr="002E4AA9">
        <w:rPr>
          <w:rFonts w:eastAsia="MS PGothic" w:cs="Calibri"/>
          <w:b/>
          <w:bCs/>
          <w:iCs/>
          <w:color w:val="0070C0"/>
          <w:lang w:val="en-US" w:eastAsia="zh-CN"/>
        </w:rPr>
        <w:t>2</w:t>
      </w:r>
      <w:r w:rsidRPr="002E4AA9">
        <w:rPr>
          <w:rFonts w:eastAsia="MS PGothic" w:cs="Calibri"/>
          <w:b/>
          <w:bCs/>
          <w:iCs/>
          <w:color w:val="0070C0"/>
          <w:lang w:val="en-US" w:eastAsia="zh-CN"/>
        </w:rPr>
        <w:t>:</w:t>
      </w:r>
      <w:r w:rsidR="00A70273" w:rsidRPr="002E4AA9">
        <w:rPr>
          <w:rFonts w:eastAsia="MS PGothic" w:cs="Calibri"/>
          <w:b/>
          <w:bCs/>
          <w:iCs/>
          <w:color w:val="0070C0"/>
          <w:lang w:val="en-US" w:eastAsia="zh-CN"/>
        </w:rPr>
        <w:t xml:space="preserve"> </w:t>
      </w:r>
      <w:r w:rsidR="00A935E3" w:rsidRPr="002E4AA9">
        <w:rPr>
          <w:rFonts w:eastAsia="MS PGothic" w:cs="Calibri"/>
          <w:b/>
          <w:bCs/>
          <w:iCs/>
          <w:color w:val="0070C0"/>
          <w:lang w:val="en-US" w:eastAsia="zh-CN"/>
        </w:rPr>
        <w:t>Strengthen the capacity of the CHU to monitor and report on the quality of operations of the internal audit units</w:t>
      </w:r>
    </w:p>
    <w:p w14:paraId="482BCFA6" w14:textId="77777777" w:rsidR="00A935E3" w:rsidRPr="008C761D" w:rsidRDefault="00A935E3" w:rsidP="00A935E3">
      <w:pPr>
        <w:keepNext/>
        <w:keepLines/>
        <w:spacing w:before="160" w:after="60" w:line="240" w:lineRule="auto"/>
        <w:jc w:val="both"/>
        <w:outlineLvl w:val="3"/>
        <w:rPr>
          <w:rFonts w:cs="Calibri"/>
          <w:lang w:val="en-US"/>
        </w:rPr>
      </w:pPr>
      <w:r w:rsidRPr="008C761D">
        <w:rPr>
          <w:rFonts w:cs="Calibri"/>
          <w:lang w:val="en-US"/>
        </w:rPr>
        <w:t>Capacity of CHU to check the quality of operations of the internal audit units will be strengthened by adequate staffing and training.</w:t>
      </w:r>
    </w:p>
    <w:p w14:paraId="53C9DD8F" w14:textId="0D1C6564" w:rsidR="00A935E3" w:rsidRPr="008C761D" w:rsidRDefault="00A935E3" w:rsidP="00A935E3">
      <w:pPr>
        <w:keepNext/>
        <w:keepLines/>
        <w:spacing w:before="160" w:after="60" w:line="240" w:lineRule="auto"/>
        <w:jc w:val="both"/>
        <w:outlineLvl w:val="3"/>
        <w:rPr>
          <w:rFonts w:cs="Calibri"/>
          <w:lang w:val="en-US"/>
        </w:rPr>
      </w:pPr>
      <w:r w:rsidRPr="008C761D">
        <w:rPr>
          <w:rFonts w:cs="Calibri"/>
          <w:lang w:val="en-US"/>
        </w:rPr>
        <w:t xml:space="preserve">Public Internal Financial Control, is a separate module in IFMIS, this will </w:t>
      </w:r>
      <w:r w:rsidR="00F3340A" w:rsidRPr="008C761D">
        <w:rPr>
          <w:rFonts w:cs="Calibri"/>
          <w:lang w:val="en-US"/>
        </w:rPr>
        <w:t>provide</w:t>
      </w:r>
      <w:r w:rsidRPr="008C761D">
        <w:rPr>
          <w:rFonts w:cs="Calibri"/>
          <w:lang w:val="en-US"/>
        </w:rPr>
        <w:t xml:space="preserve"> comprehensiveness and accuracy in the reporting by the parent budget users, budget users and publicly owned enterprises will be ensured. This activity will be in generally contribute to raising awareness for internal audit and strengthening </w:t>
      </w:r>
      <w:r w:rsidR="00F3340A" w:rsidRPr="008C761D">
        <w:rPr>
          <w:rFonts w:cs="Calibri"/>
          <w:lang w:val="en-US"/>
        </w:rPr>
        <w:t>managerial</w:t>
      </w:r>
      <w:r w:rsidRPr="008C761D">
        <w:rPr>
          <w:rFonts w:cs="Calibri"/>
          <w:lang w:val="en-US"/>
        </w:rPr>
        <w:t xml:space="preserve"> accountability.</w:t>
      </w:r>
    </w:p>
    <w:p w14:paraId="02459104" w14:textId="42C86990" w:rsidR="007733B2" w:rsidRPr="002E4AA9" w:rsidRDefault="007733B2" w:rsidP="00E84CD0">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 xml:space="preserve">Activity </w:t>
      </w:r>
      <w:r w:rsidR="00A935E3" w:rsidRPr="002E4AA9">
        <w:rPr>
          <w:rFonts w:eastAsia="MS PGothic" w:cs="Calibri"/>
          <w:b/>
          <w:bCs/>
          <w:iCs/>
          <w:color w:val="0070C0"/>
          <w:lang w:val="en-US" w:eastAsia="zh-CN"/>
        </w:rPr>
        <w:t>3</w:t>
      </w:r>
      <w:r w:rsidRPr="002E4AA9">
        <w:rPr>
          <w:rFonts w:eastAsia="MS PGothic" w:cs="Calibri"/>
          <w:b/>
          <w:bCs/>
          <w:iCs/>
          <w:color w:val="0070C0"/>
          <w:lang w:val="en-US" w:eastAsia="zh-CN"/>
        </w:rPr>
        <w:t>:</w:t>
      </w:r>
      <w:r w:rsidR="00A70273" w:rsidRPr="002E4AA9">
        <w:rPr>
          <w:rFonts w:eastAsia="MS PGothic" w:cs="Calibri"/>
          <w:b/>
          <w:bCs/>
          <w:iCs/>
          <w:color w:val="0070C0"/>
          <w:lang w:val="en-US" w:eastAsia="zh-CN"/>
        </w:rPr>
        <w:t xml:space="preserve"> </w:t>
      </w:r>
      <w:r w:rsidRPr="002E4AA9">
        <w:rPr>
          <w:rFonts w:eastAsia="MS PGothic" w:cs="Calibri"/>
          <w:b/>
          <w:bCs/>
          <w:iCs/>
          <w:color w:val="0070C0"/>
          <w:lang w:val="en-US" w:eastAsia="zh-CN"/>
        </w:rPr>
        <w:t xml:space="preserve">Establishment of a network of institutions internal audit units in coordination with the CHU, for exchange of experience and best practices </w:t>
      </w:r>
    </w:p>
    <w:p w14:paraId="41D906AB" w14:textId="77777777" w:rsidR="007733B2" w:rsidRPr="008C761D" w:rsidRDefault="007733B2" w:rsidP="00E84CD0">
      <w:pPr>
        <w:spacing w:before="80" w:after="80" w:line="240" w:lineRule="auto"/>
        <w:jc w:val="both"/>
        <w:rPr>
          <w:rFonts w:eastAsia="MS PGothic" w:cs="Calibri"/>
          <w:lang w:val="en-US" w:eastAsia="zh-CN"/>
        </w:rPr>
      </w:pPr>
      <w:r w:rsidRPr="008C761D">
        <w:rPr>
          <w:rFonts w:eastAsia="Times New Roman" w:cs="Calibri"/>
          <w:color w:val="202124"/>
          <w:lang w:val="en-US"/>
        </w:rPr>
        <w:t>Under this activity, IA units will be provided access to the newly established web platform “Network of Institutions’ Financial Affairs Units” in coordination with the CHU in order to ensure cooperation and exchange of experience.</w:t>
      </w:r>
    </w:p>
    <w:p w14:paraId="3DE19B26"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59071D2A" w14:textId="77777777" w:rsidTr="00BA5E44">
        <w:tc>
          <w:tcPr>
            <w:tcW w:w="2518" w:type="dxa"/>
            <w:tcBorders>
              <w:top w:val="nil"/>
              <w:bottom w:val="single" w:sz="4" w:space="0" w:color="FFFFFF"/>
            </w:tcBorders>
            <w:shd w:val="clear" w:color="auto" w:fill="2F5496"/>
          </w:tcPr>
          <w:p w14:paraId="1309E729" w14:textId="77777777" w:rsidR="007733B2" w:rsidRPr="008C761D" w:rsidRDefault="007733B2"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7DF5C803" w14:textId="77777777" w:rsidR="007733B2" w:rsidRPr="008C761D" w:rsidRDefault="007733B2" w:rsidP="00DE7D8F">
            <w:pPr>
              <w:spacing w:after="0" w:line="240" w:lineRule="auto"/>
              <w:ind w:left="273"/>
              <w:jc w:val="both"/>
              <w:rPr>
                <w:rFonts w:cs="Calibri"/>
                <w:sz w:val="20"/>
                <w:szCs w:val="20"/>
                <w:lang w:val="en-US"/>
              </w:rPr>
            </w:pPr>
            <w:r w:rsidRPr="008C761D">
              <w:rPr>
                <w:rFonts w:cs="Calibri"/>
                <w:sz w:val="20"/>
                <w:szCs w:val="20"/>
                <w:lang w:val="en-US"/>
              </w:rPr>
              <w:t>202</w:t>
            </w:r>
            <w:r w:rsidR="00A935E3" w:rsidRPr="008C761D">
              <w:rPr>
                <w:rFonts w:cs="Calibri"/>
                <w:sz w:val="20"/>
                <w:szCs w:val="20"/>
                <w:lang w:val="en-US"/>
              </w:rPr>
              <w:t>7</w:t>
            </w:r>
          </w:p>
        </w:tc>
      </w:tr>
      <w:tr w:rsidR="007733B2" w:rsidRPr="008C761D" w14:paraId="475EBEB5" w14:textId="77777777" w:rsidTr="00BA5E44">
        <w:tc>
          <w:tcPr>
            <w:tcW w:w="2518" w:type="dxa"/>
            <w:tcBorders>
              <w:top w:val="single" w:sz="4" w:space="0" w:color="FFFFFF"/>
              <w:bottom w:val="single" w:sz="4" w:space="0" w:color="FFFFFF"/>
            </w:tcBorders>
            <w:shd w:val="clear" w:color="auto" w:fill="2F5496"/>
          </w:tcPr>
          <w:p w14:paraId="00F6BAB0" w14:textId="77777777" w:rsidR="007733B2" w:rsidRPr="008C761D" w:rsidRDefault="007733B2"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1464B108" w14:textId="77777777" w:rsidR="00A935E3" w:rsidRPr="008C761D" w:rsidRDefault="00A935E3" w:rsidP="002E4AA9">
            <w:pPr>
              <w:numPr>
                <w:ilvl w:val="0"/>
                <w:numId w:val="73"/>
              </w:numPr>
              <w:tabs>
                <w:tab w:val="left" w:pos="183"/>
              </w:tabs>
              <w:spacing w:after="0" w:line="240" w:lineRule="auto"/>
              <w:ind w:left="273" w:hanging="270"/>
              <w:jc w:val="both"/>
              <w:rPr>
                <w:rFonts w:eastAsia="MS PGothic" w:cs="Calibri"/>
                <w:sz w:val="20"/>
                <w:szCs w:val="20"/>
                <w:lang w:val="en-US" w:eastAsia="zh-CN"/>
              </w:rPr>
            </w:pPr>
            <w:r w:rsidRPr="008C761D">
              <w:rPr>
                <w:rFonts w:eastAsia="MS PGothic" w:cs="Calibri"/>
                <w:sz w:val="20"/>
                <w:szCs w:val="20"/>
                <w:lang w:val="en-US" w:eastAsia="zh-CN"/>
              </w:rPr>
              <w:t>Organized trainings for internal auditors</w:t>
            </w:r>
          </w:p>
          <w:p w14:paraId="75E83122" w14:textId="77777777" w:rsidR="00A935E3" w:rsidRPr="008C761D" w:rsidRDefault="00A935E3" w:rsidP="002E4AA9">
            <w:pPr>
              <w:numPr>
                <w:ilvl w:val="0"/>
                <w:numId w:val="73"/>
              </w:numPr>
              <w:tabs>
                <w:tab w:val="left" w:pos="183"/>
              </w:tabs>
              <w:spacing w:after="0" w:line="240" w:lineRule="auto"/>
              <w:ind w:left="273" w:hanging="270"/>
              <w:jc w:val="both"/>
              <w:rPr>
                <w:rFonts w:eastAsia="MS PGothic" w:cs="Calibri"/>
                <w:sz w:val="20"/>
                <w:szCs w:val="20"/>
                <w:lang w:val="en-US" w:eastAsia="zh-CN"/>
              </w:rPr>
            </w:pPr>
            <w:r w:rsidRPr="008C761D">
              <w:rPr>
                <w:rFonts w:eastAsia="MS PGothic" w:cs="Calibri"/>
                <w:sz w:val="20"/>
                <w:szCs w:val="20"/>
                <w:lang w:val="en-US" w:eastAsia="zh-CN"/>
              </w:rPr>
              <w:t>Organized certification of internal auditors.</w:t>
            </w:r>
          </w:p>
          <w:p w14:paraId="39E95496" w14:textId="37CC3E6D" w:rsidR="007733B2" w:rsidRPr="008C761D" w:rsidRDefault="007733B2" w:rsidP="002E4AA9">
            <w:pPr>
              <w:numPr>
                <w:ilvl w:val="0"/>
                <w:numId w:val="73"/>
              </w:numPr>
              <w:tabs>
                <w:tab w:val="left" w:pos="183"/>
              </w:tabs>
              <w:spacing w:after="0" w:line="240" w:lineRule="auto"/>
              <w:ind w:left="273" w:hanging="270"/>
              <w:jc w:val="both"/>
              <w:rPr>
                <w:rFonts w:cs="Calibri"/>
                <w:sz w:val="20"/>
                <w:szCs w:val="20"/>
                <w:lang w:val="en-US"/>
              </w:rPr>
            </w:pPr>
            <w:r w:rsidRPr="008C761D">
              <w:rPr>
                <w:rFonts w:eastAsia="MS PGothic" w:cs="Calibri"/>
                <w:sz w:val="20"/>
                <w:szCs w:val="20"/>
                <w:lang w:val="en-US" w:eastAsia="zh-CN"/>
              </w:rPr>
              <w:t>Strengthen CHU capacities;</w:t>
            </w:r>
          </w:p>
        </w:tc>
      </w:tr>
      <w:tr w:rsidR="007733B2" w:rsidRPr="008C761D" w14:paraId="3625B7EA" w14:textId="77777777" w:rsidTr="00BA5E44">
        <w:tc>
          <w:tcPr>
            <w:tcW w:w="2518" w:type="dxa"/>
            <w:tcBorders>
              <w:top w:val="single" w:sz="4" w:space="0" w:color="FFFFFF"/>
              <w:bottom w:val="single" w:sz="4" w:space="0" w:color="FFFFFF"/>
            </w:tcBorders>
            <w:shd w:val="clear" w:color="auto" w:fill="2F5496"/>
          </w:tcPr>
          <w:p w14:paraId="18C6F2C8"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235CB202" w14:textId="77777777" w:rsidR="007733B2" w:rsidRPr="008C761D" w:rsidRDefault="007733B2" w:rsidP="002E4AA9">
            <w:pPr>
              <w:numPr>
                <w:ilvl w:val="0"/>
                <w:numId w:val="73"/>
              </w:numPr>
              <w:tabs>
                <w:tab w:val="left" w:pos="183"/>
              </w:tabs>
              <w:spacing w:after="0" w:line="240" w:lineRule="auto"/>
              <w:ind w:left="273" w:hanging="270"/>
              <w:jc w:val="both"/>
              <w:rPr>
                <w:rFonts w:cs="Calibri"/>
                <w:sz w:val="20"/>
                <w:szCs w:val="20"/>
                <w:lang w:val="en-US"/>
              </w:rPr>
            </w:pPr>
            <w:r w:rsidRPr="008C761D">
              <w:rPr>
                <w:rFonts w:cs="Calibri"/>
                <w:sz w:val="20"/>
                <w:szCs w:val="20"/>
                <w:lang w:val="en-US"/>
              </w:rPr>
              <w:t xml:space="preserve">EUR </w:t>
            </w:r>
            <w:r w:rsidR="00542194" w:rsidRPr="008C761D">
              <w:rPr>
                <w:rFonts w:cs="Calibri"/>
                <w:sz w:val="20"/>
                <w:szCs w:val="20"/>
                <w:lang w:val="en-US"/>
              </w:rPr>
              <w:t>136,000</w:t>
            </w:r>
          </w:p>
        </w:tc>
      </w:tr>
      <w:tr w:rsidR="007733B2" w:rsidRPr="008C761D" w14:paraId="664B83B8" w14:textId="77777777" w:rsidTr="00BA5E44">
        <w:tc>
          <w:tcPr>
            <w:tcW w:w="2518" w:type="dxa"/>
            <w:tcBorders>
              <w:top w:val="single" w:sz="4" w:space="0" w:color="FFFFFF"/>
              <w:bottom w:val="single" w:sz="4" w:space="0" w:color="FFFFFF"/>
            </w:tcBorders>
            <w:shd w:val="clear" w:color="auto" w:fill="2F5496"/>
          </w:tcPr>
          <w:p w14:paraId="600D66E5"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7D3145B1" w14:textId="77777777" w:rsidR="007733B2" w:rsidRPr="008C761D" w:rsidRDefault="007733B2" w:rsidP="002E4AA9">
            <w:pPr>
              <w:numPr>
                <w:ilvl w:val="0"/>
                <w:numId w:val="73"/>
              </w:numPr>
              <w:tabs>
                <w:tab w:val="left" w:pos="183"/>
              </w:tabs>
              <w:spacing w:after="0" w:line="240" w:lineRule="auto"/>
              <w:ind w:left="273" w:hanging="270"/>
              <w:jc w:val="both"/>
              <w:rPr>
                <w:rFonts w:cs="Calibri"/>
                <w:sz w:val="20"/>
                <w:szCs w:val="20"/>
                <w:lang w:val="en-US"/>
              </w:rPr>
            </w:pPr>
            <w:r w:rsidRPr="008C761D">
              <w:rPr>
                <w:rFonts w:eastAsia="MS PGothic" w:cs="Calibri"/>
                <w:sz w:val="20"/>
                <w:szCs w:val="20"/>
                <w:lang w:val="en-US" w:eastAsia="zh-CN"/>
              </w:rPr>
              <w:t>Ministry of Finance - Central Harmonization Unit</w:t>
            </w:r>
          </w:p>
        </w:tc>
      </w:tr>
      <w:tr w:rsidR="007733B2" w:rsidRPr="008C761D" w14:paraId="0413DC8C" w14:textId="77777777" w:rsidTr="00BA5E44">
        <w:tc>
          <w:tcPr>
            <w:tcW w:w="2518" w:type="dxa"/>
            <w:tcBorders>
              <w:top w:val="single" w:sz="4" w:space="0" w:color="FFFFFF"/>
              <w:bottom w:val="nil"/>
            </w:tcBorders>
            <w:shd w:val="clear" w:color="auto" w:fill="2F5496"/>
          </w:tcPr>
          <w:p w14:paraId="7A0923C0"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4BAD6AE5" w14:textId="77777777" w:rsidR="007733B2" w:rsidRPr="008C761D" w:rsidRDefault="007733B2" w:rsidP="002E4AA9">
            <w:pPr>
              <w:numPr>
                <w:ilvl w:val="0"/>
                <w:numId w:val="73"/>
              </w:numPr>
              <w:tabs>
                <w:tab w:val="left" w:pos="183"/>
                <w:tab w:val="left" w:pos="453"/>
              </w:tabs>
              <w:spacing w:after="0" w:line="240" w:lineRule="auto"/>
              <w:ind w:left="273" w:hanging="270"/>
              <w:jc w:val="both"/>
              <w:rPr>
                <w:rFonts w:cs="Calibri"/>
                <w:sz w:val="20"/>
                <w:szCs w:val="20"/>
                <w:lang w:val="en-US"/>
              </w:rPr>
            </w:pPr>
            <w:r w:rsidRPr="008C761D">
              <w:rPr>
                <w:rFonts w:eastAsia="MS PGothic" w:cs="Calibri"/>
                <w:sz w:val="20"/>
                <w:szCs w:val="20"/>
                <w:lang w:val="en-US" w:eastAsia="zh-CN"/>
              </w:rPr>
              <w:t>Lack of internal auditors on the labor market;</w:t>
            </w:r>
          </w:p>
          <w:p w14:paraId="56EAADA1" w14:textId="77777777" w:rsidR="007733B2" w:rsidRPr="008C761D" w:rsidRDefault="007733B2" w:rsidP="002E4AA9">
            <w:pPr>
              <w:numPr>
                <w:ilvl w:val="0"/>
                <w:numId w:val="73"/>
              </w:numPr>
              <w:tabs>
                <w:tab w:val="left" w:pos="183"/>
              </w:tabs>
              <w:spacing w:after="0" w:line="240" w:lineRule="auto"/>
              <w:ind w:left="273" w:hanging="270"/>
              <w:jc w:val="both"/>
              <w:rPr>
                <w:rFonts w:cs="Calibri"/>
                <w:sz w:val="20"/>
                <w:szCs w:val="20"/>
                <w:lang w:val="en-US"/>
              </w:rPr>
            </w:pPr>
            <w:r w:rsidRPr="008C761D">
              <w:rPr>
                <w:rFonts w:eastAsia="MS PGothic" w:cs="Calibri"/>
                <w:sz w:val="20"/>
                <w:szCs w:val="20"/>
                <w:lang w:val="en-US" w:eastAsia="zh-CN"/>
              </w:rPr>
              <w:t>Insufficient IT technical support for web platform.</w:t>
            </w:r>
          </w:p>
        </w:tc>
      </w:tr>
    </w:tbl>
    <w:p w14:paraId="09009F49" w14:textId="77777777" w:rsidR="007733B2" w:rsidRPr="008C761D" w:rsidRDefault="007733B2" w:rsidP="00E84CD0">
      <w:pPr>
        <w:spacing w:after="0" w:line="240" w:lineRule="auto"/>
        <w:ind w:firstLine="720"/>
        <w:jc w:val="both"/>
        <w:rPr>
          <w:rFonts w:eastAsia="MS PGothic" w:cs="Calibri"/>
          <w:color w:val="FF0000"/>
          <w:lang w:val="en-US" w:eastAsia="zh-CN"/>
        </w:rPr>
      </w:pPr>
    </w:p>
    <w:p w14:paraId="77EB5E60" w14:textId="15062043" w:rsidR="007733B2" w:rsidRPr="002E4AA9" w:rsidRDefault="007733B2" w:rsidP="00E84CD0">
      <w:pPr>
        <w:spacing w:line="240" w:lineRule="auto"/>
        <w:jc w:val="both"/>
        <w:rPr>
          <w:rFonts w:eastAsia="MS PGothic" w:cs="Calibri"/>
          <w:b/>
          <w:bCs/>
          <w:i/>
          <w:iCs/>
          <w:color w:val="0070C0"/>
          <w:sz w:val="24"/>
          <w:szCs w:val="24"/>
          <w:lang w:val="en-US" w:eastAsia="zh-CN"/>
        </w:rPr>
      </w:pPr>
      <w:r w:rsidRPr="002E4AA9">
        <w:rPr>
          <w:rFonts w:cs="Calibri"/>
          <w:b/>
          <w:color w:val="0070C0"/>
          <w:sz w:val="24"/>
          <w:szCs w:val="24"/>
          <w:lang w:val="en-US"/>
        </w:rPr>
        <w:t>Measure 2:</w:t>
      </w:r>
      <w:r w:rsidR="00A70273" w:rsidRPr="002E4AA9">
        <w:rPr>
          <w:rFonts w:cs="Calibri"/>
          <w:b/>
          <w:color w:val="0070C0"/>
          <w:sz w:val="24"/>
          <w:szCs w:val="24"/>
          <w:lang w:val="en-US"/>
        </w:rPr>
        <w:t xml:space="preserve"> </w:t>
      </w:r>
      <w:r w:rsidR="00A935E3" w:rsidRPr="002E4AA9">
        <w:rPr>
          <w:rFonts w:cs="Calibri"/>
          <w:b/>
          <w:color w:val="0070C0"/>
          <w:sz w:val="24"/>
          <w:szCs w:val="24"/>
          <w:lang w:val="en-US"/>
        </w:rPr>
        <w:t>Improving the abilities to carry out performance and IT internal audits in the public sector institutions</w:t>
      </w:r>
      <w:r w:rsidRPr="002E4AA9">
        <w:rPr>
          <w:rFonts w:eastAsia="MS PGothic" w:cs="Calibri"/>
          <w:b/>
          <w:bCs/>
          <w:i/>
          <w:iCs/>
          <w:color w:val="0070C0"/>
          <w:sz w:val="24"/>
          <w:szCs w:val="24"/>
          <w:lang w:val="en-US" w:eastAsia="zh-CN"/>
        </w:rPr>
        <w:tab/>
      </w:r>
    </w:p>
    <w:p w14:paraId="1B90852F"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12521CBE" w14:textId="77777777" w:rsidR="007733B2" w:rsidRPr="008C761D" w:rsidRDefault="007733B2" w:rsidP="00E84CD0">
      <w:pPr>
        <w:spacing w:line="240" w:lineRule="auto"/>
        <w:jc w:val="both"/>
        <w:rPr>
          <w:rFonts w:cs="Calibri"/>
          <w:lang w:val="en-US"/>
        </w:rPr>
      </w:pPr>
      <w:r w:rsidRPr="008C761D">
        <w:rPr>
          <w:rFonts w:cs="Calibri"/>
          <w:lang w:val="en-US"/>
        </w:rPr>
        <w:t>Increasing the number of conducted performance audits and IT audits which will contribute to improving the work of central-level institutions.</w:t>
      </w:r>
    </w:p>
    <w:p w14:paraId="73254F21"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Reference to findings from external assessments: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407"/>
      </w:tblGrid>
      <w:tr w:rsidR="007733B2" w:rsidRPr="008C761D" w14:paraId="3DFBEAFF" w14:textId="77777777" w:rsidTr="008E06E4">
        <w:tc>
          <w:tcPr>
            <w:tcW w:w="1240" w:type="dxa"/>
            <w:shd w:val="clear" w:color="auto" w:fill="DDDDDD"/>
          </w:tcPr>
          <w:p w14:paraId="7959A856" w14:textId="77777777" w:rsidR="007733B2" w:rsidRPr="002E4AA9" w:rsidRDefault="007733B2" w:rsidP="00E84CD0">
            <w:pPr>
              <w:spacing w:before="80" w:after="0" w:line="240" w:lineRule="auto"/>
              <w:jc w:val="both"/>
              <w:rPr>
                <w:rFonts w:cs="Calibri"/>
                <w:b/>
                <w:sz w:val="20"/>
                <w:szCs w:val="20"/>
                <w:lang w:val="en-US"/>
              </w:rPr>
            </w:pPr>
            <w:r w:rsidRPr="002E4AA9">
              <w:rPr>
                <w:rFonts w:cs="Calibri"/>
                <w:b/>
                <w:sz w:val="20"/>
                <w:szCs w:val="20"/>
                <w:lang w:val="en-US"/>
              </w:rPr>
              <w:t>PEFA</w:t>
            </w:r>
          </w:p>
          <w:p w14:paraId="7F9BD51D" w14:textId="77777777" w:rsidR="007733B2" w:rsidRPr="008C761D" w:rsidRDefault="007733B2" w:rsidP="00E84CD0">
            <w:pPr>
              <w:spacing w:before="80" w:after="0" w:line="240" w:lineRule="auto"/>
              <w:jc w:val="both"/>
              <w:rPr>
                <w:rFonts w:cs="Calibri"/>
                <w:sz w:val="20"/>
                <w:szCs w:val="20"/>
                <w:lang w:val="en-US"/>
              </w:rPr>
            </w:pPr>
            <w:r w:rsidRPr="002E4AA9">
              <w:rPr>
                <w:rFonts w:cs="Calibri"/>
                <w:b/>
                <w:sz w:val="20"/>
                <w:szCs w:val="20"/>
                <w:lang w:val="en-US"/>
              </w:rPr>
              <w:t>2021</w:t>
            </w:r>
          </w:p>
        </w:tc>
        <w:tc>
          <w:tcPr>
            <w:tcW w:w="7407" w:type="dxa"/>
            <w:shd w:val="clear" w:color="auto" w:fill="DDDDDD"/>
          </w:tcPr>
          <w:p w14:paraId="184BACB4" w14:textId="6BBBB162"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t xml:space="preserve">While greater focus is to be expected on value for money in service delivery and digitization of services, there are low numbers of IT and performance audits carried out by internal </w:t>
            </w:r>
            <w:r w:rsidR="00F3340A" w:rsidRPr="008C761D">
              <w:rPr>
                <w:rFonts w:cs="Calibri"/>
                <w:sz w:val="20"/>
                <w:szCs w:val="20"/>
                <w:lang w:val="en-US"/>
              </w:rPr>
              <w:t>auditors</w:t>
            </w:r>
            <w:r w:rsidR="00F3340A" w:rsidRPr="008C761D">
              <w:rPr>
                <w:rFonts w:eastAsia="Times New Roman" w:cs="Calibri"/>
                <w:sz w:val="20"/>
                <w:szCs w:val="20"/>
                <w:lang w:val="en-US"/>
              </w:rPr>
              <w:t>.</w:t>
            </w:r>
            <w:r w:rsidR="00F3340A" w:rsidRPr="008C761D">
              <w:rPr>
                <w:rFonts w:cs="Calibri"/>
                <w:sz w:val="20"/>
                <w:szCs w:val="20"/>
                <w:lang w:val="en-US"/>
              </w:rPr>
              <w:t xml:space="preserve"> Skills</w:t>
            </w:r>
            <w:r w:rsidRPr="008C761D">
              <w:rPr>
                <w:rFonts w:cs="Calibri"/>
                <w:sz w:val="20"/>
                <w:szCs w:val="20"/>
                <w:lang w:val="en-US"/>
              </w:rPr>
              <w:t xml:space="preserve"> needed for these audits may not be available to the extent to meet the </w:t>
            </w:r>
            <w:r w:rsidR="00F3340A" w:rsidRPr="008C761D">
              <w:rPr>
                <w:rFonts w:cs="Calibri"/>
                <w:sz w:val="20"/>
                <w:szCs w:val="20"/>
                <w:lang w:val="en-US"/>
              </w:rPr>
              <w:t>demand</w:t>
            </w:r>
            <w:r w:rsidR="00F3340A" w:rsidRPr="008C761D">
              <w:rPr>
                <w:rFonts w:eastAsia="Times New Roman" w:cs="Calibri"/>
                <w:sz w:val="20"/>
                <w:szCs w:val="20"/>
                <w:lang w:val="en-US"/>
              </w:rPr>
              <w:t>.</w:t>
            </w:r>
            <w:r w:rsidR="00F3340A" w:rsidRPr="008C761D">
              <w:rPr>
                <w:rFonts w:cs="Calibri"/>
                <w:sz w:val="20"/>
                <w:szCs w:val="20"/>
                <w:lang w:val="en-US"/>
              </w:rPr>
              <w:t xml:space="preserve"> This</w:t>
            </w:r>
            <w:r w:rsidRPr="008C761D">
              <w:rPr>
                <w:rFonts w:cs="Calibri"/>
                <w:sz w:val="20"/>
                <w:szCs w:val="20"/>
                <w:lang w:val="en-US"/>
              </w:rPr>
              <w:t xml:space="preserve"> is to be exacerbated with the expected further decrease in the number of internal auditors in the public sector</w:t>
            </w:r>
            <w:r w:rsidRPr="008C761D">
              <w:rPr>
                <w:rFonts w:eastAsia="Times New Roman" w:cs="Calibri"/>
                <w:sz w:val="20"/>
                <w:szCs w:val="20"/>
                <w:lang w:val="en-US"/>
              </w:rPr>
              <w:t>.</w:t>
            </w:r>
          </w:p>
          <w:p w14:paraId="2A2D2FE9" w14:textId="16D475F7" w:rsidR="007733B2" w:rsidRPr="008C761D" w:rsidRDefault="007733B2" w:rsidP="00E84CD0">
            <w:pPr>
              <w:spacing w:line="240" w:lineRule="auto"/>
              <w:jc w:val="both"/>
              <w:rPr>
                <w:rFonts w:eastAsia="Times New Roman" w:cs="Calibri"/>
                <w:sz w:val="20"/>
                <w:szCs w:val="20"/>
                <w:lang w:val="en-US"/>
              </w:rPr>
            </w:pPr>
            <w:r w:rsidRPr="008C761D">
              <w:rPr>
                <w:rFonts w:cs="Calibri"/>
                <w:sz w:val="20"/>
                <w:szCs w:val="20"/>
                <w:lang w:val="en-US"/>
              </w:rPr>
              <w:lastRenderedPageBreak/>
              <w:t>Note that the compliance considerations (including irregularity management and funds recovery) should be increasingly tackled by the MoF FID (see above</w:t>
            </w:r>
            <w:r w:rsidRPr="008C761D">
              <w:rPr>
                <w:rFonts w:eastAsia="Times New Roman" w:cs="Calibri"/>
                <w:sz w:val="20"/>
                <w:szCs w:val="20"/>
                <w:lang w:val="en-US"/>
              </w:rPr>
              <w:t>).</w:t>
            </w:r>
            <w:r w:rsidR="00F3340A">
              <w:rPr>
                <w:rFonts w:eastAsia="Times New Roman" w:cs="Calibri"/>
                <w:sz w:val="20"/>
                <w:szCs w:val="20"/>
                <w:lang w:val="en-US"/>
              </w:rPr>
              <w:t xml:space="preserve"> </w:t>
            </w:r>
            <w:r w:rsidRPr="008C761D">
              <w:rPr>
                <w:rFonts w:eastAsia="Times New Roman" w:cs="Calibri"/>
                <w:sz w:val="20"/>
                <w:szCs w:val="20"/>
                <w:lang w:val="en-US"/>
              </w:rPr>
              <w:t>PEFA Report</w:t>
            </w:r>
          </w:p>
          <w:p w14:paraId="2293D22A" w14:textId="77777777" w:rsidR="007733B2" w:rsidRPr="008C761D" w:rsidRDefault="007733B2" w:rsidP="00E84CD0">
            <w:pPr>
              <w:spacing w:line="240" w:lineRule="auto"/>
              <w:jc w:val="both"/>
              <w:rPr>
                <w:rFonts w:eastAsia="Times New Roman" w:cs="Calibri"/>
                <w:sz w:val="20"/>
                <w:szCs w:val="20"/>
                <w:u w:val="single"/>
                <w:lang w:val="en-US"/>
              </w:rPr>
            </w:pPr>
            <w:r w:rsidRPr="008C761D">
              <w:rPr>
                <w:rFonts w:eastAsia="Times New Roman" w:cs="Calibri"/>
                <w:sz w:val="20"/>
                <w:szCs w:val="20"/>
                <w:u w:val="single"/>
                <w:lang w:val="en-US"/>
              </w:rPr>
              <w:t>Proposed Action (PEFA)</w:t>
            </w:r>
          </w:p>
          <w:p w14:paraId="1BF26AE7" w14:textId="655FA20E" w:rsidR="007733B2" w:rsidRPr="008C761D" w:rsidRDefault="007733B2" w:rsidP="00E84CD0">
            <w:pPr>
              <w:tabs>
                <w:tab w:val="left" w:pos="851"/>
              </w:tabs>
              <w:spacing w:before="120" w:line="240" w:lineRule="auto"/>
              <w:jc w:val="both"/>
              <w:rPr>
                <w:rFonts w:eastAsia="Times New Roman" w:cs="Calibri"/>
                <w:sz w:val="20"/>
                <w:szCs w:val="20"/>
                <w:lang w:val="en-US"/>
              </w:rPr>
            </w:pPr>
            <w:r w:rsidRPr="008C761D">
              <w:rPr>
                <w:rFonts w:cs="Calibri"/>
                <w:sz w:val="20"/>
                <w:szCs w:val="20"/>
                <w:lang w:val="en-US"/>
              </w:rPr>
              <w:t>Consolidate (centralize) the mandate and the capacity for advanced types of audits (performance audit and IT internal audits) at the MoF</w:t>
            </w:r>
            <w:r w:rsidRPr="008C761D">
              <w:rPr>
                <w:rFonts w:eastAsia="Times New Roman" w:cs="Calibri"/>
                <w:sz w:val="20"/>
                <w:szCs w:val="20"/>
                <w:lang w:val="en-US"/>
              </w:rPr>
              <w:t>.</w:t>
            </w:r>
            <w:r w:rsidR="00F3340A">
              <w:rPr>
                <w:rFonts w:eastAsia="Times New Roman" w:cs="Calibri"/>
                <w:sz w:val="20"/>
                <w:szCs w:val="20"/>
                <w:lang w:val="en-US"/>
              </w:rPr>
              <w:t xml:space="preserve"> </w:t>
            </w:r>
            <w:r w:rsidRPr="008C761D">
              <w:rPr>
                <w:rFonts w:cs="Calibri"/>
                <w:sz w:val="20"/>
                <w:szCs w:val="20"/>
                <w:lang w:val="en-US"/>
              </w:rPr>
              <w:t>If legislating this arrangement is not an option as the new PIFC Law is in legislative procedure, consider addressing this through updates of the Internal Audit Charters of the MoF and BCG entities</w:t>
            </w:r>
            <w:r w:rsidRPr="008C761D">
              <w:rPr>
                <w:rFonts w:eastAsia="Times New Roman" w:cs="Calibri"/>
                <w:sz w:val="20"/>
                <w:szCs w:val="20"/>
                <w:lang w:val="en-US"/>
              </w:rPr>
              <w:t>.</w:t>
            </w:r>
          </w:p>
        </w:tc>
      </w:tr>
      <w:tr w:rsidR="00A935E3" w:rsidRPr="008C761D" w14:paraId="5064F472" w14:textId="77777777" w:rsidTr="008E06E4">
        <w:tc>
          <w:tcPr>
            <w:tcW w:w="1240" w:type="dxa"/>
            <w:shd w:val="clear" w:color="auto" w:fill="DDDDDD"/>
          </w:tcPr>
          <w:p w14:paraId="047312A1" w14:textId="77777777" w:rsidR="00A935E3" w:rsidRPr="002E4AA9" w:rsidRDefault="00A935E3" w:rsidP="00E84CD0">
            <w:pPr>
              <w:spacing w:before="80" w:after="0" w:line="240" w:lineRule="auto"/>
              <w:jc w:val="both"/>
              <w:rPr>
                <w:rFonts w:cs="Calibri"/>
                <w:b/>
                <w:sz w:val="20"/>
                <w:szCs w:val="20"/>
                <w:lang w:val="en-US"/>
              </w:rPr>
            </w:pPr>
            <w:r w:rsidRPr="002E4AA9">
              <w:rPr>
                <w:rFonts w:cs="Calibri"/>
                <w:b/>
                <w:sz w:val="20"/>
                <w:szCs w:val="20"/>
                <w:lang w:val="en-US"/>
              </w:rPr>
              <w:lastRenderedPageBreak/>
              <w:t>EU:</w:t>
            </w:r>
          </w:p>
        </w:tc>
        <w:tc>
          <w:tcPr>
            <w:tcW w:w="7407" w:type="dxa"/>
            <w:shd w:val="clear" w:color="auto" w:fill="DDDDDD"/>
          </w:tcPr>
          <w:p w14:paraId="4D9E63BC" w14:textId="77777777" w:rsidR="00A935E3" w:rsidRPr="008C761D" w:rsidRDefault="00A935E3" w:rsidP="00E84CD0">
            <w:pPr>
              <w:spacing w:line="240" w:lineRule="auto"/>
              <w:jc w:val="both"/>
              <w:rPr>
                <w:rFonts w:cs="Calibri"/>
                <w:sz w:val="20"/>
                <w:szCs w:val="20"/>
                <w:lang w:val="en-US"/>
              </w:rPr>
            </w:pPr>
            <w:r w:rsidRPr="008C761D">
              <w:rPr>
                <w:rFonts w:cs="Calibri"/>
                <w:sz w:val="20"/>
                <w:szCs w:val="20"/>
                <w:lang w:val="en-US"/>
              </w:rPr>
              <w:t>North Macedonia needs to develop a system for certification of Internal Auditors and improve the ability to carry out performance and IT audits.</w:t>
            </w:r>
          </w:p>
        </w:tc>
      </w:tr>
    </w:tbl>
    <w:p w14:paraId="4C028863"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1837290A" w14:textId="06B6DB0F" w:rsidR="007733B2" w:rsidRPr="008C761D" w:rsidRDefault="007733B2" w:rsidP="00E84CD0">
      <w:pPr>
        <w:spacing w:before="80" w:after="80" w:line="240" w:lineRule="auto"/>
        <w:jc w:val="both"/>
        <w:rPr>
          <w:rFonts w:eastAsia="MS PGothic" w:cs="Calibri"/>
          <w:lang w:val="en-US" w:eastAsia="zh-CN"/>
        </w:rPr>
      </w:pPr>
      <w:r w:rsidRPr="008C761D">
        <w:rPr>
          <w:rFonts w:eastAsia="Times New Roman" w:cs="Calibri"/>
          <w:lang w:val="en-US"/>
        </w:rPr>
        <w:t>Number of processes that are partially or completely digitalized is continuously increasing in the institutions’ opertaions.</w:t>
      </w:r>
      <w:r w:rsidR="00F3340A">
        <w:rPr>
          <w:rFonts w:eastAsia="Times New Roman" w:cs="Calibri"/>
          <w:lang w:val="en-US"/>
        </w:rPr>
        <w:t xml:space="preserve"> </w:t>
      </w:r>
      <w:r w:rsidRPr="008C761D">
        <w:rPr>
          <w:rFonts w:eastAsia="Times New Roman" w:cs="Calibri"/>
          <w:lang w:val="en-US"/>
        </w:rPr>
        <w:t xml:space="preserve">In addition, number of implemented projects and programs is constantly growing, however, determining the performance of their implementation is lacking </w:t>
      </w:r>
      <w:r w:rsidR="00F3340A" w:rsidRPr="008C761D">
        <w:rPr>
          <w:rFonts w:eastAsia="Times New Roman" w:cs="Calibri"/>
          <w:lang w:val="en-US"/>
        </w:rPr>
        <w:t>actually. On</w:t>
      </w:r>
      <w:r w:rsidRPr="008C761D">
        <w:rPr>
          <w:rFonts w:eastAsia="Times New Roman" w:cs="Calibri"/>
          <w:lang w:val="en-US"/>
        </w:rPr>
        <w:t xml:space="preserve"> the other hand, number of conducted performance audits and IT audits is continuously low.</w:t>
      </w:r>
      <w:r w:rsidR="00F3340A">
        <w:rPr>
          <w:rFonts w:eastAsia="Times New Roman" w:cs="Calibri"/>
          <w:lang w:val="en-US"/>
        </w:rPr>
        <w:t xml:space="preserve"> </w:t>
      </w:r>
      <w:r w:rsidRPr="008C761D">
        <w:rPr>
          <w:rFonts w:eastAsia="Times New Roman" w:cs="Calibri"/>
          <w:lang w:val="en-US"/>
        </w:rPr>
        <w:t>Main reasons for the low number of conducted performance audits and IT audits is the insufficient training of internal auditors to conduct this type of audits, such as the low level of staffing of internal audit units.</w:t>
      </w:r>
    </w:p>
    <w:p w14:paraId="0DC8A395" w14:textId="3CBD6FD7" w:rsidR="002E4AA9" w:rsidRPr="008C761D" w:rsidRDefault="00A935E3" w:rsidP="00E84CD0">
      <w:pPr>
        <w:spacing w:before="240" w:after="80" w:line="240" w:lineRule="auto"/>
        <w:jc w:val="both"/>
        <w:rPr>
          <w:rFonts w:eastAsia="Times New Roman" w:cs="Calibri"/>
          <w:lang w:val="en-US"/>
        </w:rPr>
      </w:pPr>
      <w:r w:rsidRPr="008C761D">
        <w:rPr>
          <w:rFonts w:eastAsia="Times New Roman" w:cs="Calibri"/>
          <w:lang w:val="en-US"/>
        </w:rPr>
        <w:t>In order to increase the number of conducted performance audits and IT audits, it is necessary to Improving the abilities to carry out performance and IT internal audits in the public sector institutions</w:t>
      </w:r>
    </w:p>
    <w:p w14:paraId="53F84218" w14:textId="65385262" w:rsidR="002E4AA9" w:rsidRPr="002E4AA9" w:rsidRDefault="00542194" w:rsidP="002E4AA9">
      <w:pPr>
        <w:spacing w:before="240" w:after="80" w:line="240" w:lineRule="auto"/>
        <w:jc w:val="both"/>
        <w:rPr>
          <w:rFonts w:eastAsia="MS PGothic" w:cs="Calibri"/>
          <w:b/>
          <w:bCs/>
          <w:iCs/>
          <w:color w:val="0070C0"/>
          <w:lang w:val="en-US" w:eastAsia="zh-CN"/>
        </w:rPr>
      </w:pPr>
      <w:r w:rsidRPr="002E4AA9">
        <w:rPr>
          <w:rFonts w:eastAsia="MS PGothic" w:cs="Calibri"/>
          <w:b/>
          <w:bCs/>
          <w:iCs/>
          <w:color w:val="0070C0"/>
          <w:lang w:val="en-US" w:eastAsia="zh-CN"/>
        </w:rPr>
        <w:t>Activity 1: Preparation and promotion methodology for specific type of internal audits</w:t>
      </w:r>
    </w:p>
    <w:p w14:paraId="35241EBF" w14:textId="0EDF707D" w:rsidR="00A935E3" w:rsidRPr="008C761D" w:rsidRDefault="00A935E3" w:rsidP="00A935E3">
      <w:pPr>
        <w:keepNext/>
        <w:keepLines/>
        <w:spacing w:before="160" w:after="60" w:line="240" w:lineRule="auto"/>
        <w:jc w:val="both"/>
        <w:outlineLvl w:val="3"/>
        <w:rPr>
          <w:rFonts w:eastAsia="Times New Roman" w:cs="Calibri"/>
          <w:lang w:val="en-US"/>
        </w:rPr>
      </w:pPr>
      <w:r w:rsidRPr="008C761D">
        <w:rPr>
          <w:rFonts w:eastAsia="Times New Roman" w:cs="Calibri"/>
          <w:lang w:val="en-US"/>
        </w:rPr>
        <w:t xml:space="preserve">Central Harmonization Unit, on based on previously prepared outputs for performance internal audits in the frame of the </w:t>
      </w:r>
      <w:r w:rsidR="00F3340A" w:rsidRPr="008C761D">
        <w:rPr>
          <w:rFonts w:eastAsia="Times New Roman" w:cs="Calibri"/>
          <w:lang w:val="en-US"/>
        </w:rPr>
        <w:t>twinning</w:t>
      </w:r>
      <w:r w:rsidRPr="008C761D">
        <w:rPr>
          <w:rFonts w:eastAsia="Times New Roman" w:cs="Calibri"/>
          <w:lang w:val="en-US"/>
        </w:rPr>
        <w:t xml:space="preserve"> project will prepare practical guideline for performance internal audits in the public sector institutions.</w:t>
      </w:r>
    </w:p>
    <w:p w14:paraId="45BC6332" w14:textId="50B831F7" w:rsidR="00C84820" w:rsidRPr="008C761D" w:rsidRDefault="00C84820" w:rsidP="00A935E3">
      <w:pPr>
        <w:keepNext/>
        <w:keepLines/>
        <w:spacing w:before="160" w:after="60" w:line="240" w:lineRule="auto"/>
        <w:jc w:val="both"/>
        <w:outlineLvl w:val="3"/>
        <w:rPr>
          <w:rFonts w:eastAsia="MS PGothic" w:cs="Calibri"/>
          <w:lang w:val="en-US" w:eastAsia="zh-CN"/>
        </w:rPr>
      </w:pPr>
      <w:r w:rsidRPr="008C761D">
        <w:rPr>
          <w:rFonts w:eastAsia="MS PGothic" w:cs="Calibri"/>
          <w:lang w:val="en-US" w:eastAsia="zh-CN"/>
        </w:rPr>
        <w:t xml:space="preserve">Also, Central Harmonization Unit, on based on previously prepared outputs for performance IT internal audits in the frame of the </w:t>
      </w:r>
      <w:r w:rsidR="00F3340A" w:rsidRPr="008C761D">
        <w:rPr>
          <w:rFonts w:eastAsia="MS PGothic" w:cs="Calibri"/>
          <w:lang w:val="en-US" w:eastAsia="zh-CN"/>
        </w:rPr>
        <w:t>twinning</w:t>
      </w:r>
      <w:r w:rsidRPr="008C761D">
        <w:rPr>
          <w:rFonts w:eastAsia="MS PGothic" w:cs="Calibri"/>
          <w:lang w:val="en-US" w:eastAsia="zh-CN"/>
        </w:rPr>
        <w:t xml:space="preserve"> project will prepare practical guideline for performance internal audits in the public sector institutions.</w:t>
      </w:r>
    </w:p>
    <w:p w14:paraId="67365EE3" w14:textId="77777777" w:rsidR="00A935E3" w:rsidRPr="008C761D" w:rsidRDefault="00A935E3" w:rsidP="00A935E3">
      <w:pPr>
        <w:keepNext/>
        <w:keepLines/>
        <w:spacing w:before="160" w:after="60" w:line="240" w:lineRule="auto"/>
        <w:jc w:val="both"/>
        <w:outlineLvl w:val="3"/>
        <w:rPr>
          <w:rFonts w:eastAsia="Times New Roman" w:cs="Calibri"/>
          <w:lang w:val="en-US"/>
        </w:rPr>
      </w:pPr>
      <w:r w:rsidRPr="008C761D">
        <w:rPr>
          <w:rFonts w:eastAsia="Times New Roman" w:cs="Calibri"/>
          <w:lang w:val="en-US"/>
        </w:rPr>
        <w:t>After finalization of this guideline, Central Harmonization Unit will promote this document and support the institutions in the its implementation</w:t>
      </w:r>
    </w:p>
    <w:p w14:paraId="418E007D" w14:textId="77777777" w:rsidR="002E4AA9" w:rsidRDefault="002E4AA9" w:rsidP="00542194">
      <w:pPr>
        <w:spacing w:before="80" w:after="80" w:line="240" w:lineRule="auto"/>
        <w:jc w:val="both"/>
        <w:rPr>
          <w:rFonts w:eastAsia="MS PGothic" w:cs="Calibri"/>
          <w:b/>
          <w:bCs/>
          <w:iCs/>
          <w:color w:val="4F81BD"/>
          <w:lang w:val="en-US" w:eastAsia="zh-CN"/>
        </w:rPr>
      </w:pPr>
    </w:p>
    <w:p w14:paraId="2BE30F9F" w14:textId="28BBA3F7" w:rsidR="00542194" w:rsidRPr="008C761D" w:rsidRDefault="00542194" w:rsidP="00542194">
      <w:pPr>
        <w:spacing w:before="80" w:after="80" w:line="240" w:lineRule="auto"/>
        <w:jc w:val="both"/>
        <w:rPr>
          <w:rFonts w:eastAsia="MS PGothic" w:cs="Calibri"/>
          <w:lang w:val="en-US" w:eastAsia="zh-CN"/>
        </w:rPr>
      </w:pPr>
      <w:r w:rsidRPr="008C761D">
        <w:rPr>
          <w:rFonts w:eastAsia="MS PGothic" w:cs="Calibri"/>
          <w:b/>
          <w:bCs/>
          <w:iCs/>
          <w:color w:val="4F81BD"/>
          <w:lang w:val="en-US" w:eastAsia="zh-CN"/>
        </w:rPr>
        <w:t>Activity 2:</w:t>
      </w:r>
      <w:r w:rsidR="00A70273" w:rsidRPr="008C761D">
        <w:rPr>
          <w:rFonts w:eastAsia="MS PGothic" w:cs="Calibri"/>
          <w:b/>
          <w:bCs/>
          <w:iCs/>
          <w:color w:val="4F81BD"/>
          <w:lang w:val="en-US" w:eastAsia="zh-CN"/>
        </w:rPr>
        <w:t xml:space="preserve"> </w:t>
      </w:r>
      <w:r w:rsidRPr="008C761D">
        <w:rPr>
          <w:rFonts w:eastAsia="MS PGothic" w:cs="Calibri"/>
          <w:b/>
          <w:bCs/>
          <w:iCs/>
          <w:color w:val="4F81BD"/>
          <w:lang w:val="en-US" w:eastAsia="zh-CN"/>
        </w:rPr>
        <w:t>Analysis of the situation and determination of the need for the establishment of a Central Unit for IT internal audits in the Ministry of Finance</w:t>
      </w:r>
    </w:p>
    <w:p w14:paraId="76FF132B" w14:textId="77777777" w:rsidR="00A70273" w:rsidRPr="008C761D" w:rsidRDefault="00A70273" w:rsidP="00A70273">
      <w:pPr>
        <w:spacing w:before="80" w:after="80" w:line="240" w:lineRule="auto"/>
        <w:jc w:val="both"/>
        <w:rPr>
          <w:rFonts w:eastAsia="MS PGothic" w:cs="Calibri"/>
          <w:lang w:val="en-US" w:eastAsia="zh-CN"/>
        </w:rPr>
      </w:pPr>
      <w:r w:rsidRPr="008C761D">
        <w:rPr>
          <w:rFonts w:eastAsia="MS PGothic" w:cs="Calibri"/>
          <w:lang w:val="en-US" w:eastAsia="zh-CN"/>
        </w:rPr>
        <w:t>In 2026, the MoF Central Harmonization Unit will make an analysis of the situation and determination of the need for the establishment of a Central Unit for IT internal audits in the Ministry of Finance.</w:t>
      </w:r>
    </w:p>
    <w:p w14:paraId="6D229931" w14:textId="77777777" w:rsidR="00BC4F39" w:rsidRPr="008C761D" w:rsidRDefault="00BC4F39" w:rsidP="00A935E3">
      <w:pPr>
        <w:keepNext/>
        <w:keepLines/>
        <w:spacing w:before="160" w:after="60" w:line="240" w:lineRule="auto"/>
        <w:jc w:val="both"/>
        <w:outlineLvl w:val="3"/>
        <w:rPr>
          <w:rFonts w:eastAsia="MS PGothic" w:cs="Calibri"/>
          <w:lang w:val="en-US" w:eastAsia="zh-CN"/>
        </w:rPr>
      </w:pPr>
    </w:p>
    <w:p w14:paraId="635BD4F3" w14:textId="77777777" w:rsidR="007733B2" w:rsidRPr="008C761D" w:rsidRDefault="007733B2" w:rsidP="00A935E3">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35D0E750" w14:textId="77777777" w:rsidTr="00BA5E44">
        <w:tc>
          <w:tcPr>
            <w:tcW w:w="2518" w:type="dxa"/>
            <w:tcBorders>
              <w:top w:val="nil"/>
              <w:bottom w:val="single" w:sz="4" w:space="0" w:color="FFFFFF"/>
            </w:tcBorders>
            <w:shd w:val="clear" w:color="auto" w:fill="2F5496"/>
          </w:tcPr>
          <w:p w14:paraId="55055AB3" w14:textId="77777777" w:rsidR="007733B2" w:rsidRPr="008C761D" w:rsidRDefault="007733B2" w:rsidP="00E84CD0">
            <w:pPr>
              <w:tabs>
                <w:tab w:val="left" w:pos="1526"/>
              </w:tabs>
              <w:spacing w:after="0"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4975587F" w14:textId="77777777" w:rsidR="007733B2" w:rsidRPr="008C761D" w:rsidRDefault="003172CB" w:rsidP="003A338C">
            <w:pPr>
              <w:numPr>
                <w:ilvl w:val="0"/>
                <w:numId w:val="74"/>
              </w:numPr>
              <w:spacing w:after="0" w:line="240" w:lineRule="auto"/>
              <w:ind w:left="363"/>
              <w:jc w:val="both"/>
              <w:rPr>
                <w:rFonts w:cs="Calibri"/>
                <w:sz w:val="20"/>
                <w:szCs w:val="20"/>
                <w:lang w:val="en-US"/>
              </w:rPr>
            </w:pPr>
            <w:r w:rsidRPr="008C761D">
              <w:rPr>
                <w:rFonts w:cs="Calibri"/>
                <w:sz w:val="20"/>
                <w:szCs w:val="20"/>
                <w:lang w:val="en-US"/>
              </w:rPr>
              <w:t>202</w:t>
            </w:r>
            <w:r w:rsidR="00BC4F39" w:rsidRPr="008C761D">
              <w:rPr>
                <w:rFonts w:cs="Calibri"/>
                <w:sz w:val="20"/>
                <w:szCs w:val="20"/>
                <w:lang w:val="en-US"/>
              </w:rPr>
              <w:t>7</w:t>
            </w:r>
          </w:p>
        </w:tc>
      </w:tr>
      <w:tr w:rsidR="007733B2" w:rsidRPr="008C761D" w14:paraId="0A124168" w14:textId="77777777" w:rsidTr="00BA5E44">
        <w:tc>
          <w:tcPr>
            <w:tcW w:w="2518" w:type="dxa"/>
            <w:tcBorders>
              <w:top w:val="single" w:sz="4" w:space="0" w:color="FFFFFF"/>
              <w:bottom w:val="single" w:sz="4" w:space="0" w:color="FFFFFF"/>
            </w:tcBorders>
            <w:shd w:val="clear" w:color="auto" w:fill="2F5496"/>
          </w:tcPr>
          <w:p w14:paraId="2A46C679" w14:textId="77777777" w:rsidR="007733B2" w:rsidRPr="008C761D" w:rsidRDefault="007733B2" w:rsidP="00E84CD0">
            <w:pPr>
              <w:tabs>
                <w:tab w:val="left" w:pos="4219"/>
              </w:tabs>
              <w:spacing w:after="0" w:line="240" w:lineRule="auto"/>
              <w:jc w:val="both"/>
              <w:rPr>
                <w:rFonts w:cs="Calibri"/>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7838E4B3" w14:textId="77777777" w:rsidR="00C84820" w:rsidRPr="008C761D" w:rsidRDefault="00C84820" w:rsidP="002E4AA9">
            <w:pPr>
              <w:numPr>
                <w:ilvl w:val="0"/>
                <w:numId w:val="74"/>
              </w:numPr>
              <w:tabs>
                <w:tab w:val="left" w:pos="183"/>
              </w:tabs>
              <w:spacing w:after="0" w:line="240" w:lineRule="auto"/>
              <w:ind w:left="273" w:hanging="273"/>
              <w:jc w:val="both"/>
              <w:rPr>
                <w:rFonts w:eastAsia="MS PGothic" w:cs="Calibri"/>
                <w:sz w:val="20"/>
                <w:szCs w:val="20"/>
                <w:lang w:val="en-US" w:eastAsia="zh-CN"/>
              </w:rPr>
            </w:pPr>
            <w:r w:rsidRPr="008C761D">
              <w:rPr>
                <w:rFonts w:eastAsia="MS PGothic" w:cs="Calibri"/>
                <w:sz w:val="20"/>
                <w:szCs w:val="20"/>
                <w:lang w:val="en-US" w:eastAsia="zh-CN"/>
              </w:rPr>
              <w:t>Guideline for performance internal audits;</w:t>
            </w:r>
          </w:p>
          <w:p w14:paraId="39AA9193" w14:textId="77777777" w:rsidR="00C84820" w:rsidRPr="008C761D" w:rsidRDefault="00C84820" w:rsidP="002E4AA9">
            <w:pPr>
              <w:numPr>
                <w:ilvl w:val="0"/>
                <w:numId w:val="74"/>
              </w:numPr>
              <w:tabs>
                <w:tab w:val="left" w:pos="183"/>
              </w:tabs>
              <w:spacing w:after="0" w:line="240" w:lineRule="auto"/>
              <w:ind w:left="273" w:hanging="273"/>
              <w:jc w:val="both"/>
              <w:rPr>
                <w:rFonts w:eastAsia="MS PGothic" w:cs="Calibri"/>
                <w:sz w:val="20"/>
                <w:szCs w:val="20"/>
                <w:lang w:val="en-US" w:eastAsia="zh-CN"/>
              </w:rPr>
            </w:pPr>
            <w:r w:rsidRPr="008C761D">
              <w:rPr>
                <w:rFonts w:eastAsia="MS PGothic" w:cs="Calibri"/>
                <w:sz w:val="20"/>
                <w:szCs w:val="20"/>
                <w:lang w:val="en-US" w:eastAsia="zh-CN"/>
              </w:rPr>
              <w:t>Guideline for IT internal audits</w:t>
            </w:r>
          </w:p>
          <w:p w14:paraId="5F9F99A1" w14:textId="7E116175" w:rsidR="00C84820" w:rsidRPr="008C761D" w:rsidRDefault="00C84820" w:rsidP="002E4AA9">
            <w:pPr>
              <w:numPr>
                <w:ilvl w:val="0"/>
                <w:numId w:val="74"/>
              </w:numPr>
              <w:tabs>
                <w:tab w:val="left" w:pos="183"/>
              </w:tabs>
              <w:spacing w:after="0" w:line="240" w:lineRule="auto"/>
              <w:ind w:left="273" w:hanging="273"/>
              <w:jc w:val="both"/>
              <w:rPr>
                <w:rFonts w:eastAsia="MS PGothic" w:cs="Calibri"/>
                <w:sz w:val="20"/>
                <w:szCs w:val="20"/>
                <w:lang w:val="en-US" w:eastAsia="zh-CN"/>
              </w:rPr>
            </w:pPr>
            <w:r w:rsidRPr="008C761D">
              <w:rPr>
                <w:rFonts w:eastAsia="MS PGothic" w:cs="Calibri"/>
                <w:sz w:val="20"/>
                <w:szCs w:val="20"/>
                <w:lang w:val="en-US" w:eastAsia="zh-CN"/>
              </w:rPr>
              <w:t>Report on analysis</w:t>
            </w:r>
            <w:r w:rsidR="00F3340A">
              <w:rPr>
                <w:rFonts w:eastAsia="MS PGothic" w:cs="Calibri"/>
                <w:sz w:val="20"/>
                <w:szCs w:val="20"/>
                <w:lang w:val="en-US" w:eastAsia="zh-CN"/>
              </w:rPr>
              <w:t xml:space="preserve"> </w:t>
            </w:r>
            <w:r w:rsidRPr="008C761D">
              <w:rPr>
                <w:rFonts w:eastAsia="MS PGothic" w:cs="Calibri"/>
                <w:sz w:val="20"/>
                <w:szCs w:val="20"/>
                <w:lang w:val="en-US" w:eastAsia="zh-CN"/>
              </w:rPr>
              <w:t>‘The situation and determination of the need for the establishment of a Central Unit for IT internal audits in the Ministry of Finance’</w:t>
            </w:r>
          </w:p>
          <w:p w14:paraId="75D511A1" w14:textId="68F876B4" w:rsidR="007733B2" w:rsidRPr="008C761D" w:rsidRDefault="007733B2" w:rsidP="008E06E4">
            <w:pPr>
              <w:tabs>
                <w:tab w:val="left" w:pos="363"/>
              </w:tabs>
              <w:spacing w:after="0" w:line="240" w:lineRule="auto"/>
              <w:ind w:left="363"/>
              <w:jc w:val="both"/>
              <w:rPr>
                <w:rFonts w:eastAsia="MS PGothic" w:cs="Calibri"/>
                <w:sz w:val="20"/>
                <w:szCs w:val="20"/>
                <w:lang w:val="en-US" w:eastAsia="zh-CN"/>
              </w:rPr>
            </w:pPr>
          </w:p>
        </w:tc>
      </w:tr>
      <w:tr w:rsidR="007733B2" w:rsidRPr="008C761D" w14:paraId="7B8110D7" w14:textId="77777777" w:rsidTr="00BA5E44">
        <w:trPr>
          <w:trHeight w:val="406"/>
        </w:trPr>
        <w:tc>
          <w:tcPr>
            <w:tcW w:w="2518" w:type="dxa"/>
            <w:tcBorders>
              <w:top w:val="single" w:sz="4" w:space="0" w:color="FFFFFF"/>
              <w:bottom w:val="single" w:sz="4" w:space="0" w:color="FFFFFF"/>
            </w:tcBorders>
            <w:shd w:val="clear" w:color="auto" w:fill="2F5496"/>
          </w:tcPr>
          <w:p w14:paraId="7963E641"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lastRenderedPageBreak/>
              <w:t>Cost implications: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088543A7" w14:textId="77777777" w:rsidR="007733B2" w:rsidRPr="008C761D" w:rsidRDefault="007733B2" w:rsidP="003A338C">
            <w:pPr>
              <w:numPr>
                <w:ilvl w:val="0"/>
                <w:numId w:val="74"/>
              </w:numPr>
              <w:tabs>
                <w:tab w:val="left" w:pos="363"/>
              </w:tabs>
              <w:spacing w:after="0" w:line="240" w:lineRule="auto"/>
              <w:ind w:left="363"/>
              <w:jc w:val="both"/>
              <w:rPr>
                <w:rFonts w:cs="Calibri"/>
                <w:sz w:val="20"/>
                <w:szCs w:val="20"/>
                <w:lang w:val="en-US"/>
              </w:rPr>
            </w:pPr>
            <w:r w:rsidRPr="008C761D">
              <w:rPr>
                <w:rFonts w:cs="Calibri"/>
                <w:sz w:val="20"/>
                <w:szCs w:val="20"/>
                <w:lang w:val="en-US"/>
              </w:rPr>
              <w:t xml:space="preserve">EUR </w:t>
            </w:r>
            <w:r w:rsidR="00542194" w:rsidRPr="008C761D">
              <w:rPr>
                <w:rFonts w:cs="Calibri"/>
                <w:sz w:val="20"/>
                <w:szCs w:val="20"/>
                <w:lang w:val="en-US"/>
              </w:rPr>
              <w:t>25,000</w:t>
            </w:r>
          </w:p>
        </w:tc>
      </w:tr>
      <w:tr w:rsidR="007733B2" w:rsidRPr="008C761D" w14:paraId="656AF840" w14:textId="77777777" w:rsidTr="00BA5E44">
        <w:trPr>
          <w:trHeight w:val="413"/>
        </w:trPr>
        <w:tc>
          <w:tcPr>
            <w:tcW w:w="2518" w:type="dxa"/>
            <w:tcBorders>
              <w:top w:val="single" w:sz="4" w:space="0" w:color="FFFFFF"/>
              <w:bottom w:val="single" w:sz="4" w:space="0" w:color="FFFFFF"/>
            </w:tcBorders>
            <w:shd w:val="clear" w:color="auto" w:fill="2F5496"/>
          </w:tcPr>
          <w:p w14:paraId="21700AA2"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6254AC83" w14:textId="77777777" w:rsidR="007733B2" w:rsidRPr="008C761D" w:rsidRDefault="007733B2" w:rsidP="003A338C">
            <w:pPr>
              <w:numPr>
                <w:ilvl w:val="0"/>
                <w:numId w:val="74"/>
              </w:numPr>
              <w:tabs>
                <w:tab w:val="left" w:pos="183"/>
                <w:tab w:val="left" w:pos="273"/>
              </w:tabs>
              <w:spacing w:after="0" w:line="240" w:lineRule="auto"/>
              <w:ind w:left="363"/>
              <w:jc w:val="both"/>
              <w:rPr>
                <w:rFonts w:cs="Calibri"/>
                <w:sz w:val="20"/>
                <w:szCs w:val="20"/>
                <w:lang w:val="en-US"/>
              </w:rPr>
            </w:pPr>
            <w:r w:rsidRPr="008C761D">
              <w:rPr>
                <w:rFonts w:cs="Calibri"/>
                <w:sz w:val="20"/>
                <w:szCs w:val="20"/>
                <w:lang w:val="en-US"/>
              </w:rPr>
              <w:t>Ministry of Finance Central Harmonization Unit</w:t>
            </w:r>
          </w:p>
        </w:tc>
      </w:tr>
      <w:tr w:rsidR="007733B2" w:rsidRPr="008C761D" w14:paraId="1E8372FB" w14:textId="77777777" w:rsidTr="00BA5E44">
        <w:tc>
          <w:tcPr>
            <w:tcW w:w="2518" w:type="dxa"/>
            <w:tcBorders>
              <w:top w:val="single" w:sz="4" w:space="0" w:color="FFFFFF"/>
              <w:bottom w:val="nil"/>
            </w:tcBorders>
            <w:shd w:val="clear" w:color="auto" w:fill="2F5496"/>
          </w:tcPr>
          <w:p w14:paraId="53C2A736" w14:textId="77777777" w:rsidR="007733B2" w:rsidRPr="008C761D" w:rsidRDefault="007733B2" w:rsidP="00E84CD0">
            <w:pPr>
              <w:tabs>
                <w:tab w:val="left" w:pos="4219"/>
              </w:tabs>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6D959509" w14:textId="2B93E3AF" w:rsidR="007733B2" w:rsidRPr="008C761D" w:rsidRDefault="00542194" w:rsidP="003A338C">
            <w:pPr>
              <w:numPr>
                <w:ilvl w:val="0"/>
                <w:numId w:val="74"/>
              </w:numPr>
              <w:tabs>
                <w:tab w:val="left" w:pos="122"/>
                <w:tab w:val="left" w:pos="183"/>
                <w:tab w:val="left" w:pos="273"/>
                <w:tab w:val="left" w:pos="4219"/>
              </w:tabs>
              <w:spacing w:after="0" w:line="240" w:lineRule="auto"/>
              <w:ind w:left="363"/>
              <w:jc w:val="both"/>
              <w:rPr>
                <w:rFonts w:cs="Calibri"/>
                <w:sz w:val="20"/>
                <w:szCs w:val="20"/>
                <w:lang w:val="en-US"/>
              </w:rPr>
            </w:pPr>
            <w:r w:rsidRPr="008C761D">
              <w:rPr>
                <w:rFonts w:cs="Calibri"/>
                <w:sz w:val="20"/>
                <w:szCs w:val="20"/>
                <w:lang w:val="en-US"/>
              </w:rPr>
              <w:t>Insufficient number of adequately trained internal auditors</w:t>
            </w:r>
          </w:p>
        </w:tc>
      </w:tr>
    </w:tbl>
    <w:p w14:paraId="33DED2A3" w14:textId="3B249FA3" w:rsidR="00EF3FBF" w:rsidRPr="008C761D" w:rsidRDefault="00EF3FBF" w:rsidP="00C3451E">
      <w:pPr>
        <w:pStyle w:val="Heading1"/>
        <w:rPr>
          <w:rFonts w:ascii="Calibri" w:hAnsi="Calibri" w:cs="Calibri"/>
          <w:color w:val="2F5496"/>
          <w:sz w:val="36"/>
          <w:szCs w:val="36"/>
          <w:lang w:val="en-US"/>
        </w:rPr>
      </w:pPr>
    </w:p>
    <w:p w14:paraId="070D05A3" w14:textId="2C03E267" w:rsidR="008E06E4" w:rsidRPr="008C761D" w:rsidRDefault="008E06E4" w:rsidP="008E06E4">
      <w:pPr>
        <w:rPr>
          <w:lang w:val="en-US"/>
        </w:rPr>
      </w:pPr>
    </w:p>
    <w:p w14:paraId="2C115ED6" w14:textId="083D22EA" w:rsidR="008E06E4" w:rsidRPr="008C761D" w:rsidRDefault="008E06E4" w:rsidP="008E06E4">
      <w:pPr>
        <w:rPr>
          <w:lang w:val="en-US"/>
        </w:rPr>
      </w:pPr>
    </w:p>
    <w:p w14:paraId="2C71121F" w14:textId="20857D45" w:rsidR="008E06E4" w:rsidRPr="008C761D" w:rsidRDefault="008E06E4" w:rsidP="008E06E4">
      <w:pPr>
        <w:rPr>
          <w:lang w:val="en-US"/>
        </w:rPr>
      </w:pPr>
    </w:p>
    <w:p w14:paraId="3C2373C4" w14:textId="64DBC73F" w:rsidR="008E06E4" w:rsidRPr="008C761D" w:rsidRDefault="008E06E4" w:rsidP="008E06E4">
      <w:pPr>
        <w:rPr>
          <w:lang w:val="en-US"/>
        </w:rPr>
      </w:pPr>
    </w:p>
    <w:p w14:paraId="5E77AE00" w14:textId="5615AA87" w:rsidR="008E06E4" w:rsidRPr="008C761D" w:rsidRDefault="008E06E4" w:rsidP="008E06E4">
      <w:pPr>
        <w:rPr>
          <w:lang w:val="en-US"/>
        </w:rPr>
      </w:pPr>
    </w:p>
    <w:p w14:paraId="183BE81E" w14:textId="79A1E61C" w:rsidR="008E06E4" w:rsidRPr="008C761D" w:rsidRDefault="008E06E4" w:rsidP="008E06E4">
      <w:pPr>
        <w:rPr>
          <w:lang w:val="en-US"/>
        </w:rPr>
      </w:pPr>
    </w:p>
    <w:p w14:paraId="5305BEBA" w14:textId="11BF96E5" w:rsidR="008E06E4" w:rsidRPr="008C761D" w:rsidRDefault="008E06E4" w:rsidP="008E06E4">
      <w:pPr>
        <w:rPr>
          <w:lang w:val="en-US"/>
        </w:rPr>
      </w:pPr>
    </w:p>
    <w:p w14:paraId="7E0C788C" w14:textId="3A8F82FD" w:rsidR="008E06E4" w:rsidRPr="008C761D" w:rsidRDefault="008E06E4" w:rsidP="008E06E4">
      <w:pPr>
        <w:rPr>
          <w:lang w:val="en-US"/>
        </w:rPr>
      </w:pPr>
    </w:p>
    <w:p w14:paraId="2EA109D0" w14:textId="3D90AD84" w:rsidR="008E06E4" w:rsidRPr="008C761D" w:rsidRDefault="008E06E4" w:rsidP="008E06E4">
      <w:pPr>
        <w:rPr>
          <w:lang w:val="en-US"/>
        </w:rPr>
      </w:pPr>
    </w:p>
    <w:p w14:paraId="725D656F" w14:textId="7E9A7BA1" w:rsidR="008E06E4" w:rsidRPr="008C761D" w:rsidRDefault="008E06E4" w:rsidP="008E06E4">
      <w:pPr>
        <w:rPr>
          <w:lang w:val="en-US"/>
        </w:rPr>
      </w:pPr>
    </w:p>
    <w:p w14:paraId="0785D6E3" w14:textId="5AFFB2CF" w:rsidR="008E06E4" w:rsidRPr="008C761D" w:rsidRDefault="008E06E4" w:rsidP="008E06E4">
      <w:pPr>
        <w:rPr>
          <w:lang w:val="en-US"/>
        </w:rPr>
      </w:pPr>
    </w:p>
    <w:p w14:paraId="1E7B9986" w14:textId="311E6176" w:rsidR="008E06E4" w:rsidRPr="008C761D" w:rsidRDefault="008E06E4" w:rsidP="008E06E4">
      <w:pPr>
        <w:rPr>
          <w:lang w:val="en-US"/>
        </w:rPr>
      </w:pPr>
    </w:p>
    <w:p w14:paraId="758DB1EC" w14:textId="7ACA220E" w:rsidR="008E06E4" w:rsidRPr="008C761D" w:rsidRDefault="008E06E4" w:rsidP="008E06E4">
      <w:pPr>
        <w:rPr>
          <w:lang w:val="en-US"/>
        </w:rPr>
      </w:pPr>
    </w:p>
    <w:p w14:paraId="37897264" w14:textId="4825FD6D" w:rsidR="008E06E4" w:rsidRPr="008C761D" w:rsidRDefault="008E06E4" w:rsidP="008E06E4">
      <w:pPr>
        <w:rPr>
          <w:lang w:val="en-US"/>
        </w:rPr>
      </w:pPr>
    </w:p>
    <w:p w14:paraId="74781596" w14:textId="511AAF6A" w:rsidR="008E06E4" w:rsidRPr="008C761D" w:rsidRDefault="008E06E4" w:rsidP="008E06E4">
      <w:pPr>
        <w:rPr>
          <w:lang w:val="en-US"/>
        </w:rPr>
      </w:pPr>
    </w:p>
    <w:p w14:paraId="07C85951" w14:textId="221CFDE7" w:rsidR="008E06E4" w:rsidRPr="008C761D" w:rsidRDefault="008E06E4" w:rsidP="008E06E4">
      <w:pPr>
        <w:rPr>
          <w:lang w:val="en-US"/>
        </w:rPr>
      </w:pPr>
    </w:p>
    <w:p w14:paraId="4D455CEF" w14:textId="5AF3D7AB" w:rsidR="008E06E4" w:rsidRPr="008C761D" w:rsidRDefault="008E06E4" w:rsidP="008E06E4">
      <w:pPr>
        <w:rPr>
          <w:lang w:val="en-US"/>
        </w:rPr>
      </w:pPr>
    </w:p>
    <w:p w14:paraId="57A5964F" w14:textId="3EDDA8EC" w:rsidR="008E06E4" w:rsidRPr="008C761D" w:rsidRDefault="008E06E4" w:rsidP="008E06E4">
      <w:pPr>
        <w:rPr>
          <w:lang w:val="en-US"/>
        </w:rPr>
      </w:pPr>
    </w:p>
    <w:p w14:paraId="58A64245" w14:textId="1FFF6BA2" w:rsidR="008E06E4" w:rsidRPr="008C761D" w:rsidRDefault="008E06E4" w:rsidP="008E06E4">
      <w:pPr>
        <w:rPr>
          <w:lang w:val="en-US"/>
        </w:rPr>
      </w:pPr>
    </w:p>
    <w:p w14:paraId="24D0D86E" w14:textId="7F857D23" w:rsidR="008E06E4" w:rsidRPr="008C761D" w:rsidRDefault="008E06E4" w:rsidP="008E06E4">
      <w:pPr>
        <w:rPr>
          <w:lang w:val="en-US"/>
        </w:rPr>
      </w:pPr>
    </w:p>
    <w:p w14:paraId="3F1EAB24" w14:textId="213CBA0B" w:rsidR="008E06E4" w:rsidRPr="008C761D" w:rsidRDefault="008E06E4" w:rsidP="008E06E4">
      <w:pPr>
        <w:rPr>
          <w:lang w:val="en-US"/>
        </w:rPr>
      </w:pPr>
    </w:p>
    <w:p w14:paraId="31BA02B3" w14:textId="51977753" w:rsidR="008E06E4" w:rsidRDefault="008E06E4" w:rsidP="008E06E4">
      <w:pPr>
        <w:rPr>
          <w:lang w:val="en-US"/>
        </w:rPr>
      </w:pPr>
    </w:p>
    <w:p w14:paraId="3AC9878A" w14:textId="77777777" w:rsidR="00D3676F" w:rsidRPr="008C761D" w:rsidRDefault="00D3676F" w:rsidP="008E06E4">
      <w:pPr>
        <w:rPr>
          <w:lang w:val="en-US"/>
        </w:rPr>
      </w:pPr>
    </w:p>
    <w:p w14:paraId="5F3DDB46" w14:textId="6805E04A" w:rsidR="00A70273" w:rsidRPr="002E4AA9" w:rsidRDefault="00A70273" w:rsidP="00A70273">
      <w:pPr>
        <w:pStyle w:val="Heading1"/>
        <w:rPr>
          <w:rFonts w:ascii="Calibri" w:hAnsi="Calibri" w:cs="Calibri"/>
          <w:color w:val="2F5496"/>
          <w:lang w:val="en-US"/>
        </w:rPr>
      </w:pPr>
      <w:bookmarkStart w:id="58" w:name="_Toc160611830"/>
      <w:r w:rsidRPr="002E4AA9">
        <w:rPr>
          <w:rFonts w:ascii="Calibri" w:hAnsi="Calibri" w:cs="Calibri"/>
          <w:color w:val="2F5496"/>
          <w:lang w:val="en-US"/>
        </w:rPr>
        <w:lastRenderedPageBreak/>
        <w:t xml:space="preserve">PILLAR VII - External </w:t>
      </w:r>
      <w:r w:rsidR="009B4122">
        <w:rPr>
          <w:rFonts w:ascii="Calibri" w:hAnsi="Calibri" w:cs="Calibri"/>
          <w:color w:val="2F5496"/>
          <w:lang w:val="en-US"/>
        </w:rPr>
        <w:t>Audit</w:t>
      </w:r>
      <w:r w:rsidRPr="002E4AA9">
        <w:rPr>
          <w:rFonts w:ascii="Calibri" w:hAnsi="Calibri" w:cs="Calibri"/>
          <w:color w:val="2F5496"/>
          <w:lang w:val="en-US"/>
        </w:rPr>
        <w:t xml:space="preserve"> and Parliamentary Oversight</w:t>
      </w:r>
      <w:bookmarkEnd w:id="58"/>
    </w:p>
    <w:p w14:paraId="689F3D93" w14:textId="18F30CEB" w:rsidR="00D144DD" w:rsidRPr="008C761D" w:rsidRDefault="00F3340A" w:rsidP="00D144DD">
      <w:pPr>
        <w:spacing w:line="240" w:lineRule="auto"/>
        <w:jc w:val="both"/>
        <w:rPr>
          <w:rFonts w:eastAsia="MS PGothic"/>
          <w:b/>
          <w:bCs/>
          <w:color w:val="4F81BD"/>
          <w:lang w:val="en-US" w:eastAsia="zh-CN"/>
        </w:rPr>
      </w:pPr>
      <w:r w:rsidRPr="008C761D">
        <w:rPr>
          <w:rFonts w:eastAsia="MS PGothic"/>
          <w:b/>
          <w:bCs/>
          <w:color w:val="4F81BD"/>
          <w:lang w:val="en-US" w:eastAsia="zh-CN"/>
        </w:rPr>
        <w:t>Introduction</w:t>
      </w:r>
    </w:p>
    <w:p w14:paraId="4381B6CB" w14:textId="77777777" w:rsidR="00A70273" w:rsidRPr="008C761D" w:rsidRDefault="00A70273" w:rsidP="00A70273">
      <w:pPr>
        <w:spacing w:before="240" w:after="240" w:line="240" w:lineRule="auto"/>
        <w:jc w:val="both"/>
        <w:rPr>
          <w:lang w:val="en-US"/>
        </w:rPr>
      </w:pPr>
      <w:r w:rsidRPr="008C761D">
        <w:rPr>
          <w:lang w:val="en-US"/>
        </w:rPr>
        <w:t>SAO is the supreme audit institution of the Republic of North Macedonia with a mandate to perform state audit. SAO performs audit of financial statements, compliance audit and performance audits in accordance with the requirements of INTOSAI standards (ISSAIs). SAO's task is to examine/investigate, evaluate, and issue an opinion for the performed audit that will add value to the entire community. The results of SAO work and mandate aim to fulfill the needs and expectations of SAO users for promoting and ensuring accountability, objectivity, and transparency in support of the country, as well as for wise and honest public funds management.</w:t>
      </w:r>
    </w:p>
    <w:p w14:paraId="76ED0507" w14:textId="77777777" w:rsidR="00A70273" w:rsidRPr="008C761D" w:rsidRDefault="00A70273" w:rsidP="00A70273">
      <w:pPr>
        <w:spacing w:before="240" w:after="240" w:line="240" w:lineRule="auto"/>
        <w:jc w:val="both"/>
        <w:rPr>
          <w:lang w:val="en-US"/>
        </w:rPr>
      </w:pPr>
      <w:r w:rsidRPr="008C761D">
        <w:rPr>
          <w:lang w:val="en-US"/>
        </w:rPr>
        <w:t xml:space="preserve">In striving to fulfill SAO mission, SAO must be independent ensure </w:t>
      </w:r>
      <w:proofErr w:type="gramStart"/>
      <w:r w:rsidRPr="008C761D">
        <w:rPr>
          <w:lang w:val="en-US"/>
        </w:rPr>
        <w:t>it’s</w:t>
      </w:r>
      <w:proofErr w:type="gramEnd"/>
      <w:r w:rsidRPr="008C761D">
        <w:rPr>
          <w:lang w:val="en-US"/>
        </w:rPr>
        <w:t xml:space="preserve"> professionalism, ethics and integrity, carry out SAO tasks in accordance with the law and mandate, ensure continuous promotion of objectivity and transparency, be inspiring and innovative and lead by example for protecting the public interest and achieving high level of public trust. To achieve these values, SAO employees work devotedly as highly skilled professionals, protecting and respecting the interests of the audit profession.</w:t>
      </w:r>
    </w:p>
    <w:p w14:paraId="78A6E7B9" w14:textId="45BCDB72" w:rsidR="00A70273" w:rsidRPr="008C761D" w:rsidRDefault="00A70273" w:rsidP="008E06E4">
      <w:pPr>
        <w:spacing w:before="240" w:after="240" w:line="240" w:lineRule="auto"/>
        <w:jc w:val="both"/>
        <w:rPr>
          <w:rFonts w:eastAsia="StobiSerifRegular-Identity-H" w:cs="Calibri"/>
          <w:lang w:val="en-US"/>
        </w:rPr>
      </w:pPr>
      <w:r w:rsidRPr="008C761D">
        <w:rPr>
          <w:lang w:val="en-US"/>
        </w:rPr>
        <w:t xml:space="preserve">The State Audit Office aims to help the Government and the Assembly to improve performance, enhance transparency, ensure accountability, maintain credibility, fight corruption, promote public trust, and foster the efficient and effective receipt and use of public resources for the value and benefits of their citizens. </w:t>
      </w:r>
      <w:r w:rsidRPr="008C761D">
        <w:rPr>
          <w:rFonts w:eastAsia="StobiSerifRegular-Identity-H" w:cs="Calibri"/>
          <w:lang w:val="en-US"/>
        </w:rPr>
        <w:t xml:space="preserve">The effectiveness of the external audit and parliamentary oversight system will be strengthened by implementing measures and activities under the following two priorities: </w:t>
      </w:r>
    </w:p>
    <w:p w14:paraId="0FE7CBAA" w14:textId="77777777" w:rsidR="000969C8" w:rsidRPr="008C761D" w:rsidRDefault="000969C8" w:rsidP="000969C8">
      <w:pPr>
        <w:autoSpaceDE w:val="0"/>
        <w:autoSpaceDN w:val="0"/>
        <w:adjustRightInd w:val="0"/>
        <w:spacing w:after="0" w:line="240" w:lineRule="auto"/>
        <w:jc w:val="both"/>
        <w:rPr>
          <w:rFonts w:eastAsia="StobiSerifRegular-Identity-H" w:cs="Calibri"/>
          <w:lang w:val="en-US"/>
        </w:rPr>
      </w:pPr>
    </w:p>
    <w:p w14:paraId="4A7D0004" w14:textId="77777777" w:rsidR="000969C8" w:rsidRPr="008C761D" w:rsidRDefault="000969C8" w:rsidP="000969C8">
      <w:pPr>
        <w:autoSpaceDE w:val="0"/>
        <w:autoSpaceDN w:val="0"/>
        <w:adjustRightInd w:val="0"/>
        <w:spacing w:after="0" w:line="240" w:lineRule="auto"/>
        <w:jc w:val="both"/>
        <w:rPr>
          <w:rFonts w:eastAsia="StobiSerifRegular-Identity-H" w:cs="Calibri"/>
          <w:b/>
          <w:lang w:val="en-US"/>
        </w:rPr>
      </w:pPr>
      <w:r w:rsidRPr="008C761D">
        <w:rPr>
          <w:rFonts w:cs="Calibri"/>
          <w:b/>
          <w:color w:val="2C2825"/>
          <w:shd w:val="clear" w:color="auto" w:fill="FFFFFF"/>
          <w:lang w:val="en-US"/>
        </w:rPr>
        <w:t xml:space="preserve">Priority 1: </w:t>
      </w:r>
      <w:r w:rsidRPr="008C761D">
        <w:rPr>
          <w:rFonts w:eastAsia="StobiSerifRegular-Identity-H" w:cs="Calibri"/>
          <w:b/>
          <w:lang w:val="en-US"/>
        </w:rPr>
        <w:t>External Audit</w:t>
      </w:r>
    </w:p>
    <w:p w14:paraId="38766954" w14:textId="094A8307" w:rsidR="000969C8" w:rsidRPr="008C761D" w:rsidRDefault="000969C8" w:rsidP="000969C8">
      <w:pPr>
        <w:autoSpaceDE w:val="0"/>
        <w:autoSpaceDN w:val="0"/>
        <w:adjustRightInd w:val="0"/>
        <w:spacing w:before="120" w:line="240" w:lineRule="auto"/>
        <w:jc w:val="both"/>
        <w:rPr>
          <w:rFonts w:cs="Calibri"/>
          <w:bCs/>
          <w:iCs/>
          <w:lang w:val="en-US"/>
        </w:rPr>
      </w:pPr>
      <w:r w:rsidRPr="008C761D">
        <w:rPr>
          <w:rFonts w:eastAsia="Times New Roman" w:cs="Calibri"/>
          <w:color w:val="202124"/>
          <w:lang w:val="en-US"/>
        </w:rPr>
        <w:t>Strengthening public finance management and ensuring transparency and accountability of the use of public funds through will be achieved by strengthening external audit legal framework and institutional capacity. of the human resources of the SAO, including audits of local self-government and public enterprises at the local and central level and</w:t>
      </w:r>
      <w:r w:rsidR="00F3340A">
        <w:rPr>
          <w:rFonts w:eastAsia="Times New Roman" w:cs="Calibri"/>
          <w:color w:val="202124"/>
          <w:lang w:val="en-US"/>
        </w:rPr>
        <w:t xml:space="preserve"> </w:t>
      </w:r>
      <w:r w:rsidRPr="008C761D">
        <w:rPr>
          <w:rFonts w:cs="Calibri"/>
          <w:bCs/>
          <w:iCs/>
          <w:lang w:val="en-US"/>
        </w:rPr>
        <w:t>JSCin</w:t>
      </w:r>
      <w:r w:rsidR="00F3340A">
        <w:rPr>
          <w:rFonts w:cs="Calibri"/>
          <w:bCs/>
          <w:iCs/>
          <w:lang w:val="en-US"/>
        </w:rPr>
        <w:t xml:space="preserve"> </w:t>
      </w:r>
      <w:r w:rsidRPr="008C761D">
        <w:rPr>
          <w:rFonts w:cs="Calibri"/>
          <w:bCs/>
          <w:iCs/>
          <w:lang w:val="en-US"/>
        </w:rPr>
        <w:t>state</w:t>
      </w:r>
      <w:r w:rsidR="00F3340A">
        <w:rPr>
          <w:rFonts w:cs="Calibri"/>
          <w:bCs/>
          <w:iCs/>
          <w:lang w:val="en-US"/>
        </w:rPr>
        <w:t xml:space="preserve"> </w:t>
      </w:r>
      <w:r w:rsidRPr="008C761D">
        <w:rPr>
          <w:rFonts w:cs="Calibri"/>
          <w:bCs/>
          <w:iCs/>
          <w:lang w:val="en-US"/>
        </w:rPr>
        <w:t>ownership.</w:t>
      </w:r>
    </w:p>
    <w:p w14:paraId="31B3871F" w14:textId="77777777" w:rsidR="000969C8" w:rsidRPr="008C761D" w:rsidRDefault="000969C8" w:rsidP="000969C8">
      <w:pPr>
        <w:spacing w:before="240" w:after="240" w:line="240" w:lineRule="auto"/>
        <w:jc w:val="both"/>
        <w:rPr>
          <w:rFonts w:eastAsia="Times New Roman" w:cs="Calibri"/>
          <w:color w:val="202124"/>
          <w:lang w:val="en-US"/>
        </w:rPr>
      </w:pPr>
      <w:r w:rsidRPr="008C761D">
        <w:rPr>
          <w:rFonts w:eastAsia="Times New Roman" w:cs="Calibri"/>
          <w:color w:val="202124"/>
          <w:lang w:val="en-US"/>
        </w:rPr>
        <w:t>The priorities will contribute to improving public finance management and providing transparency and accountability in the use of public funds by strengthening external audit legal framework through achieving SAO constitutional independence, strengthening SAO financial and operational independence in line with INTOSAI principles, standards and guidelines and strengthening SAO institutional and human resource capacities.</w:t>
      </w:r>
    </w:p>
    <w:p w14:paraId="4F536E4D" w14:textId="77777777" w:rsidR="000969C8" w:rsidRPr="008C761D" w:rsidRDefault="000969C8" w:rsidP="000969C8">
      <w:pPr>
        <w:spacing w:before="240" w:after="240" w:line="240" w:lineRule="auto"/>
        <w:jc w:val="both"/>
        <w:rPr>
          <w:rFonts w:eastAsia="Times New Roman" w:cs="Calibri"/>
          <w:color w:val="202124"/>
          <w:lang w:val="en-US"/>
        </w:rPr>
      </w:pPr>
      <w:r w:rsidRPr="008C761D">
        <w:rPr>
          <w:rFonts w:eastAsia="Times New Roman" w:cs="Calibri"/>
          <w:color w:val="202124"/>
          <w:lang w:val="en-US"/>
        </w:rPr>
        <w:t>By increasing SAO visibility and improving communication processes with stakeholders via electronic tools and media, the effects of performed audits and added value of SAO operation will also increase.</w:t>
      </w:r>
    </w:p>
    <w:p w14:paraId="06BBB7DB" w14:textId="617474A0" w:rsidR="000969C8" w:rsidRPr="008C761D" w:rsidRDefault="000969C8" w:rsidP="008E06E4">
      <w:pPr>
        <w:spacing w:before="240" w:after="240" w:line="240" w:lineRule="auto"/>
        <w:jc w:val="both"/>
        <w:rPr>
          <w:rFonts w:eastAsia="Times New Roman" w:cs="Calibri"/>
          <w:color w:val="202124"/>
          <w:lang w:val="en-US"/>
        </w:rPr>
      </w:pPr>
      <w:r w:rsidRPr="008C761D">
        <w:rPr>
          <w:rFonts w:eastAsia="Times New Roman" w:cs="Calibri"/>
          <w:color w:val="202124"/>
          <w:lang w:val="en-US"/>
        </w:rPr>
        <w:t>The efficiency of state audit will be improved through modernization of audit processes and use of modern equipment and working conditions, as well as modern audit tools</w:t>
      </w:r>
      <w:r w:rsidR="008E06E4" w:rsidRPr="008C761D">
        <w:rPr>
          <w:rFonts w:eastAsia="Times New Roman" w:cs="Calibri"/>
          <w:color w:val="202124"/>
          <w:lang w:val="en-US"/>
        </w:rPr>
        <w:t>, methodologies and techniques.</w:t>
      </w:r>
    </w:p>
    <w:p w14:paraId="6A8902E1" w14:textId="2BDBBFC4" w:rsidR="000969C8" w:rsidRPr="008C761D" w:rsidRDefault="000969C8" w:rsidP="000969C8">
      <w:pPr>
        <w:autoSpaceDE w:val="0"/>
        <w:autoSpaceDN w:val="0"/>
        <w:adjustRightInd w:val="0"/>
        <w:spacing w:after="0" w:line="240" w:lineRule="auto"/>
        <w:jc w:val="both"/>
        <w:rPr>
          <w:rFonts w:eastAsia="StobiSerifRegular-Identity-H" w:cs="Calibri"/>
          <w:b/>
          <w:lang w:val="en-US"/>
        </w:rPr>
      </w:pPr>
      <w:r w:rsidRPr="008C761D">
        <w:rPr>
          <w:rFonts w:cs="Calibri"/>
          <w:b/>
          <w:color w:val="2C2825"/>
          <w:shd w:val="clear" w:color="auto" w:fill="FFFFFF"/>
          <w:lang w:val="en-US"/>
        </w:rPr>
        <w:t xml:space="preserve">Priority 2: </w:t>
      </w:r>
      <w:r w:rsidR="00F3340A" w:rsidRPr="008C761D">
        <w:rPr>
          <w:rFonts w:eastAsia="StobiSerifRegular-Identity-H" w:cs="Calibri"/>
          <w:b/>
          <w:lang w:val="en-US"/>
        </w:rPr>
        <w:t>Parliamentary</w:t>
      </w:r>
      <w:r w:rsidRPr="008C761D">
        <w:rPr>
          <w:rFonts w:eastAsia="StobiSerifRegular-Identity-H" w:cs="Calibri"/>
          <w:b/>
          <w:lang w:val="en-US"/>
        </w:rPr>
        <w:t xml:space="preserve"> oversight</w:t>
      </w:r>
    </w:p>
    <w:p w14:paraId="3BDB9A9E" w14:textId="6061918C" w:rsidR="002E4AA9" w:rsidRPr="00D3676F" w:rsidRDefault="000969C8" w:rsidP="00D3676F">
      <w:pPr>
        <w:spacing w:before="240" w:after="240" w:line="240" w:lineRule="auto"/>
        <w:jc w:val="both"/>
        <w:rPr>
          <w:rFonts w:eastAsia="Times New Roman" w:cs="Calibri"/>
          <w:color w:val="202124"/>
          <w:lang w:val="en-US"/>
        </w:rPr>
      </w:pPr>
      <w:r w:rsidRPr="008C761D">
        <w:rPr>
          <w:rFonts w:eastAsia="Times New Roman" w:cs="Calibri"/>
          <w:color w:val="202124"/>
          <w:lang w:val="en-US"/>
        </w:rPr>
        <w:t>Setting up effective mechanism for reviewing audit reports by the Assembly as well as for taking measures upon audit recommendations, and strengthening institutional capacities for reviewing audit reports in the Assembly, will strengthen the effects of audit, and the accountability and transparency in the use of public funds.</w:t>
      </w:r>
    </w:p>
    <w:p w14:paraId="49346723" w14:textId="5A88596D" w:rsidR="007733B2" w:rsidRPr="002E4AA9" w:rsidRDefault="007733B2" w:rsidP="00E86FCA">
      <w:pPr>
        <w:pStyle w:val="Heading1"/>
        <w:rPr>
          <w:rFonts w:ascii="Calibri" w:eastAsia="MS PGothic" w:hAnsi="Calibri" w:cs="Calibri"/>
          <w:color w:val="2F5496"/>
          <w:sz w:val="28"/>
          <w:szCs w:val="28"/>
          <w:lang w:val="en-US"/>
        </w:rPr>
      </w:pPr>
      <w:bookmarkStart w:id="59" w:name="_Toc160611831"/>
      <w:r w:rsidRPr="002E4AA9">
        <w:rPr>
          <w:rFonts w:ascii="Calibri" w:eastAsia="MS PGothic" w:hAnsi="Calibri" w:cs="Calibri"/>
          <w:color w:val="2F5496"/>
          <w:sz w:val="28"/>
          <w:szCs w:val="28"/>
          <w:lang w:val="en-US"/>
        </w:rPr>
        <w:lastRenderedPageBreak/>
        <w:t>Priority 1: External Audit</w:t>
      </w:r>
      <w:bookmarkEnd w:id="59"/>
    </w:p>
    <w:p w14:paraId="3E267E67"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Objective</w:t>
      </w:r>
    </w:p>
    <w:p w14:paraId="65CC0B35" w14:textId="4693FC08" w:rsidR="000969C8" w:rsidRPr="008C761D" w:rsidRDefault="000969C8" w:rsidP="000969C8">
      <w:pPr>
        <w:autoSpaceDE w:val="0"/>
        <w:autoSpaceDN w:val="0"/>
        <w:adjustRightInd w:val="0"/>
        <w:spacing w:before="120" w:line="240" w:lineRule="auto"/>
        <w:jc w:val="both"/>
        <w:rPr>
          <w:rFonts w:eastAsia="Times New Roman" w:cs="Calibri"/>
          <w:color w:val="202124"/>
          <w:lang w:val="en-US"/>
        </w:rPr>
      </w:pPr>
      <w:bookmarkStart w:id="60" w:name="_Hlk156797422"/>
      <w:r w:rsidRPr="008C761D">
        <w:rPr>
          <w:rFonts w:eastAsia="Times New Roman" w:cs="Calibri"/>
          <w:color w:val="202124"/>
          <w:lang w:val="en-US"/>
        </w:rPr>
        <w:t xml:space="preserve">Strengthening public finance management and ensuring transparency and accountability of the use of public funds by strengthening external audit legal framework, institutional </w:t>
      </w:r>
      <w:r w:rsidR="00F3340A" w:rsidRPr="008C761D">
        <w:rPr>
          <w:rFonts w:eastAsia="Times New Roman" w:cs="Calibri"/>
          <w:color w:val="202124"/>
          <w:lang w:val="en-US"/>
        </w:rPr>
        <w:t>capacity and</w:t>
      </w:r>
      <w:r w:rsidRPr="008C761D">
        <w:rPr>
          <w:rFonts w:eastAsia="Times New Roman" w:cs="Calibri"/>
          <w:color w:val="202124"/>
          <w:lang w:val="en-US"/>
        </w:rPr>
        <w:t xml:space="preserve"> human resources of the SAO for audits, inclu</w:t>
      </w:r>
      <w:r w:rsidR="00C34014">
        <w:rPr>
          <w:rFonts w:eastAsia="Times New Roman" w:cs="Calibri"/>
          <w:color w:val="202124"/>
          <w:lang w:val="en-US"/>
        </w:rPr>
        <w:t>ding the audits of</w:t>
      </w:r>
      <w:r w:rsidRPr="008C761D">
        <w:rPr>
          <w:rFonts w:eastAsia="Times New Roman" w:cs="Calibri"/>
          <w:color w:val="202124"/>
          <w:lang w:val="en-US"/>
        </w:rPr>
        <w:t xml:space="preserve"> local self-government and public enterprises at the local and central level and</w:t>
      </w:r>
      <w:r w:rsidR="00C34014">
        <w:rPr>
          <w:rFonts w:eastAsia="Times New Roman" w:cs="Calibri"/>
          <w:color w:val="202124"/>
          <w:lang w:val="en-US"/>
        </w:rPr>
        <w:t xml:space="preserve"> </w:t>
      </w:r>
      <w:r w:rsidRPr="008C761D">
        <w:rPr>
          <w:rFonts w:cs="Calibri"/>
          <w:bCs/>
          <w:iCs/>
          <w:lang w:val="en-US"/>
        </w:rPr>
        <w:t>JSC</w:t>
      </w:r>
      <w:r w:rsidR="00C34014">
        <w:rPr>
          <w:rFonts w:cs="Calibri"/>
          <w:bCs/>
          <w:iCs/>
          <w:lang w:val="en-US"/>
        </w:rPr>
        <w:t xml:space="preserve"> </w:t>
      </w:r>
      <w:r w:rsidRPr="008C761D">
        <w:rPr>
          <w:rFonts w:cs="Calibri"/>
          <w:bCs/>
          <w:iCs/>
          <w:lang w:val="en-US"/>
        </w:rPr>
        <w:t>in</w:t>
      </w:r>
      <w:r w:rsidR="00C34014">
        <w:rPr>
          <w:rFonts w:cs="Calibri"/>
          <w:bCs/>
          <w:iCs/>
          <w:lang w:val="en-US"/>
        </w:rPr>
        <w:t xml:space="preserve"> </w:t>
      </w:r>
      <w:r w:rsidRPr="008C761D">
        <w:rPr>
          <w:rFonts w:cs="Calibri"/>
          <w:bCs/>
          <w:iCs/>
          <w:lang w:val="en-US"/>
        </w:rPr>
        <w:t>state</w:t>
      </w:r>
      <w:r w:rsidR="00C34014">
        <w:rPr>
          <w:rFonts w:cs="Calibri"/>
          <w:bCs/>
          <w:iCs/>
          <w:lang w:val="en-US"/>
        </w:rPr>
        <w:t xml:space="preserve"> </w:t>
      </w:r>
      <w:r w:rsidRPr="008C761D">
        <w:rPr>
          <w:rFonts w:cs="Calibri"/>
          <w:bCs/>
          <w:iCs/>
          <w:lang w:val="en-US"/>
        </w:rPr>
        <w:t>ownership.</w:t>
      </w:r>
    </w:p>
    <w:bookmarkEnd w:id="60"/>
    <w:p w14:paraId="2962E3A8" w14:textId="77777777" w:rsidR="00764B1D" w:rsidRPr="008C761D" w:rsidRDefault="00764B1D" w:rsidP="00764B1D">
      <w:pPr>
        <w:autoSpaceDE w:val="0"/>
        <w:autoSpaceDN w:val="0"/>
        <w:adjustRightInd w:val="0"/>
        <w:spacing w:before="120" w:after="120" w:line="240" w:lineRule="auto"/>
        <w:ind w:left="720"/>
        <w:contextualSpacing/>
        <w:jc w:val="both"/>
        <w:rPr>
          <w:rFonts w:eastAsia="Times New Roman" w:cs="Calibri"/>
          <w:color w:val="202124"/>
          <w:lang w:val="en-US"/>
        </w:rPr>
      </w:pPr>
    </w:p>
    <w:p w14:paraId="51C47028" w14:textId="77777777" w:rsidR="007733B2" w:rsidRPr="008C761D" w:rsidRDefault="007733B2" w:rsidP="00E84CD0">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color w:val="202124"/>
          <w:lang w:val="en-US"/>
        </w:rPr>
        <w:t>The objective of this priority will be achieved through the following measures and activities:</w:t>
      </w:r>
    </w:p>
    <w:tbl>
      <w:tblPr>
        <w:tblpPr w:leftFromText="180" w:rightFromText="180" w:vertAnchor="text" w:tblpX="548" w:tblpY="1"/>
        <w:tblOverlap w:val="never"/>
        <w:tblW w:w="8140" w:type="dxa"/>
        <w:tblLook w:val="01E0" w:firstRow="1" w:lastRow="1" w:firstColumn="1" w:lastColumn="1" w:noHBand="0" w:noVBand="0"/>
      </w:tblPr>
      <w:tblGrid>
        <w:gridCol w:w="1437"/>
        <w:gridCol w:w="6703"/>
      </w:tblGrid>
      <w:tr w:rsidR="007733B2" w:rsidRPr="008C761D" w14:paraId="48999400" w14:textId="77777777" w:rsidTr="00860277">
        <w:trPr>
          <w:trHeight w:val="698"/>
        </w:trPr>
        <w:tc>
          <w:tcPr>
            <w:tcW w:w="1437" w:type="dxa"/>
            <w:shd w:val="clear" w:color="auto" w:fill="auto"/>
          </w:tcPr>
          <w:p w14:paraId="780F9D59" w14:textId="77777777" w:rsidR="007733B2" w:rsidRPr="008C761D" w:rsidRDefault="007733B2" w:rsidP="00E84CD0">
            <w:pPr>
              <w:tabs>
                <w:tab w:val="left" w:pos="1250"/>
              </w:tabs>
              <w:spacing w:before="120" w:after="0" w:line="240" w:lineRule="auto"/>
              <w:jc w:val="both"/>
              <w:rPr>
                <w:rFonts w:cs="Calibri"/>
                <w:b/>
                <w:bCs/>
                <w:iCs/>
                <w:lang w:val="en-US"/>
              </w:rPr>
            </w:pPr>
            <w:r w:rsidRPr="008C761D">
              <w:rPr>
                <w:rFonts w:cs="Calibri"/>
                <w:b/>
                <w:bCs/>
                <w:iCs/>
                <w:lang w:val="en-US"/>
              </w:rPr>
              <w:t>Measure 1:</w:t>
            </w:r>
          </w:p>
        </w:tc>
        <w:tc>
          <w:tcPr>
            <w:tcW w:w="6703" w:type="dxa"/>
            <w:shd w:val="clear" w:color="auto" w:fill="auto"/>
          </w:tcPr>
          <w:p w14:paraId="0A1451FA" w14:textId="728159B4" w:rsidR="007733B2" w:rsidRPr="008C761D" w:rsidRDefault="00A70273" w:rsidP="00E84CD0">
            <w:pPr>
              <w:tabs>
                <w:tab w:val="left" w:pos="1250"/>
              </w:tabs>
              <w:spacing w:before="120" w:after="0" w:line="240" w:lineRule="auto"/>
              <w:jc w:val="both"/>
              <w:rPr>
                <w:rFonts w:cs="Calibri"/>
                <w:b/>
                <w:bCs/>
                <w:iCs/>
                <w:lang w:val="en-US"/>
              </w:rPr>
            </w:pPr>
            <w:r w:rsidRPr="008C761D">
              <w:rPr>
                <w:rFonts w:cs="Calibri"/>
                <w:b/>
                <w:bCs/>
                <w:iCs/>
                <w:lang w:val="en-US"/>
              </w:rPr>
              <w:t>Strengthen legislative framework for external audit</w:t>
            </w:r>
          </w:p>
        </w:tc>
      </w:tr>
      <w:tr w:rsidR="007733B2" w:rsidRPr="008C761D" w14:paraId="0EBD568F" w14:textId="77777777" w:rsidTr="008E06E4">
        <w:trPr>
          <w:trHeight w:val="863"/>
        </w:trPr>
        <w:tc>
          <w:tcPr>
            <w:tcW w:w="1437" w:type="dxa"/>
            <w:shd w:val="clear" w:color="auto" w:fill="auto"/>
          </w:tcPr>
          <w:p w14:paraId="46CF95F9"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1</w:t>
            </w:r>
          </w:p>
        </w:tc>
        <w:tc>
          <w:tcPr>
            <w:tcW w:w="6703" w:type="dxa"/>
            <w:shd w:val="clear" w:color="auto" w:fill="auto"/>
          </w:tcPr>
          <w:p w14:paraId="3D736382" w14:textId="3B7D97E4" w:rsidR="007733B2" w:rsidRPr="008C761D" w:rsidRDefault="000969C8" w:rsidP="00E84CD0">
            <w:pPr>
              <w:spacing w:after="0" w:line="240" w:lineRule="auto"/>
              <w:jc w:val="both"/>
              <w:rPr>
                <w:rFonts w:eastAsia="Times New Roman" w:cs="Calibri"/>
                <w:lang w:val="en-US"/>
              </w:rPr>
            </w:pPr>
            <w:r w:rsidRPr="008C761D">
              <w:rPr>
                <w:rFonts w:eastAsia="Times New Roman" w:cs="Calibri"/>
                <w:lang w:val="en-US"/>
              </w:rPr>
              <w:t>Approval of constitutional changes to achieve constitutional independence of the SAO in accordance with the principles, standards and guidelines of INTOSAI</w:t>
            </w:r>
            <w:r w:rsidR="008E06E4" w:rsidRPr="008C761D">
              <w:rPr>
                <w:rFonts w:eastAsia="Times New Roman" w:cs="Calibri"/>
                <w:lang w:val="en-US"/>
              </w:rPr>
              <w:t>;</w:t>
            </w:r>
          </w:p>
        </w:tc>
      </w:tr>
      <w:tr w:rsidR="007733B2" w:rsidRPr="008C761D" w14:paraId="4F0BDC52" w14:textId="77777777" w:rsidTr="00860277">
        <w:trPr>
          <w:trHeight w:val="698"/>
        </w:trPr>
        <w:tc>
          <w:tcPr>
            <w:tcW w:w="1437" w:type="dxa"/>
            <w:shd w:val="clear" w:color="auto" w:fill="auto"/>
          </w:tcPr>
          <w:p w14:paraId="10AE67BF"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2:</w:t>
            </w:r>
          </w:p>
        </w:tc>
        <w:tc>
          <w:tcPr>
            <w:tcW w:w="6703" w:type="dxa"/>
            <w:shd w:val="clear" w:color="auto" w:fill="auto"/>
          </w:tcPr>
          <w:p w14:paraId="0DCEBBEB" w14:textId="5592D845" w:rsidR="007733B2" w:rsidRPr="008C761D" w:rsidRDefault="00C34014" w:rsidP="00E84CD0">
            <w:pPr>
              <w:spacing w:after="0" w:line="240" w:lineRule="auto"/>
              <w:jc w:val="both"/>
              <w:rPr>
                <w:rFonts w:eastAsia="Times New Roman" w:cs="Calibri"/>
                <w:lang w:val="en-US"/>
              </w:rPr>
            </w:pPr>
            <w:r w:rsidRPr="008C761D">
              <w:rPr>
                <w:rFonts w:eastAsia="Times New Roman" w:cs="Calibri"/>
                <w:lang w:val="en-US"/>
              </w:rPr>
              <w:t>Approval of</w:t>
            </w:r>
            <w:r w:rsidR="000969C8" w:rsidRPr="008C761D">
              <w:rPr>
                <w:rFonts w:eastAsia="Times New Roman" w:cs="Calibri"/>
                <w:lang w:val="en-US"/>
              </w:rPr>
              <w:t xml:space="preserve"> external audit legal framework aimed at strengthening financial and operational independence of SAO in line with INTOSAI principles, standards and guidelines.</w:t>
            </w:r>
          </w:p>
        </w:tc>
      </w:tr>
      <w:tr w:rsidR="007733B2" w:rsidRPr="008C761D" w14:paraId="48033B09" w14:textId="77777777" w:rsidTr="00860277">
        <w:trPr>
          <w:trHeight w:val="698"/>
        </w:trPr>
        <w:tc>
          <w:tcPr>
            <w:tcW w:w="1437" w:type="dxa"/>
            <w:shd w:val="clear" w:color="auto" w:fill="auto"/>
          </w:tcPr>
          <w:p w14:paraId="1510073D" w14:textId="77777777" w:rsidR="007733B2" w:rsidRPr="008C761D" w:rsidRDefault="007733B2" w:rsidP="00E84CD0">
            <w:pPr>
              <w:tabs>
                <w:tab w:val="left" w:pos="1250"/>
              </w:tabs>
              <w:spacing w:before="120" w:after="0" w:line="240" w:lineRule="auto"/>
              <w:jc w:val="both"/>
              <w:rPr>
                <w:rFonts w:cs="Calibri"/>
                <w:b/>
                <w:bCs/>
                <w:iCs/>
                <w:lang w:val="en-US"/>
              </w:rPr>
            </w:pPr>
            <w:r w:rsidRPr="008C761D">
              <w:rPr>
                <w:rFonts w:cs="Calibri"/>
                <w:b/>
                <w:bCs/>
                <w:iCs/>
                <w:lang w:val="en-US"/>
              </w:rPr>
              <w:t>Measure 2:</w:t>
            </w:r>
          </w:p>
        </w:tc>
        <w:tc>
          <w:tcPr>
            <w:tcW w:w="6703" w:type="dxa"/>
            <w:shd w:val="clear" w:color="auto" w:fill="auto"/>
          </w:tcPr>
          <w:p w14:paraId="4A4B5B88" w14:textId="098CDD72" w:rsidR="007733B2" w:rsidRPr="008C761D" w:rsidRDefault="00A70273" w:rsidP="00E84CD0">
            <w:pPr>
              <w:tabs>
                <w:tab w:val="left" w:pos="1250"/>
              </w:tabs>
              <w:spacing w:before="120" w:after="0" w:line="240" w:lineRule="auto"/>
              <w:jc w:val="both"/>
              <w:rPr>
                <w:rFonts w:cs="Calibri"/>
                <w:b/>
                <w:bCs/>
                <w:iCs/>
                <w:lang w:val="en-US"/>
              </w:rPr>
            </w:pPr>
            <w:r w:rsidRPr="008C761D">
              <w:rPr>
                <w:rFonts w:cs="Calibri"/>
                <w:b/>
                <w:bCs/>
                <w:iCs/>
                <w:lang w:val="en-US"/>
              </w:rPr>
              <w:t xml:space="preserve">Strengthen the institutional capacity and human </w:t>
            </w:r>
            <w:r w:rsidR="008E06E4" w:rsidRPr="008C761D">
              <w:rPr>
                <w:rFonts w:cs="Calibri"/>
                <w:b/>
                <w:bCs/>
                <w:iCs/>
                <w:lang w:val="en-US"/>
              </w:rPr>
              <w:t xml:space="preserve">resource capacities of the SAO </w:t>
            </w:r>
          </w:p>
        </w:tc>
      </w:tr>
      <w:tr w:rsidR="007733B2" w:rsidRPr="008C761D" w14:paraId="58A84DAB" w14:textId="77777777" w:rsidTr="00860277">
        <w:trPr>
          <w:trHeight w:val="698"/>
        </w:trPr>
        <w:tc>
          <w:tcPr>
            <w:tcW w:w="1437" w:type="dxa"/>
            <w:shd w:val="clear" w:color="auto" w:fill="auto"/>
          </w:tcPr>
          <w:p w14:paraId="3EFC9ED0"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1:</w:t>
            </w:r>
          </w:p>
        </w:tc>
        <w:tc>
          <w:tcPr>
            <w:tcW w:w="6703" w:type="dxa"/>
            <w:shd w:val="clear" w:color="auto" w:fill="auto"/>
          </w:tcPr>
          <w:p w14:paraId="7C656388" w14:textId="77777777" w:rsidR="007733B2" w:rsidRPr="008C761D" w:rsidRDefault="00764B1D" w:rsidP="00E84CD0">
            <w:pPr>
              <w:spacing w:after="0" w:line="240" w:lineRule="auto"/>
              <w:jc w:val="both"/>
              <w:rPr>
                <w:rFonts w:eastAsia="Times New Roman" w:cs="Calibri"/>
                <w:lang w:val="en-US"/>
              </w:rPr>
            </w:pPr>
            <w:r w:rsidRPr="008C761D">
              <w:rPr>
                <w:rFonts w:eastAsia="Times New Roman" w:cs="Calibri"/>
                <w:lang w:val="en-US"/>
              </w:rPr>
              <w:t>Implementation of adopted strategic, planning and methodological acts and adoption of new methodological acts of the SAO;</w:t>
            </w:r>
          </w:p>
        </w:tc>
      </w:tr>
      <w:tr w:rsidR="007733B2" w:rsidRPr="008C761D" w14:paraId="7C0582EE" w14:textId="77777777" w:rsidTr="00860277">
        <w:trPr>
          <w:trHeight w:val="389"/>
        </w:trPr>
        <w:tc>
          <w:tcPr>
            <w:tcW w:w="1437" w:type="dxa"/>
            <w:shd w:val="clear" w:color="auto" w:fill="auto"/>
          </w:tcPr>
          <w:p w14:paraId="4BB87D4D"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2:</w:t>
            </w:r>
          </w:p>
        </w:tc>
        <w:tc>
          <w:tcPr>
            <w:tcW w:w="6703" w:type="dxa"/>
            <w:shd w:val="clear" w:color="auto" w:fill="auto"/>
          </w:tcPr>
          <w:p w14:paraId="7FABC730"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Strengthen the capacity to conduct audits;</w:t>
            </w:r>
          </w:p>
        </w:tc>
      </w:tr>
      <w:tr w:rsidR="007733B2" w:rsidRPr="008C761D" w14:paraId="7A2865AB" w14:textId="77777777" w:rsidTr="00860277">
        <w:trPr>
          <w:trHeight w:val="698"/>
        </w:trPr>
        <w:tc>
          <w:tcPr>
            <w:tcW w:w="1437" w:type="dxa"/>
            <w:shd w:val="clear" w:color="auto" w:fill="auto"/>
          </w:tcPr>
          <w:p w14:paraId="7A7CE675"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3:</w:t>
            </w:r>
          </w:p>
        </w:tc>
        <w:tc>
          <w:tcPr>
            <w:tcW w:w="6703" w:type="dxa"/>
            <w:shd w:val="clear" w:color="auto" w:fill="auto"/>
          </w:tcPr>
          <w:p w14:paraId="24A21C67"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Increasing the visibility of the SAO and communication with the stakeholders.</w:t>
            </w:r>
          </w:p>
        </w:tc>
      </w:tr>
    </w:tbl>
    <w:p w14:paraId="7AD1518C"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w:t>
      </w:r>
    </w:p>
    <w:p w14:paraId="4B324E96" w14:textId="45E4D82D" w:rsidR="00764B1D" w:rsidRPr="008C761D" w:rsidRDefault="00764B1D" w:rsidP="003A338C">
      <w:pPr>
        <w:numPr>
          <w:ilvl w:val="0"/>
          <w:numId w:val="32"/>
        </w:numPr>
        <w:spacing w:after="0" w:line="240" w:lineRule="auto"/>
        <w:jc w:val="both"/>
        <w:rPr>
          <w:rFonts w:eastAsia="Times New Roman" w:cs="Calibri"/>
          <w:color w:val="202124"/>
          <w:lang w:val="en-US"/>
        </w:rPr>
      </w:pPr>
      <w:r w:rsidRPr="008C761D">
        <w:rPr>
          <w:rFonts w:eastAsia="Times New Roman" w:cs="Calibri"/>
          <w:color w:val="202124"/>
          <w:lang w:val="en-US"/>
        </w:rPr>
        <w:t>Reduced tax evasion and increased fiscal discipline / increased</w:t>
      </w:r>
      <w:r w:rsidR="00C34014">
        <w:rPr>
          <w:rFonts w:eastAsia="Times New Roman" w:cs="Calibri"/>
          <w:color w:val="202124"/>
          <w:lang w:val="en-US"/>
        </w:rPr>
        <w:t xml:space="preserve"> revenues in the Budget of RNM </w:t>
      </w:r>
      <w:r w:rsidRPr="008C761D">
        <w:rPr>
          <w:rFonts w:eastAsia="Times New Roman" w:cs="Calibri"/>
          <w:color w:val="202124"/>
          <w:lang w:val="en-US"/>
        </w:rPr>
        <w:t>and increased revenues in the budgets of the municipalities;</w:t>
      </w:r>
    </w:p>
    <w:p w14:paraId="63FDAB87" w14:textId="77777777" w:rsidR="00764B1D" w:rsidRPr="008C761D" w:rsidRDefault="00764B1D" w:rsidP="003A338C">
      <w:pPr>
        <w:numPr>
          <w:ilvl w:val="0"/>
          <w:numId w:val="32"/>
        </w:numPr>
        <w:spacing w:after="0" w:line="240" w:lineRule="auto"/>
        <w:jc w:val="both"/>
        <w:rPr>
          <w:rFonts w:eastAsia="Times New Roman" w:cs="Calibri"/>
          <w:color w:val="202124"/>
          <w:lang w:val="en-US"/>
        </w:rPr>
      </w:pPr>
      <w:r w:rsidRPr="008C761D">
        <w:rPr>
          <w:rFonts w:eastAsia="Times New Roman" w:cs="Calibri"/>
          <w:color w:val="202124"/>
          <w:lang w:val="en-US"/>
        </w:rPr>
        <w:t>Adhered principles in awarding public procurement contracts.</w:t>
      </w:r>
    </w:p>
    <w:p w14:paraId="15AA4E7C"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indicators</w:t>
      </w:r>
    </w:p>
    <w:p w14:paraId="4191A8DD" w14:textId="1B00E13B" w:rsidR="00764B1D" w:rsidRPr="008C761D" w:rsidRDefault="00764B1D" w:rsidP="003A338C">
      <w:pPr>
        <w:numPr>
          <w:ilvl w:val="0"/>
          <w:numId w:val="33"/>
        </w:numPr>
        <w:spacing w:after="0" w:line="240" w:lineRule="auto"/>
        <w:jc w:val="both"/>
        <w:rPr>
          <w:rFonts w:eastAsia="Times New Roman" w:cs="Calibri"/>
          <w:lang w:val="en-US"/>
        </w:rPr>
      </w:pPr>
      <w:r w:rsidRPr="008C761D">
        <w:rPr>
          <w:rFonts w:eastAsia="Times New Roman" w:cs="Calibri"/>
          <w:lang w:val="en-US"/>
        </w:rPr>
        <w:t>Established amount of funds with audits that have not been paid into the RNM</w:t>
      </w:r>
      <w:r w:rsidR="00C34014">
        <w:rPr>
          <w:rFonts w:eastAsia="Times New Roman" w:cs="Calibri"/>
          <w:lang w:val="en-US"/>
        </w:rPr>
        <w:t xml:space="preserve"> </w:t>
      </w:r>
      <w:r w:rsidRPr="008C761D">
        <w:rPr>
          <w:rFonts w:eastAsia="Times New Roman" w:cs="Calibri"/>
          <w:lang w:val="en-US"/>
        </w:rPr>
        <w:t>Budget;</w:t>
      </w:r>
    </w:p>
    <w:p w14:paraId="0C07FA82" w14:textId="77777777" w:rsidR="00460ED3" w:rsidRPr="008C761D" w:rsidRDefault="00460ED3" w:rsidP="00460ED3">
      <w:pPr>
        <w:spacing w:after="0" w:line="240" w:lineRule="auto"/>
        <w:ind w:left="785"/>
        <w:jc w:val="both"/>
        <w:rPr>
          <w:rFonts w:eastAsia="Times New Roman"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7572BD04" w14:textId="77777777" w:rsidTr="002B77A4">
        <w:trPr>
          <w:trHeight w:val="395"/>
        </w:trPr>
        <w:tc>
          <w:tcPr>
            <w:tcW w:w="4608" w:type="dxa"/>
            <w:shd w:val="clear" w:color="auto" w:fill="E8E8E8"/>
          </w:tcPr>
          <w:p w14:paraId="292206FF"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9734034"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5A40BFC9" w14:textId="77777777" w:rsidTr="002B77A4">
        <w:trPr>
          <w:trHeight w:val="278"/>
        </w:trPr>
        <w:tc>
          <w:tcPr>
            <w:tcW w:w="4608" w:type="dxa"/>
            <w:shd w:val="clear" w:color="auto" w:fill="E8E8E8"/>
          </w:tcPr>
          <w:p w14:paraId="4DCA3026" w14:textId="24F9AC3E" w:rsidR="00460ED3" w:rsidRPr="008C761D" w:rsidRDefault="003C1602" w:rsidP="003C1602">
            <w:pPr>
              <w:tabs>
                <w:tab w:val="left" w:pos="910"/>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17,000 euros</w:t>
            </w:r>
          </w:p>
        </w:tc>
        <w:tc>
          <w:tcPr>
            <w:tcW w:w="4608" w:type="dxa"/>
            <w:shd w:val="clear" w:color="auto" w:fill="E8E8E8"/>
          </w:tcPr>
          <w:p w14:paraId="60A5F8A5"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7000 Eur</w:t>
            </w:r>
          </w:p>
        </w:tc>
      </w:tr>
    </w:tbl>
    <w:p w14:paraId="010A66CD" w14:textId="77777777" w:rsidR="00460ED3" w:rsidRPr="008C761D" w:rsidRDefault="00460ED3" w:rsidP="00460ED3">
      <w:pPr>
        <w:spacing w:after="0" w:line="240" w:lineRule="auto"/>
        <w:ind w:left="785"/>
        <w:jc w:val="both"/>
        <w:rPr>
          <w:rFonts w:eastAsia="Times New Roman" w:cs="Calibri"/>
          <w:lang w:val="en-US"/>
        </w:rPr>
      </w:pPr>
    </w:p>
    <w:p w14:paraId="071685B7" w14:textId="77777777" w:rsidR="00764B1D" w:rsidRPr="008C761D" w:rsidRDefault="00764B1D" w:rsidP="003A338C">
      <w:pPr>
        <w:numPr>
          <w:ilvl w:val="0"/>
          <w:numId w:val="33"/>
        </w:numPr>
        <w:spacing w:after="0" w:line="240" w:lineRule="auto"/>
        <w:jc w:val="both"/>
        <w:rPr>
          <w:rFonts w:eastAsia="Times New Roman" w:cs="Calibri"/>
          <w:lang w:val="en-US"/>
        </w:rPr>
      </w:pPr>
      <w:r w:rsidRPr="008C761D">
        <w:rPr>
          <w:rFonts w:eastAsia="Times New Roman" w:cs="Calibri"/>
          <w:lang w:val="en-US"/>
        </w:rPr>
        <w:t>Established amount of funds with audits that have not been paid into the Budget of the municipalities and the city of Skopje;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77B2E153" w14:textId="77777777" w:rsidTr="002B77A4">
        <w:trPr>
          <w:trHeight w:val="395"/>
        </w:trPr>
        <w:tc>
          <w:tcPr>
            <w:tcW w:w="4608" w:type="dxa"/>
            <w:shd w:val="clear" w:color="auto" w:fill="E8E8E8"/>
          </w:tcPr>
          <w:p w14:paraId="06147CA6"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5AFEB000"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4BAD510E" w14:textId="77777777" w:rsidTr="002B77A4">
        <w:trPr>
          <w:trHeight w:val="278"/>
        </w:trPr>
        <w:tc>
          <w:tcPr>
            <w:tcW w:w="4608" w:type="dxa"/>
            <w:shd w:val="clear" w:color="auto" w:fill="E8E8E8"/>
          </w:tcPr>
          <w:p w14:paraId="247B3646" w14:textId="19518385" w:rsidR="00460ED3" w:rsidRPr="008C761D" w:rsidRDefault="003C1602" w:rsidP="003C1602">
            <w:pPr>
              <w:tabs>
                <w:tab w:val="left" w:pos="1198"/>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12,000 euros</w:t>
            </w:r>
          </w:p>
        </w:tc>
        <w:tc>
          <w:tcPr>
            <w:tcW w:w="4608" w:type="dxa"/>
            <w:shd w:val="clear" w:color="auto" w:fill="E8E8E8"/>
          </w:tcPr>
          <w:p w14:paraId="25DDDE7E" w14:textId="77777777" w:rsidR="00460ED3" w:rsidRPr="008C761D" w:rsidRDefault="003C1602" w:rsidP="002E4AA9">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2,000 euros</w:t>
            </w:r>
          </w:p>
        </w:tc>
      </w:tr>
    </w:tbl>
    <w:p w14:paraId="530B524A" w14:textId="77777777" w:rsidR="00460ED3" w:rsidRPr="008C761D" w:rsidRDefault="00460ED3" w:rsidP="00460ED3">
      <w:pPr>
        <w:spacing w:after="0" w:line="240" w:lineRule="auto"/>
        <w:ind w:left="785"/>
        <w:jc w:val="both"/>
        <w:rPr>
          <w:rFonts w:eastAsia="Times New Roman" w:cs="Calibri"/>
          <w:lang w:val="en-US"/>
        </w:rPr>
      </w:pPr>
    </w:p>
    <w:p w14:paraId="7460B04E" w14:textId="77777777" w:rsidR="00764B1D" w:rsidRPr="008C761D" w:rsidRDefault="00764B1D" w:rsidP="003A338C">
      <w:pPr>
        <w:numPr>
          <w:ilvl w:val="0"/>
          <w:numId w:val="33"/>
        </w:numPr>
        <w:spacing w:after="0" w:line="240" w:lineRule="auto"/>
        <w:jc w:val="both"/>
        <w:rPr>
          <w:rFonts w:cs="Calibri"/>
          <w:bCs/>
          <w:iCs/>
          <w:lang w:val="en-US"/>
        </w:rPr>
      </w:pPr>
      <w:r w:rsidRPr="008C761D">
        <w:rPr>
          <w:rFonts w:eastAsia="Times New Roman" w:cs="Calibri"/>
          <w:lang w:val="en-US"/>
        </w:rPr>
        <w:t>Established amount of funds during the awarding of contracts for public procurement where irregularities were found with the audits.</w:t>
      </w:r>
    </w:p>
    <w:p w14:paraId="3C588EDB" w14:textId="77777777" w:rsidR="00460ED3" w:rsidRPr="008C761D" w:rsidRDefault="00460ED3" w:rsidP="00460ED3">
      <w:pPr>
        <w:spacing w:after="0" w:line="240" w:lineRule="auto"/>
        <w:ind w:left="785"/>
        <w:jc w:val="both"/>
        <w:rPr>
          <w:rFonts w:cs="Calibri"/>
          <w:bCs/>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6EFEA855" w14:textId="77777777" w:rsidTr="002B77A4">
        <w:trPr>
          <w:trHeight w:val="395"/>
        </w:trPr>
        <w:tc>
          <w:tcPr>
            <w:tcW w:w="4608" w:type="dxa"/>
            <w:shd w:val="clear" w:color="auto" w:fill="E8E8E8"/>
          </w:tcPr>
          <w:p w14:paraId="2C6D3E67"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lastRenderedPageBreak/>
              <w:t>Baseline 2022</w:t>
            </w:r>
          </w:p>
        </w:tc>
        <w:tc>
          <w:tcPr>
            <w:tcW w:w="4608" w:type="dxa"/>
            <w:shd w:val="clear" w:color="auto" w:fill="E8E8E8"/>
          </w:tcPr>
          <w:p w14:paraId="75FFBCE6"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322B3DF0" w14:textId="77777777" w:rsidTr="002B77A4">
        <w:trPr>
          <w:trHeight w:val="278"/>
        </w:trPr>
        <w:tc>
          <w:tcPr>
            <w:tcW w:w="4608" w:type="dxa"/>
            <w:shd w:val="clear" w:color="auto" w:fill="E8E8E8"/>
          </w:tcPr>
          <w:p w14:paraId="3A8CAA8F"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10,900 euros</w:t>
            </w:r>
          </w:p>
        </w:tc>
        <w:tc>
          <w:tcPr>
            <w:tcW w:w="4608" w:type="dxa"/>
            <w:shd w:val="clear" w:color="auto" w:fill="E8E8E8"/>
          </w:tcPr>
          <w:p w14:paraId="4177F628" w14:textId="672F333F" w:rsidR="00460ED3" w:rsidRPr="008C761D" w:rsidRDefault="003C1602" w:rsidP="003C1602">
            <w:pPr>
              <w:tabs>
                <w:tab w:val="left" w:pos="1025"/>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≥7.000 euros</w:t>
            </w:r>
          </w:p>
        </w:tc>
      </w:tr>
    </w:tbl>
    <w:p w14:paraId="3FF3FF1F" w14:textId="77777777" w:rsidR="00460ED3" w:rsidRPr="008C761D" w:rsidRDefault="00460ED3" w:rsidP="00460ED3">
      <w:pPr>
        <w:spacing w:after="0" w:line="240" w:lineRule="auto"/>
        <w:ind w:left="785"/>
        <w:jc w:val="both"/>
        <w:rPr>
          <w:rFonts w:cs="Calibri"/>
          <w:bCs/>
          <w:iCs/>
          <w:lang w:val="en-US"/>
        </w:rPr>
      </w:pPr>
    </w:p>
    <w:p w14:paraId="0E8F276D" w14:textId="77777777" w:rsidR="00764B1D" w:rsidRPr="008C761D" w:rsidRDefault="00764B1D" w:rsidP="003A338C">
      <w:pPr>
        <w:numPr>
          <w:ilvl w:val="0"/>
          <w:numId w:val="33"/>
        </w:numPr>
        <w:spacing w:after="0" w:line="240" w:lineRule="auto"/>
        <w:jc w:val="both"/>
        <w:rPr>
          <w:rFonts w:cs="Calibri"/>
          <w:bCs/>
          <w:iCs/>
          <w:lang w:val="en-US"/>
        </w:rPr>
      </w:pPr>
      <w:r w:rsidRPr="008C761D">
        <w:rPr>
          <w:rFonts w:cs="Calibri"/>
          <w:bCs/>
          <w:iCs/>
          <w:lang w:val="en-US"/>
        </w:rPr>
        <w:t>Scope of audits of LSGs and the City of Skopje, Public Enterprises (PE) at the central and local level and Joint Stock Companies (JSC) in state ownership.</w:t>
      </w:r>
    </w:p>
    <w:p w14:paraId="24E827F0" w14:textId="77777777" w:rsidR="00460ED3" w:rsidRPr="008C761D" w:rsidRDefault="00460ED3" w:rsidP="00460ED3">
      <w:pPr>
        <w:spacing w:after="0" w:line="240" w:lineRule="auto"/>
        <w:ind w:left="785"/>
        <w:jc w:val="both"/>
        <w:rPr>
          <w:rFonts w:cs="Calibri"/>
          <w:bCs/>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30C35733" w14:textId="77777777" w:rsidTr="002B77A4">
        <w:trPr>
          <w:trHeight w:val="395"/>
        </w:trPr>
        <w:tc>
          <w:tcPr>
            <w:tcW w:w="4608" w:type="dxa"/>
            <w:shd w:val="clear" w:color="auto" w:fill="E8E8E8"/>
          </w:tcPr>
          <w:p w14:paraId="7950E386"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2F357481"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42D94548" w14:textId="77777777" w:rsidTr="002B77A4">
        <w:trPr>
          <w:trHeight w:val="278"/>
        </w:trPr>
        <w:tc>
          <w:tcPr>
            <w:tcW w:w="4608" w:type="dxa"/>
            <w:shd w:val="clear" w:color="auto" w:fill="E8E8E8"/>
          </w:tcPr>
          <w:p w14:paraId="50F50D4D"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12</w:t>
            </w:r>
          </w:p>
        </w:tc>
        <w:tc>
          <w:tcPr>
            <w:tcW w:w="4608" w:type="dxa"/>
            <w:shd w:val="clear" w:color="auto" w:fill="E8E8E8"/>
          </w:tcPr>
          <w:p w14:paraId="640C31A4"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17</w:t>
            </w:r>
          </w:p>
        </w:tc>
      </w:tr>
    </w:tbl>
    <w:p w14:paraId="2443B9CB" w14:textId="77777777" w:rsidR="00460ED3" w:rsidRPr="008C761D" w:rsidRDefault="00460ED3" w:rsidP="00460ED3">
      <w:pPr>
        <w:spacing w:after="0" w:line="240" w:lineRule="auto"/>
        <w:ind w:left="785"/>
        <w:jc w:val="both"/>
        <w:rPr>
          <w:rFonts w:cs="Calibri"/>
          <w:bCs/>
          <w:iCs/>
          <w:lang w:val="en-US"/>
        </w:rPr>
      </w:pPr>
    </w:p>
    <w:p w14:paraId="553B6408" w14:textId="25D0A583" w:rsidR="007733B2" w:rsidRPr="002E4AA9" w:rsidRDefault="007733B2" w:rsidP="00E84CD0">
      <w:pPr>
        <w:spacing w:before="360" w:line="240" w:lineRule="auto"/>
        <w:jc w:val="both"/>
        <w:rPr>
          <w:rFonts w:cs="Calibri"/>
          <w:b/>
          <w:color w:val="0070C0"/>
          <w:sz w:val="24"/>
          <w:szCs w:val="24"/>
          <w:lang w:val="en-US"/>
        </w:rPr>
      </w:pPr>
      <w:r w:rsidRPr="002E4AA9">
        <w:rPr>
          <w:rFonts w:cs="Calibri"/>
          <w:b/>
          <w:color w:val="0070C0"/>
          <w:sz w:val="24"/>
          <w:szCs w:val="24"/>
          <w:lang w:val="en-US"/>
        </w:rPr>
        <w:t xml:space="preserve">Measure 1: </w:t>
      </w:r>
      <w:r w:rsidR="00547D12" w:rsidRPr="002E4AA9">
        <w:rPr>
          <w:rFonts w:cs="Calibri"/>
          <w:b/>
          <w:color w:val="0070C0"/>
          <w:sz w:val="24"/>
          <w:szCs w:val="24"/>
          <w:lang w:val="en-US"/>
        </w:rPr>
        <w:t>Approval legislative framework for external audit</w:t>
      </w:r>
    </w:p>
    <w:p w14:paraId="62796517"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6628098E" w14:textId="77777777" w:rsidR="007733B2" w:rsidRPr="008C761D" w:rsidRDefault="007733B2" w:rsidP="00E84CD0">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color w:val="202124"/>
          <w:lang w:val="en-US"/>
        </w:rPr>
        <w:t>Strengthening constitutional, financial and operational independence of the State Audit Office by amending the Constitution of RNM and enacting new State Audit Law and bylaws, in accordance with the principles, standards and guidelines of INTOSAI.</w:t>
      </w:r>
    </w:p>
    <w:p w14:paraId="29038380"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findings from external assessments: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324"/>
        <w:gridCol w:w="7748"/>
      </w:tblGrid>
      <w:tr w:rsidR="007733B2" w:rsidRPr="008C761D" w14:paraId="52C3F267" w14:textId="77777777" w:rsidTr="00F66DF5">
        <w:tc>
          <w:tcPr>
            <w:tcW w:w="1324" w:type="dxa"/>
            <w:shd w:val="clear" w:color="auto" w:fill="DDDDDD"/>
          </w:tcPr>
          <w:p w14:paraId="06D88318" w14:textId="77777777" w:rsidR="007733B2" w:rsidRPr="002E4AA9" w:rsidRDefault="007733B2" w:rsidP="00E84CD0">
            <w:pPr>
              <w:spacing w:before="80" w:after="0" w:line="240" w:lineRule="auto"/>
              <w:jc w:val="both"/>
              <w:rPr>
                <w:rFonts w:eastAsia="Times New Roman" w:cs="Calibri"/>
                <w:b/>
                <w:color w:val="202124"/>
                <w:sz w:val="20"/>
                <w:szCs w:val="20"/>
                <w:lang w:val="en-US"/>
              </w:rPr>
            </w:pPr>
            <w:r w:rsidRPr="002E4AA9">
              <w:rPr>
                <w:rFonts w:eastAsia="Times New Roman" w:cs="Calibri"/>
                <w:b/>
                <w:color w:val="202124"/>
                <w:sz w:val="20"/>
                <w:szCs w:val="20"/>
                <w:lang w:val="en-US"/>
              </w:rPr>
              <w:t>EU:</w:t>
            </w:r>
          </w:p>
        </w:tc>
        <w:tc>
          <w:tcPr>
            <w:tcW w:w="7748" w:type="dxa"/>
            <w:shd w:val="clear" w:color="auto" w:fill="DDDDDD"/>
          </w:tcPr>
          <w:p w14:paraId="3B29EF09" w14:textId="77777777" w:rsidR="007733B2" w:rsidRPr="008C761D" w:rsidRDefault="00764B1D" w:rsidP="00E84CD0">
            <w:pPr>
              <w:spacing w:line="240" w:lineRule="auto"/>
              <w:jc w:val="both"/>
              <w:rPr>
                <w:rFonts w:eastAsia="Times New Roman" w:cs="Calibri"/>
                <w:color w:val="202124"/>
                <w:sz w:val="20"/>
                <w:szCs w:val="20"/>
                <w:lang w:val="en-US"/>
              </w:rPr>
            </w:pPr>
            <w:r w:rsidRPr="008C761D">
              <w:rPr>
                <w:rFonts w:eastAsia="Times New Roman" w:cs="Calibri"/>
                <w:sz w:val="20"/>
                <w:szCs w:val="20"/>
                <w:lang w:val="en-US"/>
              </w:rPr>
              <w:t>The State Audit Office Law (SAO) is largely aligned with the standards of the International Organization of Supreme Audit Institutions (INTOSAI). However, further harmonization of the legal framework is currently underway in order to ensure an improved function of the external audit in the public sector, as well as increased financial and operational independence of the SAO. The constitutional amendments providing for the independence of the SAO have not yet been introduced.</w:t>
            </w:r>
          </w:p>
        </w:tc>
      </w:tr>
    </w:tbl>
    <w:p w14:paraId="423733DB" w14:textId="77777777" w:rsidR="007733B2" w:rsidRPr="008C761D" w:rsidRDefault="007733B2" w:rsidP="00E84CD0">
      <w:pPr>
        <w:keepNext/>
        <w:keepLines/>
        <w:spacing w:before="24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5ACD3B9D" w14:textId="77777777" w:rsidR="00764B1D" w:rsidRPr="008C761D" w:rsidRDefault="00764B1D" w:rsidP="00C34014">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color w:val="202124"/>
          <w:lang w:val="en-US"/>
        </w:rPr>
        <w:t>North Macedonia Report 2023 of the European Commission regarding External Audit Area indicate the following aspects for improvement:</w:t>
      </w:r>
    </w:p>
    <w:p w14:paraId="0E74D4D3" w14:textId="77777777" w:rsidR="00764B1D" w:rsidRPr="008C761D"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US"/>
        </w:rPr>
      </w:pPr>
      <w:r w:rsidRPr="008C761D">
        <w:rPr>
          <w:rFonts w:eastAsia="Times New Roman" w:cs="Calibri"/>
          <w:color w:val="202124"/>
          <w:lang w:val="en-US"/>
        </w:rPr>
        <w:t>independence of the State Audit Office to be guaranteed by the Constitution of RNM;</w:t>
      </w:r>
    </w:p>
    <w:p w14:paraId="33154D83" w14:textId="77777777" w:rsidR="00764B1D" w:rsidRPr="008C761D"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US"/>
        </w:rPr>
      </w:pPr>
      <w:r w:rsidRPr="008C761D">
        <w:rPr>
          <w:rFonts w:eastAsia="Times New Roman" w:cs="Calibri"/>
          <w:color w:val="202124"/>
          <w:lang w:val="en-US"/>
        </w:rPr>
        <w:t>legal framework is largely in line with the standards of the International Organization of Supreme Audit Institutions (INTOSAI). However, further alignment of the legal framework is currently under way to ensure improved external audit function in the public sector, as well as to increase SAO financial and operational independence;</w:t>
      </w:r>
    </w:p>
    <w:p w14:paraId="534B7088" w14:textId="77777777" w:rsidR="00764B1D" w:rsidRPr="008C761D"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US"/>
        </w:rPr>
      </w:pPr>
      <w:r w:rsidRPr="008C761D">
        <w:rPr>
          <w:rFonts w:eastAsia="Times New Roman" w:cs="Calibri"/>
          <w:color w:val="202124"/>
          <w:lang w:val="en-US"/>
        </w:rPr>
        <w:t>in the upcoming period SAO will continue to strive for effective completion of the procedure for regulating constitutionality of the State Audit Office and adoption of new State Audit Law to strengthen SAO financial and operational independence in line with INTOSAI principles, standards and guidelines.</w:t>
      </w:r>
    </w:p>
    <w:p w14:paraId="1028F85C" w14:textId="502DB104" w:rsidR="007733B2" w:rsidRPr="002E4AA9" w:rsidRDefault="007733B2" w:rsidP="00E84CD0">
      <w:pPr>
        <w:keepNext/>
        <w:keepLines/>
        <w:spacing w:before="240" w:after="120" w:line="240" w:lineRule="auto"/>
        <w:jc w:val="both"/>
        <w:outlineLvl w:val="3"/>
        <w:rPr>
          <w:rFonts w:eastAsia="MS PGothic" w:cs="Calibri"/>
          <w:b/>
          <w:color w:val="0070C0"/>
          <w:lang w:val="en-US" w:eastAsia="zh-CN"/>
        </w:rPr>
      </w:pPr>
      <w:r w:rsidRPr="002E4AA9">
        <w:rPr>
          <w:rFonts w:eastAsia="MS PGothic" w:cs="Calibri"/>
          <w:b/>
          <w:color w:val="0070C0"/>
          <w:lang w:val="en-US" w:eastAsia="zh-CN"/>
        </w:rPr>
        <w:t xml:space="preserve">Activity 1: </w:t>
      </w:r>
      <w:r w:rsidR="009943B5" w:rsidRPr="002E4AA9">
        <w:rPr>
          <w:rFonts w:eastAsia="MS PGothic" w:cs="Calibri"/>
          <w:b/>
          <w:color w:val="0070C0"/>
          <w:lang w:val="en-US" w:eastAsia="zh-CN"/>
        </w:rPr>
        <w:t>Approval of constitutional changes to achieve constitutional independence of the SAO in accordance with the principles, standards and guidelines of INTOSAI;</w:t>
      </w:r>
    </w:p>
    <w:p w14:paraId="0E79B09D" w14:textId="7E22EFE5" w:rsidR="00C75160" w:rsidRPr="008C761D" w:rsidRDefault="00C75160" w:rsidP="00C34014">
      <w:pPr>
        <w:spacing w:line="240" w:lineRule="auto"/>
        <w:ind w:left="1"/>
        <w:jc w:val="both"/>
        <w:rPr>
          <w:rFonts w:eastAsia="Arial Narrow"/>
          <w:lang w:val="en-US" w:eastAsia="mk-MK"/>
        </w:rPr>
      </w:pPr>
      <w:r w:rsidRPr="008C761D">
        <w:rPr>
          <w:rFonts w:eastAsia="Arial Narrow"/>
          <w:lang w:val="en-US" w:eastAsia="mk-MK"/>
        </w:rPr>
        <w:t>Proposals of draft amendments to the Constitution of the RNM are prepared by the SAO and submitted to the Ministry of Justice as a competent ministry, to the Parliament and the Government. The competent ministry, in coordination with all stakeholders in the pr</w:t>
      </w:r>
      <w:r w:rsidR="00C34014">
        <w:rPr>
          <w:rFonts w:eastAsia="Arial Narrow"/>
          <w:lang w:val="en-US" w:eastAsia="mk-MK"/>
        </w:rPr>
        <w:t>ocess, is expected to submit an</w:t>
      </w:r>
      <w:r w:rsidRPr="008C761D">
        <w:rPr>
          <w:rFonts w:eastAsia="Arial Narrow"/>
          <w:lang w:val="en-US" w:eastAsia="mk-MK"/>
        </w:rPr>
        <w:t xml:space="preserve"> approved constitution </w:t>
      </w:r>
      <w:r w:rsidR="00C34014" w:rsidRPr="008C761D">
        <w:rPr>
          <w:rFonts w:eastAsia="Arial Narrow"/>
          <w:lang w:val="en-US" w:eastAsia="mk-MK"/>
        </w:rPr>
        <w:t>amendments and initiate</w:t>
      </w:r>
      <w:r w:rsidRPr="008C761D">
        <w:rPr>
          <w:rFonts w:eastAsia="Arial Narrow"/>
          <w:lang w:val="en-US" w:eastAsia="mk-MK"/>
        </w:rPr>
        <w:t xml:space="preserve"> procedure for adoption to the Assembly of the RNM for the regulating State Audit Office in the Constitution of the Republic of North Macedonia in order to assure SAO independence. </w:t>
      </w:r>
    </w:p>
    <w:p w14:paraId="6D792C75" w14:textId="77777777" w:rsidR="00C75160" w:rsidRPr="008C761D" w:rsidRDefault="00C75160" w:rsidP="00C34014">
      <w:pPr>
        <w:spacing w:line="240" w:lineRule="auto"/>
        <w:ind w:left="1"/>
        <w:jc w:val="both"/>
        <w:rPr>
          <w:rFonts w:eastAsia="Arial Narrow"/>
          <w:lang w:val="en-US" w:eastAsia="mk-MK"/>
        </w:rPr>
      </w:pPr>
      <w:r w:rsidRPr="008C761D">
        <w:rPr>
          <w:rFonts w:eastAsia="Arial Narrow"/>
          <w:lang w:val="en-US" w:eastAsia="mk-MK"/>
        </w:rPr>
        <w:lastRenderedPageBreak/>
        <w:t>Initiating procedure for adoption of the new State Audit Law as well as for adoption of constitutional amendments is expected in the upcoming period.</w:t>
      </w:r>
    </w:p>
    <w:p w14:paraId="3FB5EFB5" w14:textId="2CF0675A" w:rsidR="007733B2" w:rsidRPr="002E4AA9" w:rsidRDefault="007733B2" w:rsidP="00E84CD0">
      <w:pPr>
        <w:keepNext/>
        <w:keepLines/>
        <w:spacing w:before="160" w:after="6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Activity 2:</w:t>
      </w:r>
      <w:r w:rsidR="002E4AA9">
        <w:rPr>
          <w:rFonts w:eastAsia="MS PGothic" w:cs="Calibri"/>
          <w:b/>
          <w:bCs/>
          <w:iCs/>
          <w:color w:val="0070C0"/>
          <w:lang w:eastAsia="zh-CN"/>
        </w:rPr>
        <w:t xml:space="preserve"> </w:t>
      </w:r>
      <w:r w:rsidR="003F3FB2" w:rsidRPr="002E4AA9">
        <w:rPr>
          <w:rFonts w:eastAsia="MS PGothic" w:cs="Calibri"/>
          <w:b/>
          <w:bCs/>
          <w:iCs/>
          <w:color w:val="0070C0"/>
          <w:lang w:val="en-US" w:eastAsia="zh-CN"/>
        </w:rPr>
        <w:t>Approval external audit legal framework aimed at strengthening financial and operational independence of SAO in line with INTOSAI principles, standards and guidelines</w:t>
      </w:r>
    </w:p>
    <w:p w14:paraId="41B9BEF5" w14:textId="44A10DE3" w:rsidR="003F3FB2" w:rsidRPr="008C761D" w:rsidRDefault="003F3FB2" w:rsidP="00C34014">
      <w:pPr>
        <w:spacing w:line="240" w:lineRule="auto"/>
        <w:jc w:val="both"/>
        <w:rPr>
          <w:rFonts w:eastAsia="Times New Roman" w:cs="Calibri"/>
          <w:color w:val="202124"/>
          <w:lang w:val="en-US"/>
        </w:rPr>
      </w:pPr>
      <w:r w:rsidRPr="008C761D">
        <w:rPr>
          <w:rFonts w:eastAsia="Times New Roman" w:cs="Calibri"/>
          <w:color w:val="202124"/>
          <w:lang w:val="en-US"/>
        </w:rPr>
        <w:t xml:space="preserve">Draft State </w:t>
      </w:r>
      <w:r w:rsidR="00C34014" w:rsidRPr="008C761D">
        <w:rPr>
          <w:rFonts w:eastAsia="Times New Roman" w:cs="Calibri"/>
          <w:color w:val="202124"/>
          <w:lang w:val="en-US"/>
        </w:rPr>
        <w:t>Audit Law</w:t>
      </w:r>
      <w:r w:rsidRPr="008C761D">
        <w:rPr>
          <w:rFonts w:eastAsia="Times New Roman" w:cs="Calibri"/>
          <w:color w:val="202124"/>
          <w:lang w:val="en-US"/>
        </w:rPr>
        <w:t xml:space="preserve"> is prepared in the framework of a </w:t>
      </w:r>
      <w:r w:rsidR="00C34014" w:rsidRPr="008C761D">
        <w:rPr>
          <w:rFonts w:eastAsia="Times New Roman" w:cs="Calibri"/>
          <w:color w:val="202124"/>
          <w:lang w:val="en-US"/>
        </w:rPr>
        <w:t>twinning</w:t>
      </w:r>
      <w:r w:rsidRPr="008C761D">
        <w:rPr>
          <w:rFonts w:eastAsia="Times New Roman" w:cs="Calibri"/>
          <w:color w:val="202124"/>
          <w:lang w:val="en-US"/>
        </w:rPr>
        <w:t xml:space="preserve"> project. This new draft law envisages strengthening financial and operational independence of the State Audit Office and acting upon audit recommendations by the audited entities, and creates opportunities for review of final audit reports by the Assembly of RNM. These are significant improvements to the state audit legislation in line with EU requirements and the International Standards of Supreme Audit Institutions (ISSAIs). Initiating procedure for adoption of the new State Audit Law for strengthening SAO financial and operational independence and presenting the new Draft State Audit Law to the Assembly of the Republic of North Macedonia for adoption is expected in the upcoming period.</w:t>
      </w:r>
    </w:p>
    <w:p w14:paraId="541B201E" w14:textId="77777777" w:rsidR="007733B2" w:rsidRPr="008C761D" w:rsidRDefault="007733B2" w:rsidP="00E84CD0">
      <w:pPr>
        <w:spacing w:line="240" w:lineRule="auto"/>
        <w:jc w:val="both"/>
        <w:rPr>
          <w:rFonts w:eastAsia="Times New Roman" w:cs="Calibri"/>
          <w:color w:val="202124"/>
          <w:lang w:val="en-US"/>
        </w:rPr>
      </w:pPr>
      <w:r w:rsidRPr="008C761D">
        <w:rPr>
          <w:rFonts w:eastAsia="Times New Roman" w:cs="Calibri"/>
          <w:color w:val="202124"/>
          <w:lang w:val="en-US"/>
        </w:rPr>
        <w:t>Preparing proposals for bylaws based on the improved legal framework.</w:t>
      </w:r>
    </w:p>
    <w:p w14:paraId="2FABF5AB"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776AE6FA" w14:textId="77777777" w:rsidTr="00BA5E44">
        <w:tc>
          <w:tcPr>
            <w:tcW w:w="2518" w:type="dxa"/>
            <w:tcBorders>
              <w:top w:val="nil"/>
              <w:bottom w:val="single" w:sz="4" w:space="0" w:color="FFFFFF"/>
            </w:tcBorders>
            <w:shd w:val="clear" w:color="auto" w:fill="2F5496"/>
          </w:tcPr>
          <w:p w14:paraId="72FC61A2" w14:textId="74E985F1" w:rsidR="007733B2" w:rsidRPr="008C761D" w:rsidRDefault="007733B2" w:rsidP="00E84CD0">
            <w:pPr>
              <w:spacing w:after="0" w:line="240" w:lineRule="auto"/>
              <w:jc w:val="both"/>
              <w:rPr>
                <w:rFonts w:cs="Calibri"/>
                <w:b/>
                <w:color w:val="FFFFFF"/>
                <w:sz w:val="20"/>
                <w:szCs w:val="20"/>
                <w:lang w:val="en-US"/>
              </w:rPr>
            </w:pPr>
            <w:r w:rsidRPr="008C761D">
              <w:rPr>
                <w:rFonts w:cs="Calibri"/>
                <w:b/>
                <w:color w:val="FFFFFF"/>
                <w:sz w:val="20"/>
                <w:szCs w:val="20"/>
                <w:lang w:val="en-US"/>
              </w:rPr>
              <w:t>Completed</w:t>
            </w:r>
            <w:r w:rsidR="008D2563">
              <w:rPr>
                <w:rFonts w:cs="Calibri"/>
                <w:b/>
                <w:color w:val="FFFFFF"/>
                <w:sz w:val="20"/>
                <w:szCs w:val="20"/>
              </w:rPr>
              <w:t xml:space="preserve"> </w:t>
            </w:r>
            <w:r w:rsidRPr="008C761D">
              <w:rPr>
                <w:rFonts w:cs="Calibri"/>
                <w:b/>
                <w:color w:val="FFFFFF"/>
                <w:sz w:val="20"/>
                <w:szCs w:val="20"/>
                <w:lang w:val="en-US"/>
              </w:rPr>
              <w:t>in</w:t>
            </w:r>
            <w:r w:rsidR="008D2563">
              <w:rPr>
                <w:rFonts w:cs="Calibri"/>
                <w:b/>
                <w:color w:val="FFFFFF"/>
                <w:sz w:val="20"/>
                <w:szCs w:val="20"/>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573A6CC0" w14:textId="71D2DF5E" w:rsidR="007733B2" w:rsidRPr="008C761D" w:rsidRDefault="00DE7D8F" w:rsidP="00DE7D8F">
            <w:pPr>
              <w:tabs>
                <w:tab w:val="left" w:pos="273"/>
              </w:tabs>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3F3FB2" w:rsidRPr="008C761D">
              <w:rPr>
                <w:rFonts w:eastAsia="Times New Roman" w:cs="Calibri"/>
                <w:color w:val="202124"/>
                <w:sz w:val="20"/>
                <w:szCs w:val="20"/>
                <w:lang w:val="en-US"/>
              </w:rPr>
              <w:t>7</w:t>
            </w:r>
          </w:p>
        </w:tc>
      </w:tr>
      <w:tr w:rsidR="007733B2" w:rsidRPr="008C761D" w14:paraId="3C12FBFE" w14:textId="77777777" w:rsidTr="00BA5E44">
        <w:tc>
          <w:tcPr>
            <w:tcW w:w="2518" w:type="dxa"/>
            <w:tcBorders>
              <w:top w:val="single" w:sz="4" w:space="0" w:color="FFFFFF"/>
              <w:bottom w:val="single" w:sz="4" w:space="0" w:color="FFFFFF"/>
            </w:tcBorders>
            <w:shd w:val="clear" w:color="auto" w:fill="2F5496"/>
          </w:tcPr>
          <w:p w14:paraId="5B2BEDDE" w14:textId="77777777" w:rsidR="007733B2" w:rsidRPr="008C761D" w:rsidRDefault="007733B2" w:rsidP="00E84CD0">
            <w:pPr>
              <w:spacing w:after="0"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F5150F7" w14:textId="77777777" w:rsidR="003F3FB2" w:rsidRPr="008C761D" w:rsidRDefault="003F3FB2" w:rsidP="003A338C">
            <w:pPr>
              <w:numPr>
                <w:ilvl w:val="0"/>
                <w:numId w:val="75"/>
              </w:numPr>
              <w:tabs>
                <w:tab w:val="left" w:pos="273"/>
                <w:tab w:val="left" w:pos="317"/>
              </w:tabs>
              <w:spacing w:after="0" w:line="240" w:lineRule="auto"/>
              <w:ind w:left="273" w:hanging="180"/>
              <w:jc w:val="both"/>
              <w:rPr>
                <w:rFonts w:cs="Calibri"/>
                <w:sz w:val="20"/>
                <w:szCs w:val="20"/>
                <w:lang w:val="en-US"/>
              </w:rPr>
            </w:pPr>
            <w:r w:rsidRPr="008C761D">
              <w:rPr>
                <w:rFonts w:cs="Calibri"/>
                <w:sz w:val="20"/>
                <w:szCs w:val="20"/>
                <w:lang w:val="en-US"/>
              </w:rPr>
              <w:t>Approved draft amendment to the Constitution of the RNM for SAO regulation as a constitutional category to be submitted by the authorized proposer of the constitutional amendment tothe Assembly of the RNM for adoption;</w:t>
            </w:r>
          </w:p>
          <w:p w14:paraId="2D9BDC1D" w14:textId="77777777" w:rsidR="003F3FB2" w:rsidRPr="008C761D" w:rsidRDefault="003F3FB2" w:rsidP="003A338C">
            <w:pPr>
              <w:numPr>
                <w:ilvl w:val="0"/>
                <w:numId w:val="75"/>
              </w:numPr>
              <w:tabs>
                <w:tab w:val="left" w:pos="273"/>
                <w:tab w:val="left" w:pos="317"/>
              </w:tabs>
              <w:spacing w:after="0" w:line="240" w:lineRule="auto"/>
              <w:ind w:left="273" w:hanging="180"/>
              <w:jc w:val="both"/>
              <w:rPr>
                <w:rFonts w:eastAsia="Times New Roman" w:cs="Calibri"/>
                <w:sz w:val="20"/>
                <w:szCs w:val="20"/>
                <w:lang w:val="en-US"/>
              </w:rPr>
            </w:pPr>
            <w:r w:rsidRPr="008C761D">
              <w:rPr>
                <w:rFonts w:eastAsia="Times New Roman" w:cs="Calibri"/>
                <w:sz w:val="20"/>
                <w:szCs w:val="20"/>
                <w:lang w:val="en-US"/>
              </w:rPr>
              <w:t xml:space="preserve">A new </w:t>
            </w:r>
            <w:proofErr w:type="gramStart"/>
            <w:r w:rsidRPr="008C761D">
              <w:rPr>
                <w:rFonts w:eastAsia="Times New Roman" w:cs="Calibri"/>
                <w:sz w:val="20"/>
                <w:szCs w:val="20"/>
                <w:lang w:val="en-US"/>
              </w:rPr>
              <w:t>draft  StateAuditLAW</w:t>
            </w:r>
            <w:proofErr w:type="gramEnd"/>
            <w:r w:rsidRPr="008C761D">
              <w:rPr>
                <w:rFonts w:eastAsia="Times New Roman" w:cs="Calibri"/>
                <w:sz w:val="20"/>
                <w:szCs w:val="20"/>
                <w:lang w:val="en-US"/>
              </w:rPr>
              <w:t xml:space="preserve"> aims to strengthen the financial and operational independence of the SAO prepared within the framework of a Twinning project to be submitted to the RNM Assembly for adoption;</w:t>
            </w:r>
          </w:p>
          <w:p w14:paraId="32B3F035" w14:textId="01C73E5C" w:rsidR="007733B2" w:rsidRPr="008C761D" w:rsidRDefault="003F3FB2" w:rsidP="003A338C">
            <w:pPr>
              <w:numPr>
                <w:ilvl w:val="0"/>
                <w:numId w:val="75"/>
              </w:numPr>
              <w:tabs>
                <w:tab w:val="left" w:pos="273"/>
                <w:tab w:val="left" w:pos="317"/>
              </w:tabs>
              <w:spacing w:after="0" w:line="240" w:lineRule="auto"/>
              <w:ind w:left="273" w:hanging="180"/>
              <w:jc w:val="both"/>
              <w:rPr>
                <w:rFonts w:eastAsia="Times New Roman" w:cs="Calibri"/>
                <w:color w:val="202124"/>
                <w:sz w:val="20"/>
                <w:szCs w:val="20"/>
                <w:lang w:val="en-US"/>
              </w:rPr>
            </w:pPr>
            <w:r w:rsidRPr="008C761D">
              <w:rPr>
                <w:rFonts w:eastAsia="Times New Roman" w:cs="Calibri"/>
                <w:sz w:val="20"/>
                <w:szCs w:val="20"/>
                <w:lang w:val="en-US"/>
              </w:rPr>
              <w:t>Proposals for by-laws based on the improved legal framework.</w:t>
            </w:r>
          </w:p>
        </w:tc>
      </w:tr>
      <w:tr w:rsidR="007733B2" w:rsidRPr="008C761D" w14:paraId="1312A581" w14:textId="77777777" w:rsidTr="00BA5E44">
        <w:tc>
          <w:tcPr>
            <w:tcW w:w="2518" w:type="dxa"/>
            <w:tcBorders>
              <w:top w:val="single" w:sz="4" w:space="0" w:color="FFFFFF"/>
              <w:bottom w:val="single" w:sz="4" w:space="0" w:color="FFFFFF"/>
            </w:tcBorders>
            <w:shd w:val="clear" w:color="auto" w:fill="2F5496"/>
          </w:tcPr>
          <w:p w14:paraId="3F5A17D7" w14:textId="3AD45024" w:rsidR="007733B2" w:rsidRPr="008C761D" w:rsidRDefault="007733B2" w:rsidP="00E84CD0">
            <w:pPr>
              <w:spacing w:after="0" w:line="240" w:lineRule="auto"/>
              <w:jc w:val="both"/>
              <w:rPr>
                <w:rFonts w:cs="Calibri"/>
                <w:b/>
                <w:color w:val="FFFFFF"/>
                <w:sz w:val="20"/>
                <w:szCs w:val="20"/>
                <w:lang w:val="en-US"/>
              </w:rPr>
            </w:pPr>
            <w:r w:rsidRPr="008C761D">
              <w:rPr>
                <w:rFonts w:cs="Calibri"/>
                <w:b/>
                <w:color w:val="FFFFFF"/>
                <w:sz w:val="20"/>
                <w:szCs w:val="20"/>
                <w:lang w:val="en-US"/>
              </w:rPr>
              <w:t>Costsi</w:t>
            </w:r>
            <w:r w:rsidR="008D2563">
              <w:rPr>
                <w:rFonts w:cs="Calibri"/>
                <w:b/>
                <w:color w:val="FFFFFF"/>
                <w:sz w:val="20"/>
                <w:szCs w:val="20"/>
              </w:rPr>
              <w:t xml:space="preserve"> </w:t>
            </w:r>
            <w:r w:rsidRPr="008C761D">
              <w:rPr>
                <w:rFonts w:cs="Calibri"/>
                <w:b/>
                <w:color w:val="FFFFFF"/>
                <w:sz w:val="20"/>
                <w:szCs w:val="20"/>
                <w:lang w:val="en-US"/>
              </w:rPr>
              <w:t>mplications:</w:t>
            </w:r>
          </w:p>
        </w:tc>
        <w:tc>
          <w:tcPr>
            <w:tcW w:w="6246" w:type="dxa"/>
            <w:tcBorders>
              <w:top w:val="single" w:sz="4" w:space="0" w:color="FFFFFF"/>
              <w:bottom w:val="single" w:sz="4" w:space="0" w:color="FFFFFF"/>
            </w:tcBorders>
            <w:shd w:val="clear" w:color="auto" w:fill="D9E2F3"/>
          </w:tcPr>
          <w:p w14:paraId="7E516167" w14:textId="77777777" w:rsidR="007733B2" w:rsidRPr="008C761D" w:rsidRDefault="007733B2" w:rsidP="003A338C">
            <w:pPr>
              <w:numPr>
                <w:ilvl w:val="0"/>
                <w:numId w:val="75"/>
              </w:numPr>
              <w:tabs>
                <w:tab w:val="left" w:pos="122"/>
                <w:tab w:val="left" w:pos="273"/>
              </w:tabs>
              <w:spacing w:after="0" w:line="240" w:lineRule="auto"/>
              <w:ind w:left="273" w:hanging="180"/>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EUR 21,000 </w:t>
            </w:r>
          </w:p>
        </w:tc>
      </w:tr>
      <w:tr w:rsidR="007733B2" w:rsidRPr="008C761D" w14:paraId="0BB74975" w14:textId="77777777" w:rsidTr="00BA5E44">
        <w:tc>
          <w:tcPr>
            <w:tcW w:w="2518" w:type="dxa"/>
            <w:tcBorders>
              <w:top w:val="single" w:sz="4" w:space="0" w:color="FFFFFF"/>
              <w:bottom w:val="single" w:sz="4" w:space="0" w:color="FFFFFF"/>
            </w:tcBorders>
            <w:shd w:val="clear" w:color="auto" w:fill="2F5496"/>
          </w:tcPr>
          <w:p w14:paraId="4D640DB8" w14:textId="7E1350A3" w:rsidR="007733B2" w:rsidRPr="008C761D" w:rsidRDefault="007733B2" w:rsidP="00E84CD0">
            <w:pPr>
              <w:spacing w:after="0" w:line="240" w:lineRule="auto"/>
              <w:jc w:val="both"/>
              <w:rPr>
                <w:rFonts w:cs="Calibri"/>
                <w:b/>
                <w:color w:val="FFFFFF"/>
                <w:sz w:val="20"/>
                <w:szCs w:val="20"/>
                <w:lang w:val="en-US"/>
              </w:rPr>
            </w:pPr>
            <w:r w:rsidRPr="008C761D">
              <w:rPr>
                <w:rFonts w:cs="Calibri"/>
                <w:b/>
                <w:color w:val="FFFFFF"/>
                <w:sz w:val="20"/>
                <w:szCs w:val="20"/>
                <w:lang w:val="en-US"/>
              </w:rPr>
              <w:t>Responsible</w:t>
            </w:r>
            <w:r w:rsidR="008D2563">
              <w:rPr>
                <w:rFonts w:cs="Calibri"/>
                <w:b/>
                <w:color w:val="FFFFFF"/>
                <w:sz w:val="20"/>
                <w:szCs w:val="20"/>
              </w:rPr>
              <w:t xml:space="preserve"> </w:t>
            </w:r>
            <w:r w:rsidRPr="008C761D">
              <w:rPr>
                <w:rFonts w:cs="Calibri"/>
                <w:b/>
                <w:color w:val="FFFFFF"/>
                <w:sz w:val="20"/>
                <w:szCs w:val="20"/>
                <w:lang w:val="en-US"/>
              </w:rPr>
              <w:t xml:space="preserve">entity: </w:t>
            </w:r>
          </w:p>
        </w:tc>
        <w:tc>
          <w:tcPr>
            <w:tcW w:w="6246" w:type="dxa"/>
            <w:tcBorders>
              <w:top w:val="single" w:sz="4" w:space="0" w:color="FFFFFF"/>
              <w:bottom w:val="single" w:sz="4" w:space="0" w:color="FFFFFF"/>
            </w:tcBorders>
            <w:shd w:val="clear" w:color="auto" w:fill="D9E2F3"/>
          </w:tcPr>
          <w:p w14:paraId="126F2D1B" w14:textId="77777777" w:rsidR="00764B1D" w:rsidRPr="008C761D" w:rsidRDefault="00764B1D" w:rsidP="003A338C">
            <w:pPr>
              <w:numPr>
                <w:ilvl w:val="0"/>
                <w:numId w:val="75"/>
              </w:numPr>
              <w:tabs>
                <w:tab w:val="left" w:pos="122"/>
                <w:tab w:val="left" w:pos="273"/>
              </w:tabs>
              <w:spacing w:after="0" w:line="240" w:lineRule="auto"/>
              <w:ind w:left="273" w:hanging="180"/>
              <w:jc w:val="both"/>
              <w:rPr>
                <w:rFonts w:eastAsia="Times New Roman" w:cs="Calibri"/>
                <w:sz w:val="20"/>
                <w:szCs w:val="20"/>
                <w:lang w:val="en-US"/>
              </w:rPr>
            </w:pPr>
            <w:r w:rsidRPr="008C761D">
              <w:rPr>
                <w:rFonts w:eastAsia="Times New Roman" w:cs="Calibri"/>
                <w:sz w:val="20"/>
                <w:szCs w:val="20"/>
                <w:lang w:val="en-US"/>
              </w:rPr>
              <w:t>The Ministry of Finance, the RNM Government and the RNM Assembly</w:t>
            </w:r>
          </w:p>
          <w:p w14:paraId="4E220F71" w14:textId="77777777" w:rsidR="007733B2" w:rsidRPr="008C761D" w:rsidRDefault="00764B1D" w:rsidP="003A338C">
            <w:pPr>
              <w:numPr>
                <w:ilvl w:val="0"/>
                <w:numId w:val="75"/>
              </w:numPr>
              <w:tabs>
                <w:tab w:val="left" w:pos="122"/>
                <w:tab w:val="left" w:pos="273"/>
              </w:tabs>
              <w:spacing w:after="0" w:line="240" w:lineRule="auto"/>
              <w:ind w:left="273" w:hanging="180"/>
              <w:jc w:val="both"/>
              <w:rPr>
                <w:rFonts w:eastAsia="Times New Roman" w:cs="Calibri"/>
                <w:color w:val="202124"/>
                <w:sz w:val="20"/>
                <w:szCs w:val="20"/>
                <w:lang w:val="en-US"/>
              </w:rPr>
            </w:pPr>
            <w:r w:rsidRPr="008C761D">
              <w:rPr>
                <w:rFonts w:eastAsia="Times New Roman" w:cs="Calibri"/>
                <w:sz w:val="20"/>
                <w:szCs w:val="20"/>
                <w:lang w:val="en-US"/>
              </w:rPr>
              <w:t>SAO, aftertheadoptionoftheLawonStateAudit, fortheadoptionofby-laws</w:t>
            </w:r>
          </w:p>
        </w:tc>
      </w:tr>
      <w:tr w:rsidR="007733B2" w:rsidRPr="008C761D" w14:paraId="0F420506" w14:textId="77777777" w:rsidTr="00BA5E44">
        <w:tc>
          <w:tcPr>
            <w:tcW w:w="2518" w:type="dxa"/>
            <w:tcBorders>
              <w:top w:val="single" w:sz="4" w:space="0" w:color="FFFFFF"/>
              <w:bottom w:val="nil"/>
            </w:tcBorders>
            <w:shd w:val="clear" w:color="auto" w:fill="2F5496"/>
          </w:tcPr>
          <w:p w14:paraId="1189B418" w14:textId="77777777" w:rsidR="007733B2" w:rsidRPr="008C761D" w:rsidRDefault="007733B2" w:rsidP="00E84CD0">
            <w:pPr>
              <w:spacing w:after="0"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6ACEC519" w14:textId="77777777" w:rsidR="006C2AB0" w:rsidRPr="008C761D" w:rsidRDefault="006C2AB0" w:rsidP="003A338C">
            <w:pPr>
              <w:numPr>
                <w:ilvl w:val="0"/>
                <w:numId w:val="75"/>
              </w:numPr>
              <w:tabs>
                <w:tab w:val="left" w:pos="273"/>
                <w:tab w:val="left" w:pos="317"/>
                <w:tab w:val="left" w:pos="360"/>
              </w:tabs>
              <w:spacing w:after="0" w:line="240" w:lineRule="auto"/>
              <w:ind w:left="273" w:hanging="180"/>
              <w:jc w:val="both"/>
              <w:rPr>
                <w:rFonts w:eastAsia="Times New Roman" w:cs="Calibri"/>
                <w:sz w:val="20"/>
                <w:szCs w:val="20"/>
                <w:lang w:val="en-US"/>
              </w:rPr>
            </w:pPr>
            <w:r w:rsidRPr="008C761D">
              <w:rPr>
                <w:rFonts w:eastAsia="Times New Roman" w:cs="Calibri"/>
                <w:sz w:val="20"/>
                <w:szCs w:val="20"/>
                <w:lang w:val="en-US"/>
              </w:rPr>
              <w:t>The proposal for amending the Constitution of RNM for regulating the SAO as a constitutional category was not submitted by the authorized proposer of the constitutional amendment and was not adopted by the Assembly</w:t>
            </w:r>
          </w:p>
          <w:p w14:paraId="683D35B3" w14:textId="61F16780" w:rsidR="007733B2" w:rsidRPr="008C761D" w:rsidRDefault="006C2AB0" w:rsidP="003A338C">
            <w:pPr>
              <w:numPr>
                <w:ilvl w:val="0"/>
                <w:numId w:val="75"/>
              </w:numPr>
              <w:tabs>
                <w:tab w:val="left" w:pos="273"/>
                <w:tab w:val="left" w:pos="317"/>
                <w:tab w:val="left" w:pos="360"/>
              </w:tabs>
              <w:spacing w:after="0" w:line="240" w:lineRule="auto"/>
              <w:ind w:left="273" w:hanging="180"/>
              <w:jc w:val="both"/>
              <w:rPr>
                <w:rFonts w:eastAsia="Times New Roman" w:cs="Calibri"/>
                <w:color w:val="202124"/>
                <w:sz w:val="20"/>
                <w:szCs w:val="20"/>
                <w:lang w:val="en-US"/>
              </w:rPr>
            </w:pPr>
            <w:r w:rsidRPr="008C761D">
              <w:rPr>
                <w:rFonts w:eastAsia="Times New Roman" w:cs="Calibri"/>
                <w:sz w:val="20"/>
                <w:szCs w:val="20"/>
                <w:lang w:val="en-US"/>
              </w:rPr>
              <w:t>New draft State Audit Law for strengthening SAO financial and operational independence not submitted and not adopted by the Assembly</w:t>
            </w:r>
          </w:p>
        </w:tc>
      </w:tr>
    </w:tbl>
    <w:p w14:paraId="72C7675B" w14:textId="77777777" w:rsidR="007733B2" w:rsidRPr="008C761D" w:rsidRDefault="007733B2" w:rsidP="00E84CD0">
      <w:pPr>
        <w:spacing w:before="360" w:line="240" w:lineRule="auto"/>
        <w:jc w:val="both"/>
        <w:rPr>
          <w:rFonts w:cs="Calibri"/>
          <w:b/>
          <w:color w:val="0070C0"/>
          <w:sz w:val="24"/>
          <w:szCs w:val="24"/>
          <w:lang w:val="en-US"/>
        </w:rPr>
      </w:pPr>
      <w:r w:rsidRPr="008C761D">
        <w:rPr>
          <w:rFonts w:cs="Calibri"/>
          <w:b/>
          <w:color w:val="0070C0"/>
          <w:sz w:val="24"/>
          <w:szCs w:val="24"/>
          <w:lang w:val="en-US"/>
        </w:rPr>
        <w:t>Measure 2: Strengthening the institutional capacity and human resource capacities of the SAO</w:t>
      </w:r>
    </w:p>
    <w:p w14:paraId="66D50664"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15631FBE" w14:textId="77777777" w:rsidR="00764B1D" w:rsidRPr="008C761D" w:rsidRDefault="00764B1D" w:rsidP="00764B1D">
      <w:pPr>
        <w:spacing w:line="240" w:lineRule="auto"/>
        <w:jc w:val="both"/>
        <w:rPr>
          <w:rFonts w:eastAsia="Times New Roman" w:cs="Calibri"/>
          <w:lang w:val="en-US"/>
        </w:rPr>
      </w:pPr>
      <w:r w:rsidRPr="008C761D">
        <w:rPr>
          <w:rFonts w:eastAsia="Times New Roman" w:cs="Calibri"/>
          <w:lang w:val="en-US"/>
        </w:rPr>
        <w:t xml:space="preserve">Strengthening the institutional and human resources capacities of the SAO in order to increase the effects of the performed audits (full audit coverage of LSG and the City of Skopje, Public Entreprisesat the central and local </w:t>
      </w:r>
      <w:proofErr w:type="gramStart"/>
      <w:r w:rsidRPr="008C761D">
        <w:rPr>
          <w:rFonts w:eastAsia="Times New Roman" w:cs="Calibri"/>
          <w:lang w:val="en-US"/>
        </w:rPr>
        <w:t>level  and</w:t>
      </w:r>
      <w:proofErr w:type="gramEnd"/>
      <w:r w:rsidRPr="008C761D">
        <w:rPr>
          <w:rFonts w:eastAsia="Times New Roman" w:cs="Calibri"/>
          <w:lang w:val="en-US"/>
        </w:rPr>
        <w:t xml:space="preserve"> JSCstate owned) and the added value of SAO work.</w:t>
      </w:r>
    </w:p>
    <w:p w14:paraId="16C587B4"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findings from external assessments: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324"/>
        <w:gridCol w:w="7748"/>
      </w:tblGrid>
      <w:tr w:rsidR="007733B2" w:rsidRPr="008C761D" w14:paraId="1A520112" w14:textId="77777777" w:rsidTr="00F66DF5">
        <w:tc>
          <w:tcPr>
            <w:tcW w:w="1324" w:type="dxa"/>
            <w:shd w:val="clear" w:color="auto" w:fill="DDDDDD"/>
          </w:tcPr>
          <w:p w14:paraId="32F3C967" w14:textId="77777777" w:rsidR="007733B2" w:rsidRPr="002E4AA9" w:rsidRDefault="007733B2" w:rsidP="00E84CD0">
            <w:pPr>
              <w:spacing w:before="80" w:after="0" w:line="240" w:lineRule="auto"/>
              <w:jc w:val="both"/>
              <w:rPr>
                <w:rFonts w:eastAsia="Times New Roman" w:cs="Calibri"/>
                <w:b/>
                <w:color w:val="202124"/>
                <w:sz w:val="20"/>
                <w:szCs w:val="20"/>
                <w:lang w:val="en-US"/>
              </w:rPr>
            </w:pPr>
            <w:r w:rsidRPr="002E4AA9">
              <w:rPr>
                <w:rFonts w:eastAsia="Times New Roman" w:cs="Calibri"/>
                <w:b/>
                <w:color w:val="202124"/>
                <w:sz w:val="20"/>
                <w:szCs w:val="20"/>
                <w:lang w:val="en-US"/>
              </w:rPr>
              <w:t>EU:</w:t>
            </w:r>
            <w:r w:rsidR="00764B1D" w:rsidRPr="002E4AA9">
              <w:rPr>
                <w:rFonts w:eastAsia="Times New Roman" w:cs="Calibri"/>
                <w:b/>
                <w:color w:val="202124"/>
                <w:sz w:val="20"/>
                <w:szCs w:val="20"/>
                <w:lang w:val="en-US"/>
              </w:rPr>
              <w:t xml:space="preserve"> 2023</w:t>
            </w:r>
          </w:p>
        </w:tc>
        <w:tc>
          <w:tcPr>
            <w:tcW w:w="7748" w:type="dxa"/>
            <w:shd w:val="clear" w:color="auto" w:fill="DDDDDD"/>
          </w:tcPr>
          <w:p w14:paraId="4D82330F" w14:textId="77777777" w:rsidR="00764B1D" w:rsidRPr="008C761D" w:rsidRDefault="00764B1D" w:rsidP="00764B1D">
            <w:pPr>
              <w:spacing w:after="120" w:line="240" w:lineRule="auto"/>
              <w:jc w:val="both"/>
              <w:rPr>
                <w:rFonts w:eastAsia="Times New Roman" w:cs="Calibri"/>
                <w:color w:val="202124"/>
                <w:sz w:val="20"/>
                <w:szCs w:val="20"/>
                <w:lang w:val="en-US"/>
              </w:rPr>
            </w:pPr>
            <w:proofErr w:type="gramStart"/>
            <w:r w:rsidRPr="008C761D">
              <w:rPr>
                <w:rFonts w:eastAsia="Times New Roman" w:cs="Calibri"/>
                <w:color w:val="202124"/>
                <w:sz w:val="20"/>
                <w:szCs w:val="20"/>
                <w:lang w:val="en-US"/>
              </w:rPr>
              <w:t>SAO  capacity</w:t>
            </w:r>
            <w:proofErr w:type="gramEnd"/>
            <w:r w:rsidRPr="008C761D">
              <w:rPr>
                <w:rFonts w:eastAsia="Times New Roman" w:cs="Calibri"/>
                <w:color w:val="202124"/>
                <w:sz w:val="20"/>
                <w:szCs w:val="20"/>
                <w:lang w:val="en-US"/>
              </w:rPr>
              <w:t xml:space="preserve"> needs to be further strengthen.</w:t>
            </w:r>
          </w:p>
          <w:p w14:paraId="16ED9A99" w14:textId="77777777" w:rsidR="00764B1D" w:rsidRPr="008C761D" w:rsidRDefault="00764B1D" w:rsidP="00764B1D">
            <w:pPr>
              <w:spacing w:after="12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The quality </w:t>
            </w:r>
            <w:proofErr w:type="gramStart"/>
            <w:r w:rsidRPr="008C761D">
              <w:rPr>
                <w:rFonts w:eastAsia="Times New Roman" w:cs="Calibri"/>
                <w:color w:val="202124"/>
                <w:sz w:val="20"/>
                <w:szCs w:val="20"/>
                <w:lang w:val="en-US"/>
              </w:rPr>
              <w:t>of  SAO</w:t>
            </w:r>
            <w:proofErr w:type="gramEnd"/>
            <w:r w:rsidRPr="008C761D">
              <w:rPr>
                <w:rFonts w:eastAsia="Times New Roman" w:cs="Calibri"/>
                <w:color w:val="202124"/>
                <w:sz w:val="20"/>
                <w:szCs w:val="20"/>
                <w:lang w:val="en-US"/>
              </w:rPr>
              <w:t xml:space="preserve"> work is considered sufficient. The quality of audit reports is recognized by local and international stakeholders, but SAO work needs to be peer reviewed, in order to assess compliance with the International Standards of Supreme Audit Institutions, </w:t>
            </w:r>
            <w:proofErr w:type="gramStart"/>
            <w:r w:rsidRPr="008C761D">
              <w:rPr>
                <w:rFonts w:eastAsia="Times New Roman" w:cs="Calibri"/>
                <w:color w:val="202124"/>
                <w:sz w:val="20"/>
                <w:szCs w:val="20"/>
                <w:lang w:val="en-US"/>
              </w:rPr>
              <w:t xml:space="preserve">and  </w:t>
            </w:r>
            <w:r w:rsidRPr="008C761D">
              <w:rPr>
                <w:rFonts w:eastAsia="Times New Roman" w:cs="Calibri"/>
                <w:color w:val="202124"/>
                <w:sz w:val="20"/>
                <w:szCs w:val="20"/>
                <w:lang w:val="en-US"/>
              </w:rPr>
              <w:lastRenderedPageBreak/>
              <w:t>peer</w:t>
            </w:r>
            <w:proofErr w:type="gramEnd"/>
            <w:r w:rsidRPr="008C761D">
              <w:rPr>
                <w:rFonts w:eastAsia="Times New Roman" w:cs="Calibri"/>
                <w:color w:val="202124"/>
                <w:sz w:val="20"/>
                <w:szCs w:val="20"/>
                <w:lang w:val="en-US"/>
              </w:rPr>
              <w:t xml:space="preserve"> review report should be publicly available.</w:t>
            </w:r>
          </w:p>
          <w:p w14:paraId="34509262" w14:textId="77777777" w:rsidR="00764B1D" w:rsidRPr="008C761D" w:rsidRDefault="00764B1D" w:rsidP="00764B1D">
            <w:pPr>
              <w:spacing w:after="12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Progress has been made in raising public awareness of the activities of the SAO, increasing the interest of the media as well as other stakeholders, but it is necessary to strengthen transparency and accountability over the management of public funds, as well as to strengthen the human and financial capacities of the State audit office (SAO).</w:t>
            </w:r>
          </w:p>
          <w:p w14:paraId="120C994A" w14:textId="77777777" w:rsidR="00764B1D" w:rsidRPr="008C761D" w:rsidRDefault="00764B1D" w:rsidP="00764B1D">
            <w:pPr>
              <w:spacing w:after="12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SAO should strengthen cooperation with anti-corruption institutions.</w:t>
            </w:r>
          </w:p>
          <w:p w14:paraId="08615DA4" w14:textId="77777777" w:rsidR="007733B2" w:rsidRPr="008C761D" w:rsidRDefault="00764B1D" w:rsidP="00764B1D">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To ensure a timely audit of the financial statements of the PE and submission of audit reports within six months from the end of the year, as well as conducting an audit of the LGU on an annual base in odert to improve the regularity of the LGU's spending for the purposes of the process of monitoring fiscal risks.</w:t>
            </w:r>
          </w:p>
        </w:tc>
      </w:tr>
    </w:tbl>
    <w:p w14:paraId="56FFD49F"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lastRenderedPageBreak/>
        <w:t>Context/Background</w:t>
      </w:r>
    </w:p>
    <w:p w14:paraId="2F8CC3BC" w14:textId="77777777" w:rsidR="00764B1D" w:rsidRPr="008C761D" w:rsidRDefault="00764B1D" w:rsidP="00764B1D">
      <w:pPr>
        <w:autoSpaceDE w:val="0"/>
        <w:autoSpaceDN w:val="0"/>
        <w:adjustRightInd w:val="0"/>
        <w:spacing w:before="120" w:line="240" w:lineRule="auto"/>
        <w:jc w:val="both"/>
        <w:rPr>
          <w:rFonts w:eastAsia="Times New Roman" w:cs="Calibri"/>
          <w:lang w:val="en-US"/>
        </w:rPr>
      </w:pPr>
      <w:r w:rsidRPr="008C761D">
        <w:rPr>
          <w:rFonts w:eastAsia="Times New Roman" w:cs="Calibri"/>
          <w:lang w:val="en-US"/>
        </w:rPr>
        <w:t>North Macedonia Report for 2023 of the European Commission regarding External audit areadindicates the following aspects for improvement:</w:t>
      </w:r>
    </w:p>
    <w:p w14:paraId="463DD352" w14:textId="77777777" w:rsidR="00764B1D" w:rsidRPr="008C761D" w:rsidRDefault="00764B1D" w:rsidP="003A338C">
      <w:pPr>
        <w:pStyle w:val="ListParagraph"/>
        <w:numPr>
          <w:ilvl w:val="0"/>
          <w:numId w:val="79"/>
        </w:numPr>
        <w:autoSpaceDE w:val="0"/>
        <w:autoSpaceDN w:val="0"/>
        <w:adjustRightInd w:val="0"/>
        <w:spacing w:before="120" w:line="240" w:lineRule="auto"/>
        <w:rPr>
          <w:rFonts w:eastAsia="Times New Roman" w:cs="Calibri"/>
          <w:lang w:val="en-US"/>
        </w:rPr>
      </w:pPr>
      <w:r w:rsidRPr="008C761D">
        <w:rPr>
          <w:rFonts w:eastAsia="Times New Roman" w:cs="Calibri"/>
          <w:lang w:val="en-US"/>
        </w:rPr>
        <w:t>SAO recommendations to be effectively implemented by the audited entities;</w:t>
      </w:r>
    </w:p>
    <w:p w14:paraId="4CE0CA54" w14:textId="77777777" w:rsidR="00764B1D" w:rsidRPr="008C761D" w:rsidRDefault="00764B1D" w:rsidP="003A338C">
      <w:pPr>
        <w:pStyle w:val="ListParagraph"/>
        <w:numPr>
          <w:ilvl w:val="0"/>
          <w:numId w:val="79"/>
        </w:numPr>
        <w:autoSpaceDE w:val="0"/>
        <w:autoSpaceDN w:val="0"/>
        <w:adjustRightInd w:val="0"/>
        <w:spacing w:before="120" w:line="240" w:lineRule="auto"/>
        <w:rPr>
          <w:rFonts w:eastAsia="Times New Roman" w:cs="Calibri"/>
          <w:lang w:val="en-US"/>
        </w:rPr>
      </w:pPr>
      <w:r w:rsidRPr="008C761D">
        <w:rPr>
          <w:rFonts w:eastAsia="Times New Roman" w:cs="Calibri"/>
          <w:lang w:val="en-US"/>
        </w:rPr>
        <w:t>SAO makes significant efforts to improve its external communication.</w:t>
      </w:r>
    </w:p>
    <w:p w14:paraId="66BED4AD" w14:textId="77777777" w:rsidR="00764B1D" w:rsidRPr="008C761D" w:rsidRDefault="00764B1D" w:rsidP="00764B1D">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lang w:val="en-US"/>
        </w:rPr>
        <w:t xml:space="preserve">The State Audit Office will continue to strengthen its institutional capacities by strengthening the resources for conducting audits, through the implementation of new and improved strategic, planning and methodological acts, as well as the adoption of new and methodological acts, increasing the number of performance </w:t>
      </w:r>
      <w:proofErr w:type="gramStart"/>
      <w:r w:rsidRPr="008C761D">
        <w:rPr>
          <w:rFonts w:eastAsia="Times New Roman" w:cs="Calibri"/>
          <w:lang w:val="en-US"/>
        </w:rPr>
        <w:t>audits ,</w:t>
      </w:r>
      <w:proofErr w:type="gramEnd"/>
      <w:r w:rsidRPr="008C761D">
        <w:rPr>
          <w:rFonts w:eastAsia="Times New Roman" w:cs="Calibri"/>
          <w:lang w:val="en-US"/>
        </w:rPr>
        <w:t xml:space="preserve"> as well as increasing the scope of audited expenditures. SAO will continue modernizing audit processes by using advanced equipment and working conditions, modern </w:t>
      </w:r>
      <w:r w:rsidRPr="008C761D">
        <w:rPr>
          <w:rFonts w:eastAsia="Times New Roman" w:cs="Calibri"/>
          <w:color w:val="202124"/>
          <w:lang w:val="en-US"/>
        </w:rPr>
        <w:t>audit tools, methodologies, techniques and innovative presentation of audit results to the public, and by strengthening cooperation with stakeholders, with the aim of increasing the degree of implementation of audit recommendations and the effects and added value of SAO work.</w:t>
      </w:r>
    </w:p>
    <w:p w14:paraId="41F1DAB9" w14:textId="77777777" w:rsidR="00764B1D" w:rsidRPr="002E4AA9" w:rsidRDefault="00764B1D" w:rsidP="00E84CD0">
      <w:pPr>
        <w:autoSpaceDE w:val="0"/>
        <w:autoSpaceDN w:val="0"/>
        <w:adjustRightInd w:val="0"/>
        <w:spacing w:before="120" w:line="240" w:lineRule="auto"/>
        <w:jc w:val="both"/>
        <w:rPr>
          <w:rFonts w:eastAsia="MS PGothic" w:cs="Calibri"/>
          <w:b/>
          <w:bCs/>
          <w:iCs/>
          <w:color w:val="0070C0"/>
          <w:lang w:val="en-US" w:eastAsia="zh-CN"/>
        </w:rPr>
      </w:pPr>
      <w:r w:rsidRPr="002E4AA9">
        <w:rPr>
          <w:rFonts w:eastAsia="MS PGothic" w:cs="Calibri"/>
          <w:b/>
          <w:bCs/>
          <w:iCs/>
          <w:color w:val="0070C0"/>
          <w:lang w:val="en-US" w:eastAsia="zh-CN"/>
        </w:rPr>
        <w:t>Activity 1: Implementation of adopted strategic, planning and methodological acts and adoption of new methodological acts of the SAO;</w:t>
      </w:r>
    </w:p>
    <w:p w14:paraId="7660B7EE" w14:textId="217B997F" w:rsidR="003F3FB2" w:rsidRPr="008C761D" w:rsidRDefault="003F3FB2" w:rsidP="003F3FB2">
      <w:pPr>
        <w:keepNext/>
        <w:keepLines/>
        <w:spacing w:before="240" w:after="120" w:line="240" w:lineRule="auto"/>
        <w:jc w:val="both"/>
        <w:outlineLvl w:val="3"/>
        <w:rPr>
          <w:rFonts w:eastAsia="Times New Roman" w:cs="Calibri"/>
          <w:lang w:val="en-US"/>
        </w:rPr>
      </w:pPr>
      <w:r w:rsidRPr="008C761D">
        <w:rPr>
          <w:rFonts w:eastAsia="Times New Roman" w:cs="Calibri"/>
          <w:lang w:val="en-US"/>
        </w:rPr>
        <w:t xml:space="preserve">Implementation of SAO new and improved strategic, planning and methodological acts and adoption of new methodological </w:t>
      </w:r>
      <w:r w:rsidR="00C34014" w:rsidRPr="008C761D">
        <w:rPr>
          <w:rFonts w:eastAsia="Times New Roman" w:cs="Calibri"/>
          <w:lang w:val="en-US"/>
        </w:rPr>
        <w:t>act in</w:t>
      </w:r>
      <w:r w:rsidRPr="008C761D">
        <w:rPr>
          <w:rFonts w:eastAsia="Times New Roman" w:cs="Calibri"/>
          <w:lang w:val="en-US"/>
        </w:rPr>
        <w:t xml:space="preserve"> accordance with INTOSAI principles, standards and guidelines, best practices as well as implementation of EU requirments</w:t>
      </w:r>
      <w:r w:rsidR="00C34014">
        <w:rPr>
          <w:rFonts w:eastAsia="Times New Roman" w:cs="Calibri"/>
          <w:lang w:val="en-US"/>
        </w:rPr>
        <w:t xml:space="preserve"> </w:t>
      </w:r>
      <w:r w:rsidRPr="008C761D">
        <w:rPr>
          <w:rFonts w:eastAsia="Times New Roman" w:cs="Calibri"/>
          <w:lang w:val="en-US"/>
        </w:rPr>
        <w:t xml:space="preserve">for audit on LSG, audit of public enterprises, audit of </w:t>
      </w:r>
      <w:proofErr w:type="gramStart"/>
      <w:r w:rsidRPr="008C761D">
        <w:rPr>
          <w:rFonts w:eastAsia="Times New Roman" w:cs="Calibri"/>
          <w:lang w:val="en-US"/>
        </w:rPr>
        <w:t>state owned</w:t>
      </w:r>
      <w:proofErr w:type="gramEnd"/>
      <w:r w:rsidRPr="008C761D">
        <w:rPr>
          <w:rFonts w:eastAsia="Times New Roman" w:cs="Calibri"/>
          <w:lang w:val="en-US"/>
        </w:rPr>
        <w:t xml:space="preserve"> </w:t>
      </w:r>
      <w:r w:rsidR="00C34014" w:rsidRPr="008C761D">
        <w:rPr>
          <w:rFonts w:eastAsia="Times New Roman" w:cs="Calibri"/>
          <w:lang w:val="en-US"/>
        </w:rPr>
        <w:t>enterprises</w:t>
      </w:r>
      <w:r w:rsidRPr="008C761D">
        <w:rPr>
          <w:rFonts w:eastAsia="Times New Roman" w:cs="Calibri"/>
          <w:lang w:val="en-US"/>
        </w:rPr>
        <w:t xml:space="preserve"> and new audit requirments from the new Organic Budget Law (audit of the financial statements of the Core Budget), int.</w:t>
      </w:r>
    </w:p>
    <w:p w14:paraId="171ABC82" w14:textId="77777777" w:rsidR="007733B2" w:rsidRPr="002E4AA9" w:rsidRDefault="007733B2" w:rsidP="00E84CD0">
      <w:pPr>
        <w:keepNext/>
        <w:keepLines/>
        <w:spacing w:before="240" w:after="12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t>Activity 2: Strengthen the capacity to conduct audits</w:t>
      </w:r>
    </w:p>
    <w:p w14:paraId="77BE814B" w14:textId="77777777" w:rsidR="00764B1D" w:rsidRPr="008C761D" w:rsidRDefault="00764B1D" w:rsidP="00764B1D">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color w:val="202124"/>
          <w:lang w:val="en-US"/>
        </w:rPr>
        <w:t>The institutional and human resource capacities of the SAO will be strengthened in order to increase the number of performance audits, increase the audit scope of public expenditure and ensure continuous quality of operation, high integrity of employees and fulfillment of the appropriate conditions for the audit work.</w:t>
      </w:r>
    </w:p>
    <w:p w14:paraId="627311AE" w14:textId="77777777" w:rsidR="00764B1D" w:rsidRPr="008C761D" w:rsidRDefault="00764B1D" w:rsidP="00764B1D">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color w:val="202124"/>
          <w:lang w:val="en-US"/>
        </w:rPr>
        <w:t>The modernization of the audit processes will continue with the use of advanced equipment and working conditions, modern audit tools, methodologies and techniques for improving the efficiency of the state audit.</w:t>
      </w:r>
    </w:p>
    <w:p w14:paraId="383D65E3" w14:textId="77777777" w:rsidR="00C75160" w:rsidRPr="008C761D" w:rsidRDefault="00C75160" w:rsidP="00C75160">
      <w:pPr>
        <w:autoSpaceDE w:val="0"/>
        <w:autoSpaceDN w:val="0"/>
        <w:adjustRightInd w:val="0"/>
        <w:spacing w:before="120" w:line="240" w:lineRule="auto"/>
        <w:jc w:val="both"/>
        <w:rPr>
          <w:rFonts w:eastAsia="Times New Roman" w:cs="Calibri"/>
          <w:lang w:val="en-US" w:eastAsia="x-none"/>
        </w:rPr>
      </w:pPr>
      <w:bookmarkStart w:id="61" w:name="_Hlk156893308"/>
      <w:r w:rsidRPr="008C761D">
        <w:rPr>
          <w:rFonts w:eastAsia="Times New Roman" w:cs="Calibri"/>
          <w:lang w:val="en-US" w:eastAsia="x-none"/>
        </w:rPr>
        <w:t>Education of new employees for real-time audits, Sustainable Development Goals, Value for money, Forensic audits, LGU audit, public enterprises, commercial companies at the central and local level, review of the State budget.</w:t>
      </w:r>
    </w:p>
    <w:bookmarkEnd w:id="61"/>
    <w:p w14:paraId="315F92B4" w14:textId="77777777" w:rsidR="007733B2" w:rsidRPr="002E4AA9" w:rsidRDefault="007733B2" w:rsidP="00E84CD0">
      <w:pPr>
        <w:keepNext/>
        <w:keepLines/>
        <w:spacing w:before="240" w:after="120" w:line="240" w:lineRule="auto"/>
        <w:jc w:val="both"/>
        <w:outlineLvl w:val="3"/>
        <w:rPr>
          <w:rFonts w:eastAsia="MS PGothic" w:cs="Calibri"/>
          <w:b/>
          <w:bCs/>
          <w:iCs/>
          <w:color w:val="0070C0"/>
          <w:lang w:val="en-US" w:eastAsia="zh-CN"/>
        </w:rPr>
      </w:pPr>
      <w:r w:rsidRPr="002E4AA9">
        <w:rPr>
          <w:rFonts w:eastAsia="MS PGothic" w:cs="Calibri"/>
          <w:b/>
          <w:bCs/>
          <w:iCs/>
          <w:color w:val="0070C0"/>
          <w:lang w:val="en-US" w:eastAsia="zh-CN"/>
        </w:rPr>
        <w:lastRenderedPageBreak/>
        <w:t>Activity 3: Increasing the visibility of the SAO and communication with the stakeholders</w:t>
      </w:r>
    </w:p>
    <w:p w14:paraId="3A8BC40E" w14:textId="77777777" w:rsidR="00764B1D" w:rsidRPr="008C761D" w:rsidRDefault="00764B1D" w:rsidP="00764B1D">
      <w:pPr>
        <w:autoSpaceDE w:val="0"/>
        <w:autoSpaceDN w:val="0"/>
        <w:adjustRightInd w:val="0"/>
        <w:spacing w:before="120" w:line="240" w:lineRule="auto"/>
        <w:jc w:val="both"/>
        <w:rPr>
          <w:rFonts w:eastAsia="Times New Roman" w:cs="Calibri"/>
          <w:lang w:val="en-US"/>
        </w:rPr>
      </w:pPr>
      <w:r w:rsidRPr="008C761D">
        <w:rPr>
          <w:rFonts w:eastAsia="Times New Roman" w:cs="Calibri"/>
          <w:lang w:val="en-US"/>
        </w:rPr>
        <w:t>The institutional and human resource capacities of the SAO will be strengthened in order to increase the effects of the SAO activities, increase SAO visibility and improve the communication processes with stakeholders via electronic tools and media.</w:t>
      </w:r>
    </w:p>
    <w:p w14:paraId="1EED1D90" w14:textId="77777777" w:rsidR="00764B1D" w:rsidRPr="008C761D" w:rsidRDefault="00764B1D" w:rsidP="00764B1D">
      <w:pPr>
        <w:autoSpaceDE w:val="0"/>
        <w:autoSpaceDN w:val="0"/>
        <w:adjustRightInd w:val="0"/>
        <w:spacing w:before="120" w:line="240" w:lineRule="auto"/>
        <w:jc w:val="both"/>
        <w:rPr>
          <w:rFonts w:eastAsia="Times New Roman" w:cs="Calibri"/>
          <w:lang w:val="en-US"/>
        </w:rPr>
      </w:pPr>
      <w:r w:rsidRPr="008C761D">
        <w:rPr>
          <w:rFonts w:eastAsia="Times New Roman" w:cs="Calibri"/>
          <w:lang w:val="en-US"/>
        </w:rPr>
        <w:t>The modernization of the work processes will continue with the use of advanced equipment and modern forms for innovative presentation of the audit results to the public and strengthening cooperation with stakeholders (Assembly, Government, Ministry of Finance, Public Prosecutor's Office, Ministry of Interior, State Commission for Prevention of Corruption, audited entities, the public).</w:t>
      </w:r>
    </w:p>
    <w:p w14:paraId="0993D3F0"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448"/>
        <w:gridCol w:w="6246"/>
      </w:tblGrid>
      <w:tr w:rsidR="007733B2" w:rsidRPr="008C761D" w14:paraId="1A314810" w14:textId="77777777" w:rsidTr="00BA5E44">
        <w:tc>
          <w:tcPr>
            <w:tcW w:w="2448" w:type="dxa"/>
            <w:tcBorders>
              <w:top w:val="nil"/>
              <w:bottom w:val="single" w:sz="4" w:space="0" w:color="FFFFFF"/>
            </w:tcBorders>
            <w:shd w:val="clear" w:color="auto" w:fill="1F3864"/>
          </w:tcPr>
          <w:p w14:paraId="073661A0" w14:textId="126A4F96" w:rsidR="007733B2" w:rsidRPr="008C761D" w:rsidRDefault="007733B2" w:rsidP="00E84CD0">
            <w:pPr>
              <w:spacing w:line="240" w:lineRule="auto"/>
              <w:jc w:val="both"/>
              <w:rPr>
                <w:rFonts w:cs="Calibri"/>
                <w:b/>
                <w:sz w:val="20"/>
                <w:szCs w:val="20"/>
                <w:lang w:val="en-US"/>
              </w:rPr>
            </w:pPr>
            <w:r w:rsidRPr="008C761D">
              <w:rPr>
                <w:rFonts w:cs="Calibri"/>
                <w:b/>
                <w:sz w:val="20"/>
                <w:szCs w:val="20"/>
                <w:lang w:val="en-US"/>
              </w:rPr>
              <w:t>Completed</w:t>
            </w:r>
            <w:r w:rsidR="00C34014">
              <w:rPr>
                <w:rFonts w:cs="Calibri"/>
                <w:b/>
                <w:sz w:val="20"/>
                <w:szCs w:val="20"/>
                <w:lang w:val="en-US"/>
              </w:rPr>
              <w:t xml:space="preserve"> </w:t>
            </w:r>
            <w:r w:rsidRPr="008C761D">
              <w:rPr>
                <w:rFonts w:cs="Calibri"/>
                <w:b/>
                <w:sz w:val="20"/>
                <w:szCs w:val="20"/>
                <w:lang w:val="en-US"/>
              </w:rPr>
              <w:t>in</w:t>
            </w:r>
            <w:r w:rsidR="00C34014">
              <w:rPr>
                <w:rFonts w:cs="Calibri"/>
                <w:b/>
                <w:sz w:val="20"/>
                <w:szCs w:val="20"/>
                <w:lang w:val="en-US"/>
              </w:rPr>
              <w:t xml:space="preserve"> </w:t>
            </w:r>
            <w:r w:rsidRPr="008C761D">
              <w:rPr>
                <w:rFonts w:cs="Calibri"/>
                <w:b/>
                <w:sz w:val="20"/>
                <w:szCs w:val="20"/>
                <w:lang w:val="en-US"/>
              </w:rPr>
              <w:t>year:</w:t>
            </w:r>
          </w:p>
        </w:tc>
        <w:tc>
          <w:tcPr>
            <w:tcW w:w="6246" w:type="dxa"/>
            <w:tcBorders>
              <w:top w:val="nil"/>
              <w:bottom w:val="single" w:sz="4" w:space="0" w:color="FFFFFF"/>
            </w:tcBorders>
            <w:shd w:val="clear" w:color="auto" w:fill="D9E2F3"/>
          </w:tcPr>
          <w:p w14:paraId="4C4BFCE2" w14:textId="77777777" w:rsidR="007733B2" w:rsidRPr="008C761D" w:rsidRDefault="007733B2" w:rsidP="00E84CD0">
            <w:pPr>
              <w:tabs>
                <w:tab w:val="left" w:pos="1526"/>
              </w:tabs>
              <w:spacing w:after="0" w:line="240" w:lineRule="auto"/>
              <w:ind w:left="425" w:hanging="270"/>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764B1D" w:rsidRPr="008C761D">
              <w:rPr>
                <w:rFonts w:eastAsia="Times New Roman" w:cs="Calibri"/>
                <w:color w:val="202124"/>
                <w:sz w:val="20"/>
                <w:szCs w:val="20"/>
                <w:lang w:val="en-US"/>
              </w:rPr>
              <w:t>7</w:t>
            </w:r>
          </w:p>
        </w:tc>
      </w:tr>
      <w:tr w:rsidR="007733B2" w:rsidRPr="008C761D" w14:paraId="5E4E506A" w14:textId="77777777" w:rsidTr="00BA5E44">
        <w:tc>
          <w:tcPr>
            <w:tcW w:w="2448" w:type="dxa"/>
            <w:tcBorders>
              <w:top w:val="single" w:sz="4" w:space="0" w:color="FFFFFF"/>
              <w:bottom w:val="single" w:sz="4" w:space="0" w:color="FFFFFF"/>
            </w:tcBorders>
            <w:shd w:val="clear" w:color="auto" w:fill="1F3864"/>
          </w:tcPr>
          <w:p w14:paraId="6FA65F1B" w14:textId="77777777" w:rsidR="007733B2" w:rsidRPr="008C761D" w:rsidRDefault="007733B2" w:rsidP="00E84CD0">
            <w:pPr>
              <w:spacing w:line="240" w:lineRule="auto"/>
              <w:jc w:val="both"/>
              <w:rPr>
                <w:rFonts w:cs="Calibri"/>
                <w:b/>
                <w:sz w:val="20"/>
                <w:szCs w:val="20"/>
                <w:lang w:val="en-US"/>
              </w:rPr>
            </w:pPr>
            <w:r w:rsidRPr="008C761D">
              <w:rPr>
                <w:rFonts w:cs="Calibri"/>
                <w:b/>
                <w:sz w:val="20"/>
                <w:szCs w:val="20"/>
                <w:lang w:val="en-US"/>
              </w:rPr>
              <w:t>Deliverables:</w:t>
            </w:r>
          </w:p>
        </w:tc>
        <w:tc>
          <w:tcPr>
            <w:tcW w:w="6246" w:type="dxa"/>
            <w:tcBorders>
              <w:top w:val="single" w:sz="4" w:space="0" w:color="FFFFFF"/>
              <w:bottom w:val="single" w:sz="4" w:space="0" w:color="FFFFFF"/>
            </w:tcBorders>
            <w:shd w:val="clear" w:color="auto" w:fill="D9E2F3"/>
          </w:tcPr>
          <w:p w14:paraId="5C9B9215" w14:textId="77777777" w:rsidR="003F3FB2" w:rsidRPr="008C761D" w:rsidRDefault="003F3FB2"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rPr>
            </w:pPr>
            <w:r w:rsidRPr="008C761D">
              <w:rPr>
                <w:rFonts w:eastAsia="Times New Roman" w:cs="Calibri"/>
                <w:sz w:val="20"/>
                <w:szCs w:val="20"/>
                <w:lang w:val="en-US"/>
              </w:rPr>
              <w:t>Analysis with recommendations for improving the audit process on the Annual Account of the Budget of the Republic of North Macedonia;</w:t>
            </w:r>
          </w:p>
          <w:p w14:paraId="57401275" w14:textId="77777777" w:rsidR="003F3FB2" w:rsidRPr="008C761D" w:rsidRDefault="003F3FB2"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rPr>
            </w:pPr>
            <w:r w:rsidRPr="008C761D">
              <w:rPr>
                <w:rFonts w:eastAsia="Times New Roman" w:cs="Calibri"/>
                <w:sz w:val="20"/>
                <w:szCs w:val="20"/>
                <w:lang w:val="en-US"/>
              </w:rPr>
              <w:t xml:space="preserve">New or improved methodological acts and tools on topics relevant to the responsible management and use of public funds (audits of sustainable development goals, audits of financial statements prepared on an accrual basis, audits of value for money (Value for Money), audits of LSGUs, audit of public enterprises and </w:t>
            </w:r>
            <w:proofErr w:type="gramStart"/>
            <w:r w:rsidRPr="008C761D">
              <w:rPr>
                <w:rFonts w:eastAsia="Times New Roman" w:cs="Calibri"/>
                <w:sz w:val="20"/>
                <w:szCs w:val="20"/>
                <w:lang w:val="en-US"/>
              </w:rPr>
              <w:t>state owned</w:t>
            </w:r>
            <w:proofErr w:type="gramEnd"/>
            <w:r w:rsidRPr="008C761D">
              <w:rPr>
                <w:rFonts w:eastAsia="Times New Roman" w:cs="Calibri"/>
                <w:sz w:val="20"/>
                <w:szCs w:val="20"/>
                <w:lang w:val="en-US"/>
              </w:rPr>
              <w:t xml:space="preserve"> companies, audit of financial statements of the Core budget etc.).</w:t>
            </w:r>
          </w:p>
          <w:p w14:paraId="04C4BDFF"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Conducted performance audits in relevant areas of government policy and topics of importance for the responsible management and use of public funds (audit of EU funds, audits of sustainable development goals, audit of financial statements prepared on an accrual basis, audit of values ​​for money, audits of LGUs, gender equality audit, audits in the areas determined in the National Development Strategy of the Republic of North Macedonia, etc.);</w:t>
            </w:r>
          </w:p>
          <w:p w14:paraId="0AB99105"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 xml:space="preserve">Conducted trainings (study visits, conferences, seminars, workshops) on topics of importance for responsible management and use of public funds </w:t>
            </w:r>
            <w:r w:rsidRPr="008C761D">
              <w:rPr>
                <w:rFonts w:cs="Calibri"/>
                <w:sz w:val="20"/>
                <w:szCs w:val="20"/>
                <w:lang w:val="en-US"/>
              </w:rPr>
              <w:t>in line with SAO strategic documents:</w:t>
            </w:r>
            <w:r w:rsidRPr="008C761D">
              <w:rPr>
                <w:rFonts w:eastAsia="Times New Roman" w:cs="Calibri"/>
                <w:sz w:val="20"/>
                <w:szCs w:val="20"/>
                <w:lang w:val="en-US" w:eastAsia="x-none"/>
              </w:rPr>
              <w:t xml:space="preserve"> audit of EU funds, prevention and detection of corruption, audits of sustainable development goals, audits of financial statements prepared on an accrual basis, value for money audits, LGU audits, gender equality audits, Certified Fraud Examiner; Certified corruption risk management, IT, data science, graphic design, Python, project management, full stack and front end programming, UIX design, etc.</w:t>
            </w:r>
          </w:p>
          <w:p w14:paraId="0BFD14D5"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Trainings to strengthen cooperation with stakeholders;</w:t>
            </w:r>
          </w:p>
          <w:p w14:paraId="0714E2B5"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Using modern auditing tools, methodologies and techniques and development of software tools for reclassification of financial statements / software tools for auditing financial statements prepared on an accrual basis;</w:t>
            </w:r>
          </w:p>
          <w:p w14:paraId="4749FD7D"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Use of modern equipment and improved working conditions.</w:t>
            </w:r>
          </w:p>
          <w:p w14:paraId="7C8E860A"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Using visualization (infographics, video presentations, flyers) to present the results of the audit to the public;</w:t>
            </w:r>
          </w:p>
          <w:p w14:paraId="02B9217A"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New channels for communication with stakeholders (the Assembly, the Government, the Ministry of Finance, the Public Prosecutor's Office, the Ministry of Internal Affairs, the State Commission for the Prevention of Corruption, the entities subject to audit, the public);</w:t>
            </w:r>
          </w:p>
          <w:p w14:paraId="1345F1E8" w14:textId="77777777" w:rsidR="00C75160"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sidRPr="008C761D">
              <w:rPr>
                <w:rFonts w:eastAsia="Times New Roman" w:cs="Calibri"/>
                <w:sz w:val="20"/>
                <w:szCs w:val="20"/>
                <w:lang w:val="en-US" w:eastAsia="x-none"/>
              </w:rPr>
              <w:t>Using digital tools to achieve efficient cooperation and communication with parliamentary bodies to support the work of the RNM Assembly;</w:t>
            </w:r>
          </w:p>
          <w:p w14:paraId="7D5E07AE" w14:textId="00CC68D1" w:rsidR="00C75160" w:rsidRPr="008C761D" w:rsidRDefault="00C34014" w:rsidP="002E4AA9">
            <w:pPr>
              <w:numPr>
                <w:ilvl w:val="0"/>
                <w:numId w:val="34"/>
              </w:numPr>
              <w:autoSpaceDE w:val="0"/>
              <w:autoSpaceDN w:val="0"/>
              <w:adjustRightInd w:val="0"/>
              <w:spacing w:after="0" w:line="240" w:lineRule="auto"/>
              <w:ind w:left="245" w:hanging="180"/>
              <w:contextualSpacing/>
              <w:jc w:val="both"/>
              <w:rPr>
                <w:rFonts w:eastAsia="Times New Roman" w:cs="Calibri"/>
                <w:sz w:val="20"/>
                <w:szCs w:val="20"/>
                <w:lang w:val="en-US" w:eastAsia="x-none"/>
              </w:rPr>
            </w:pPr>
            <w:r>
              <w:rPr>
                <w:rFonts w:eastAsia="Times New Roman" w:cs="Calibri"/>
                <w:sz w:val="20"/>
                <w:szCs w:val="20"/>
                <w:lang w:val="en-US" w:eastAsia="x-none"/>
              </w:rPr>
              <w:t xml:space="preserve">Conducting </w:t>
            </w:r>
            <w:r w:rsidR="00C75160" w:rsidRPr="008C761D">
              <w:rPr>
                <w:rFonts w:eastAsia="Times New Roman" w:cs="Calibri"/>
                <w:sz w:val="20"/>
                <w:szCs w:val="20"/>
                <w:lang w:val="en-US" w:eastAsia="x-none"/>
              </w:rPr>
              <w:t>peer review according to the International standards of INTOSAI;</w:t>
            </w:r>
          </w:p>
          <w:p w14:paraId="1F501550" w14:textId="1B598A1C" w:rsidR="007733B2" w:rsidRPr="008C761D" w:rsidRDefault="00C75160" w:rsidP="002E4AA9">
            <w:pPr>
              <w:numPr>
                <w:ilvl w:val="0"/>
                <w:numId w:val="34"/>
              </w:numPr>
              <w:autoSpaceDE w:val="0"/>
              <w:autoSpaceDN w:val="0"/>
              <w:adjustRightInd w:val="0"/>
              <w:spacing w:after="0" w:line="240" w:lineRule="auto"/>
              <w:ind w:left="245" w:hanging="180"/>
              <w:contextualSpacing/>
              <w:jc w:val="both"/>
              <w:rPr>
                <w:rFonts w:eastAsia="Times New Roman" w:cs="Calibri"/>
                <w:color w:val="202124"/>
                <w:sz w:val="20"/>
                <w:szCs w:val="20"/>
                <w:lang w:val="en-US"/>
              </w:rPr>
            </w:pPr>
            <w:r w:rsidRPr="008C761D">
              <w:rPr>
                <w:rFonts w:eastAsia="Times New Roman" w:cs="Calibri"/>
                <w:sz w:val="20"/>
                <w:szCs w:val="20"/>
                <w:lang w:val="en-US" w:eastAsia="x-none"/>
              </w:rPr>
              <w:t>New forms for monitoring and presenting the implementation of audit recommendations.</w:t>
            </w:r>
          </w:p>
        </w:tc>
      </w:tr>
      <w:tr w:rsidR="007733B2" w:rsidRPr="008C761D" w14:paraId="58ADF067" w14:textId="77777777" w:rsidTr="00BA5E44">
        <w:tc>
          <w:tcPr>
            <w:tcW w:w="2448" w:type="dxa"/>
            <w:tcBorders>
              <w:top w:val="single" w:sz="4" w:space="0" w:color="FFFFFF"/>
              <w:bottom w:val="single" w:sz="4" w:space="0" w:color="FFFFFF"/>
            </w:tcBorders>
            <w:shd w:val="clear" w:color="auto" w:fill="1F3864"/>
          </w:tcPr>
          <w:p w14:paraId="7D6FCEBE" w14:textId="4410A9DA" w:rsidR="007733B2" w:rsidRPr="008C761D" w:rsidRDefault="007733B2" w:rsidP="00E84CD0">
            <w:pPr>
              <w:spacing w:line="240" w:lineRule="auto"/>
              <w:jc w:val="both"/>
              <w:rPr>
                <w:rFonts w:cs="Calibri"/>
                <w:b/>
                <w:sz w:val="20"/>
                <w:szCs w:val="20"/>
                <w:lang w:val="en-US"/>
              </w:rPr>
            </w:pPr>
            <w:r w:rsidRPr="008C761D">
              <w:rPr>
                <w:rFonts w:cs="Calibri"/>
                <w:b/>
                <w:sz w:val="20"/>
                <w:szCs w:val="20"/>
                <w:lang w:val="en-US"/>
              </w:rPr>
              <w:lastRenderedPageBreak/>
              <w:t>Costs</w:t>
            </w:r>
            <w:r w:rsidR="00C34014">
              <w:rPr>
                <w:rFonts w:cs="Calibri"/>
                <w:b/>
                <w:sz w:val="20"/>
                <w:szCs w:val="20"/>
                <w:lang w:val="en-US"/>
              </w:rPr>
              <w:t xml:space="preserve"> </w:t>
            </w:r>
            <w:r w:rsidRPr="008C761D">
              <w:rPr>
                <w:rFonts w:cs="Calibri"/>
                <w:b/>
                <w:sz w:val="20"/>
                <w:szCs w:val="20"/>
                <w:lang w:val="en-US"/>
              </w:rPr>
              <w:t>implications:</w:t>
            </w:r>
          </w:p>
        </w:tc>
        <w:tc>
          <w:tcPr>
            <w:tcW w:w="6246" w:type="dxa"/>
            <w:tcBorders>
              <w:top w:val="single" w:sz="4" w:space="0" w:color="FFFFFF"/>
              <w:bottom w:val="single" w:sz="4" w:space="0" w:color="FFFFFF"/>
            </w:tcBorders>
            <w:shd w:val="clear" w:color="auto" w:fill="D9E2F3"/>
          </w:tcPr>
          <w:p w14:paraId="455B3FDE" w14:textId="14B69DF5" w:rsidR="007733B2" w:rsidRPr="008C761D" w:rsidRDefault="007733B2" w:rsidP="002E4AA9">
            <w:pPr>
              <w:numPr>
                <w:ilvl w:val="0"/>
                <w:numId w:val="34"/>
              </w:numPr>
              <w:tabs>
                <w:tab w:val="left" w:pos="245"/>
                <w:tab w:val="left" w:pos="4219"/>
              </w:tabs>
              <w:spacing w:after="0" w:line="240" w:lineRule="auto"/>
              <w:ind w:left="425"/>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EUR </w:t>
            </w:r>
            <w:r w:rsidR="009E6A03" w:rsidRPr="008C761D">
              <w:rPr>
                <w:rFonts w:eastAsia="Times New Roman" w:cs="Calibri"/>
                <w:color w:val="202124"/>
                <w:sz w:val="20"/>
                <w:szCs w:val="20"/>
                <w:lang w:val="en-US"/>
              </w:rPr>
              <w:t>10</w:t>
            </w:r>
            <w:r w:rsidRPr="008C761D">
              <w:rPr>
                <w:rFonts w:eastAsia="Times New Roman" w:cs="Calibri"/>
                <w:color w:val="202124"/>
                <w:sz w:val="20"/>
                <w:szCs w:val="20"/>
                <w:lang w:val="en-US"/>
              </w:rPr>
              <w:t>,</w:t>
            </w:r>
            <w:r w:rsidR="009E6A03" w:rsidRPr="008C761D">
              <w:rPr>
                <w:rFonts w:eastAsia="Times New Roman" w:cs="Calibri"/>
                <w:color w:val="202124"/>
                <w:sz w:val="20"/>
                <w:szCs w:val="20"/>
                <w:lang w:val="en-US"/>
              </w:rPr>
              <w:t>336</w:t>
            </w:r>
            <w:r w:rsidRPr="008C761D">
              <w:rPr>
                <w:rFonts w:eastAsia="Times New Roman" w:cs="Calibri"/>
                <w:color w:val="202124"/>
                <w:sz w:val="20"/>
                <w:szCs w:val="20"/>
                <w:lang w:val="en-US"/>
              </w:rPr>
              <w:t>,000</w:t>
            </w:r>
          </w:p>
        </w:tc>
      </w:tr>
      <w:tr w:rsidR="007733B2" w:rsidRPr="008C761D" w14:paraId="28CC7CD0" w14:textId="77777777" w:rsidTr="00BA5E44">
        <w:tc>
          <w:tcPr>
            <w:tcW w:w="2448" w:type="dxa"/>
            <w:tcBorders>
              <w:top w:val="single" w:sz="4" w:space="0" w:color="FFFFFF"/>
              <w:bottom w:val="single" w:sz="4" w:space="0" w:color="FFFFFF"/>
            </w:tcBorders>
            <w:shd w:val="clear" w:color="auto" w:fill="1F3864"/>
          </w:tcPr>
          <w:p w14:paraId="23EC8792" w14:textId="78992C15" w:rsidR="007733B2" w:rsidRPr="008C761D" w:rsidRDefault="007733B2" w:rsidP="00E84CD0">
            <w:pPr>
              <w:spacing w:line="240" w:lineRule="auto"/>
              <w:jc w:val="both"/>
              <w:rPr>
                <w:rFonts w:cs="Calibri"/>
                <w:b/>
                <w:sz w:val="20"/>
                <w:szCs w:val="20"/>
                <w:lang w:val="en-US"/>
              </w:rPr>
            </w:pPr>
            <w:r w:rsidRPr="008C761D">
              <w:rPr>
                <w:rFonts w:cs="Calibri"/>
                <w:b/>
                <w:sz w:val="20"/>
                <w:szCs w:val="20"/>
                <w:lang w:val="en-US"/>
              </w:rPr>
              <w:t>Responsible</w:t>
            </w:r>
            <w:r w:rsidR="00C34014">
              <w:rPr>
                <w:rFonts w:cs="Calibri"/>
                <w:b/>
                <w:sz w:val="20"/>
                <w:szCs w:val="20"/>
                <w:lang w:val="en-US"/>
              </w:rPr>
              <w:t xml:space="preserve"> </w:t>
            </w:r>
            <w:r w:rsidRPr="008C761D">
              <w:rPr>
                <w:rFonts w:cs="Calibri"/>
                <w:b/>
                <w:sz w:val="20"/>
                <w:szCs w:val="20"/>
                <w:lang w:val="en-US"/>
              </w:rPr>
              <w:t xml:space="preserve">entity: </w:t>
            </w:r>
          </w:p>
        </w:tc>
        <w:tc>
          <w:tcPr>
            <w:tcW w:w="6246" w:type="dxa"/>
            <w:tcBorders>
              <w:top w:val="single" w:sz="4" w:space="0" w:color="FFFFFF"/>
              <w:bottom w:val="single" w:sz="4" w:space="0" w:color="FFFFFF"/>
            </w:tcBorders>
            <w:shd w:val="clear" w:color="auto" w:fill="D9E2F3"/>
          </w:tcPr>
          <w:p w14:paraId="4419B1F2" w14:textId="03A3C0F9" w:rsidR="007733B2" w:rsidRPr="008C761D" w:rsidRDefault="00764B1D" w:rsidP="00F66DF5">
            <w:pPr>
              <w:tabs>
                <w:tab w:val="left" w:pos="425"/>
                <w:tab w:val="left" w:pos="4219"/>
              </w:tabs>
              <w:spacing w:after="0" w:line="240" w:lineRule="auto"/>
              <w:ind w:left="425"/>
              <w:jc w:val="both"/>
              <w:rPr>
                <w:rFonts w:eastAsia="Times New Roman" w:cs="Calibri"/>
                <w:color w:val="202124"/>
                <w:sz w:val="20"/>
                <w:szCs w:val="20"/>
                <w:lang w:val="en-US"/>
              </w:rPr>
            </w:pPr>
            <w:r w:rsidRPr="008C761D">
              <w:rPr>
                <w:rFonts w:eastAsia="Times New Roman" w:cs="Calibri"/>
                <w:color w:val="202124"/>
                <w:sz w:val="20"/>
                <w:szCs w:val="20"/>
                <w:lang w:val="en-US"/>
              </w:rPr>
              <w:t>The</w:t>
            </w:r>
            <w:r w:rsidR="00F66DF5"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State</w:t>
            </w:r>
            <w:r w:rsidR="00C34014">
              <w:rPr>
                <w:rFonts w:eastAsia="Times New Roman" w:cs="Calibri"/>
                <w:color w:val="202124"/>
                <w:sz w:val="20"/>
                <w:szCs w:val="20"/>
                <w:lang w:val="en-US"/>
              </w:rPr>
              <w:t xml:space="preserve"> </w:t>
            </w:r>
            <w:r w:rsidRPr="008C761D">
              <w:rPr>
                <w:rFonts w:eastAsia="Times New Roman" w:cs="Calibri"/>
                <w:color w:val="202124"/>
                <w:sz w:val="20"/>
                <w:szCs w:val="20"/>
                <w:lang w:val="en-US"/>
              </w:rPr>
              <w:t>Audit Office in</w:t>
            </w:r>
            <w:r w:rsidR="00F66DF5"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cooperation</w:t>
            </w:r>
            <w:r w:rsidR="00F66DF5"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with</w:t>
            </w:r>
            <w:r w:rsidR="00F66DF5"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the</w:t>
            </w:r>
            <w:r w:rsidR="00F66DF5" w:rsidRPr="008C761D">
              <w:rPr>
                <w:rFonts w:eastAsia="Times New Roman" w:cs="Calibri"/>
                <w:color w:val="202124"/>
                <w:sz w:val="20"/>
                <w:szCs w:val="20"/>
                <w:lang w:val="en-US"/>
              </w:rPr>
              <w:t xml:space="preserve"> </w:t>
            </w:r>
            <w:r w:rsidRPr="008C761D">
              <w:rPr>
                <w:rFonts w:eastAsia="Times New Roman" w:cs="Calibri"/>
                <w:color w:val="202124"/>
                <w:sz w:val="20"/>
                <w:szCs w:val="20"/>
                <w:lang w:val="en-US"/>
              </w:rPr>
              <w:t>stakeholders</w:t>
            </w:r>
          </w:p>
        </w:tc>
      </w:tr>
      <w:tr w:rsidR="007733B2" w:rsidRPr="008C761D" w14:paraId="3BE8D9DC" w14:textId="77777777" w:rsidTr="00BA5E44">
        <w:tc>
          <w:tcPr>
            <w:tcW w:w="2448" w:type="dxa"/>
            <w:tcBorders>
              <w:top w:val="single" w:sz="4" w:space="0" w:color="FFFFFF"/>
              <w:bottom w:val="nil"/>
            </w:tcBorders>
            <w:shd w:val="clear" w:color="auto" w:fill="1F3864"/>
          </w:tcPr>
          <w:p w14:paraId="47DD009E" w14:textId="77777777" w:rsidR="007733B2" w:rsidRPr="008C761D" w:rsidRDefault="007733B2" w:rsidP="00E84CD0">
            <w:pPr>
              <w:spacing w:line="240" w:lineRule="auto"/>
              <w:jc w:val="both"/>
              <w:rPr>
                <w:rFonts w:cs="Calibri"/>
                <w:b/>
                <w:sz w:val="20"/>
                <w:szCs w:val="20"/>
                <w:lang w:val="en-US"/>
              </w:rPr>
            </w:pPr>
            <w:r w:rsidRPr="008C761D">
              <w:rPr>
                <w:rFonts w:cs="Calibri"/>
                <w:b/>
                <w:sz w:val="20"/>
                <w:szCs w:val="20"/>
                <w:lang w:val="en-US"/>
              </w:rPr>
              <w:t>Risk:</w:t>
            </w:r>
          </w:p>
        </w:tc>
        <w:tc>
          <w:tcPr>
            <w:tcW w:w="6246" w:type="dxa"/>
            <w:tcBorders>
              <w:top w:val="single" w:sz="4" w:space="0" w:color="FFFFFF"/>
              <w:bottom w:val="nil"/>
            </w:tcBorders>
            <w:shd w:val="clear" w:color="auto" w:fill="D9E2F3"/>
          </w:tcPr>
          <w:p w14:paraId="046D8B10" w14:textId="2E2355A2" w:rsidR="003F3FB2" w:rsidRPr="008C761D" w:rsidRDefault="003F3FB2" w:rsidP="00742767">
            <w:pPr>
              <w:numPr>
                <w:ilvl w:val="0"/>
                <w:numId w:val="50"/>
              </w:numPr>
              <w:tabs>
                <w:tab w:val="left" w:pos="176"/>
              </w:tabs>
              <w:spacing w:after="0" w:line="240" w:lineRule="auto"/>
              <w:ind w:left="155" w:hanging="180"/>
              <w:jc w:val="both"/>
              <w:rPr>
                <w:rFonts w:eastAsia="Times New Roman" w:cs="Calibri"/>
                <w:sz w:val="20"/>
                <w:szCs w:val="20"/>
                <w:lang w:val="en-US"/>
              </w:rPr>
            </w:pPr>
            <w:r w:rsidRPr="008C761D">
              <w:rPr>
                <w:rFonts w:eastAsia="Times New Roman" w:cs="Calibri"/>
                <w:sz w:val="20"/>
                <w:szCs w:val="20"/>
                <w:lang w:val="en-US"/>
              </w:rPr>
              <w:t>Limited opportunities for modernization of audit processes and</w:t>
            </w:r>
            <w:r w:rsidR="00742767">
              <w:rPr>
                <w:rFonts w:eastAsia="Times New Roman" w:cs="Calibri"/>
                <w:sz w:val="20"/>
                <w:szCs w:val="20"/>
              </w:rPr>
              <w:t xml:space="preserve"> </w:t>
            </w:r>
            <w:r w:rsidRPr="008C761D">
              <w:rPr>
                <w:rFonts w:eastAsia="Times New Roman" w:cs="Calibri"/>
                <w:sz w:val="20"/>
                <w:szCs w:val="20"/>
                <w:lang w:val="en-US"/>
              </w:rPr>
              <w:t>presentation of audit results;</w:t>
            </w:r>
          </w:p>
          <w:p w14:paraId="797C9A3C" w14:textId="77777777" w:rsidR="003F3FB2" w:rsidRPr="008C761D" w:rsidRDefault="003F3FB2" w:rsidP="00742767">
            <w:pPr>
              <w:numPr>
                <w:ilvl w:val="0"/>
                <w:numId w:val="50"/>
              </w:numPr>
              <w:tabs>
                <w:tab w:val="left" w:pos="176"/>
              </w:tabs>
              <w:spacing w:after="0" w:line="240" w:lineRule="auto"/>
              <w:ind w:left="155" w:hanging="180"/>
              <w:jc w:val="both"/>
              <w:rPr>
                <w:rFonts w:eastAsia="Times New Roman" w:cs="Calibri"/>
                <w:sz w:val="20"/>
                <w:szCs w:val="20"/>
                <w:lang w:val="en-US"/>
              </w:rPr>
            </w:pPr>
            <w:r w:rsidRPr="008C761D">
              <w:rPr>
                <w:rFonts w:eastAsia="Times New Roman" w:cs="Calibri"/>
                <w:sz w:val="20"/>
                <w:szCs w:val="20"/>
                <w:lang w:val="en-US"/>
              </w:rPr>
              <w:t>Insufficient interest of stakeholders for cooperation with SAO;</w:t>
            </w:r>
          </w:p>
          <w:p w14:paraId="3C35DD31" w14:textId="77777777" w:rsidR="003F3FB2" w:rsidRPr="008C761D" w:rsidRDefault="003F3FB2" w:rsidP="00742767">
            <w:pPr>
              <w:numPr>
                <w:ilvl w:val="0"/>
                <w:numId w:val="50"/>
              </w:numPr>
              <w:tabs>
                <w:tab w:val="left" w:pos="176"/>
              </w:tabs>
              <w:spacing w:after="0" w:line="240" w:lineRule="auto"/>
              <w:ind w:left="155" w:hanging="180"/>
              <w:jc w:val="both"/>
              <w:rPr>
                <w:rFonts w:eastAsia="Times New Roman" w:cs="Calibri"/>
                <w:sz w:val="20"/>
                <w:szCs w:val="20"/>
                <w:lang w:val="en-US"/>
              </w:rPr>
            </w:pPr>
            <w:r w:rsidRPr="008C761D">
              <w:rPr>
                <w:rFonts w:eastAsia="Times New Roman" w:cs="Calibri"/>
                <w:sz w:val="20"/>
                <w:szCs w:val="20"/>
                <w:lang w:val="en-US"/>
              </w:rPr>
              <w:t>Lack of funds for financing activities for the period 2023 - 2027;</w:t>
            </w:r>
          </w:p>
          <w:p w14:paraId="79738221" w14:textId="77777777" w:rsidR="003F3FB2" w:rsidRPr="008C761D" w:rsidRDefault="003F3FB2" w:rsidP="00742767">
            <w:pPr>
              <w:numPr>
                <w:ilvl w:val="0"/>
                <w:numId w:val="50"/>
              </w:numPr>
              <w:tabs>
                <w:tab w:val="left" w:pos="176"/>
              </w:tabs>
              <w:spacing w:after="0" w:line="240" w:lineRule="auto"/>
              <w:ind w:left="155" w:hanging="180"/>
              <w:jc w:val="both"/>
              <w:rPr>
                <w:rFonts w:eastAsia="Times New Roman" w:cs="Calibri"/>
                <w:sz w:val="20"/>
                <w:szCs w:val="20"/>
                <w:lang w:val="en-US"/>
              </w:rPr>
            </w:pPr>
            <w:r w:rsidRPr="008C761D">
              <w:rPr>
                <w:rFonts w:eastAsia="Times New Roman" w:cs="Calibri"/>
                <w:sz w:val="20"/>
                <w:szCs w:val="20"/>
                <w:lang w:val="en-US"/>
              </w:rPr>
              <w:t>Lack of support from relevant experts for the development of new or improved methodological acts and auditing tools;</w:t>
            </w:r>
          </w:p>
          <w:p w14:paraId="5F542A51" w14:textId="77777777" w:rsidR="003F3FB2" w:rsidRPr="008C761D" w:rsidRDefault="003F3FB2" w:rsidP="00742767">
            <w:pPr>
              <w:numPr>
                <w:ilvl w:val="0"/>
                <w:numId w:val="50"/>
              </w:numPr>
              <w:tabs>
                <w:tab w:val="left" w:pos="176"/>
              </w:tabs>
              <w:spacing w:after="0" w:line="240" w:lineRule="auto"/>
              <w:ind w:left="155" w:hanging="180"/>
              <w:jc w:val="both"/>
              <w:rPr>
                <w:rFonts w:eastAsia="Times New Roman" w:cs="Calibri"/>
                <w:sz w:val="20"/>
                <w:szCs w:val="20"/>
                <w:lang w:val="en-US"/>
              </w:rPr>
            </w:pPr>
            <w:r w:rsidRPr="008C761D">
              <w:rPr>
                <w:rFonts w:eastAsia="Times New Roman" w:cs="Calibri"/>
                <w:sz w:val="20"/>
                <w:szCs w:val="20"/>
                <w:lang w:val="en-US"/>
              </w:rPr>
              <w:t>Institutional and SAO capacities are not strengthened to a satisfactory level;</w:t>
            </w:r>
          </w:p>
          <w:p w14:paraId="5A7454DF" w14:textId="333A5A95" w:rsidR="007733B2" w:rsidRPr="008C761D" w:rsidRDefault="003F3FB2" w:rsidP="00742767">
            <w:pPr>
              <w:numPr>
                <w:ilvl w:val="0"/>
                <w:numId w:val="50"/>
              </w:numPr>
              <w:tabs>
                <w:tab w:val="left" w:pos="176"/>
              </w:tabs>
              <w:spacing w:after="0" w:line="240" w:lineRule="auto"/>
              <w:ind w:left="155" w:hanging="180"/>
              <w:jc w:val="both"/>
              <w:rPr>
                <w:rFonts w:eastAsia="Times New Roman" w:cs="Calibri"/>
                <w:color w:val="202124"/>
                <w:sz w:val="20"/>
                <w:szCs w:val="20"/>
                <w:lang w:val="en-US"/>
              </w:rPr>
            </w:pPr>
            <w:r w:rsidRPr="008C761D">
              <w:rPr>
                <w:rFonts w:eastAsia="Times New Roman" w:cs="Calibri"/>
                <w:sz w:val="20"/>
                <w:szCs w:val="20"/>
                <w:lang w:val="en-US"/>
              </w:rPr>
              <w:t>Limited opportunities for modernization of audit processes, obtaining modern equipment and improved working conditions.</w:t>
            </w:r>
          </w:p>
        </w:tc>
      </w:tr>
    </w:tbl>
    <w:p w14:paraId="6EFAA782" w14:textId="38F9B3C0" w:rsidR="007733B2" w:rsidRPr="00742767" w:rsidRDefault="007733B2" w:rsidP="00E86FCA">
      <w:pPr>
        <w:pStyle w:val="Heading1"/>
        <w:rPr>
          <w:rFonts w:ascii="Calibri" w:hAnsi="Calibri" w:cs="Calibri"/>
          <w:color w:val="2F5496"/>
          <w:sz w:val="28"/>
          <w:szCs w:val="28"/>
          <w:lang w:val="en-US"/>
        </w:rPr>
      </w:pPr>
      <w:r w:rsidRPr="008C761D">
        <w:rPr>
          <w:color w:val="0070C0"/>
          <w:lang w:val="en-US"/>
        </w:rPr>
        <w:br w:type="page"/>
      </w:r>
      <w:bookmarkStart w:id="62" w:name="_Toc160611832"/>
      <w:r w:rsidRPr="00742767">
        <w:rPr>
          <w:rFonts w:ascii="Calibri" w:eastAsia="MS PGothic" w:hAnsi="Calibri" w:cs="Calibri"/>
          <w:color w:val="2F5496"/>
          <w:sz w:val="28"/>
          <w:szCs w:val="28"/>
          <w:lang w:val="en-US"/>
        </w:rPr>
        <w:lastRenderedPageBreak/>
        <w:t xml:space="preserve">Priority 2: </w:t>
      </w:r>
      <w:r w:rsidR="00C34014" w:rsidRPr="00742767">
        <w:rPr>
          <w:rFonts w:ascii="Calibri" w:eastAsia="MS PGothic" w:hAnsi="Calibri" w:cs="Calibri"/>
          <w:color w:val="2F5496"/>
          <w:sz w:val="28"/>
          <w:szCs w:val="28"/>
          <w:lang w:val="en-US"/>
        </w:rPr>
        <w:t>Parliamentary</w:t>
      </w:r>
      <w:r w:rsidRPr="00742767">
        <w:rPr>
          <w:rFonts w:ascii="Calibri" w:eastAsia="MS PGothic" w:hAnsi="Calibri" w:cs="Calibri"/>
          <w:color w:val="2F5496"/>
          <w:sz w:val="28"/>
          <w:szCs w:val="28"/>
          <w:lang w:val="en-US"/>
        </w:rPr>
        <w:t xml:space="preserve"> oversight</w:t>
      </w:r>
      <w:bookmarkEnd w:id="62"/>
    </w:p>
    <w:p w14:paraId="20F91738" w14:textId="77777777" w:rsidR="007733B2" w:rsidRPr="008C761D" w:rsidRDefault="007733B2" w:rsidP="00E84CD0">
      <w:pPr>
        <w:spacing w:line="240" w:lineRule="auto"/>
        <w:jc w:val="both"/>
        <w:rPr>
          <w:rFonts w:cs="Calibri"/>
          <w:b/>
          <w:bCs/>
          <w:i/>
          <w:iCs/>
          <w:color w:val="4F81BD"/>
          <w:lang w:val="en-US"/>
        </w:rPr>
      </w:pPr>
      <w:r w:rsidRPr="008C761D">
        <w:rPr>
          <w:rFonts w:cs="Calibri"/>
          <w:b/>
          <w:bCs/>
          <w:i/>
          <w:iCs/>
          <w:color w:val="4F81BD"/>
          <w:lang w:val="en-US"/>
        </w:rPr>
        <w:t>Objective</w:t>
      </w:r>
    </w:p>
    <w:p w14:paraId="0EFC95E4" w14:textId="77777777" w:rsidR="00FD28C9" w:rsidRPr="008C761D" w:rsidRDefault="00FD28C9" w:rsidP="00FD28C9">
      <w:pPr>
        <w:spacing w:line="240" w:lineRule="auto"/>
        <w:jc w:val="both"/>
        <w:rPr>
          <w:rFonts w:eastAsia="Times New Roman" w:cs="Calibri"/>
          <w:lang w:val="en-US"/>
        </w:rPr>
      </w:pPr>
      <w:r w:rsidRPr="008C761D">
        <w:rPr>
          <w:rFonts w:eastAsia="Times New Roman" w:cs="Calibri"/>
          <w:lang w:val="en-US"/>
        </w:rPr>
        <w:t>Strengthening the management of public finances and ensuring transparency and accountability for the use of public funds through:</w:t>
      </w:r>
    </w:p>
    <w:p w14:paraId="5912C9A2" w14:textId="63821A8E" w:rsidR="007733B2" w:rsidRPr="008C761D" w:rsidRDefault="00FD28C9" w:rsidP="00E84CD0">
      <w:pPr>
        <w:autoSpaceDE w:val="0"/>
        <w:autoSpaceDN w:val="0"/>
        <w:adjustRightInd w:val="0"/>
        <w:spacing w:before="120" w:line="240" w:lineRule="auto"/>
        <w:jc w:val="both"/>
        <w:rPr>
          <w:rFonts w:eastAsia="Times New Roman" w:cs="Calibri"/>
          <w:color w:val="202124"/>
          <w:lang w:val="en-US"/>
        </w:rPr>
      </w:pPr>
      <w:r w:rsidRPr="008C761D">
        <w:rPr>
          <w:rFonts w:eastAsia="Times New Roman" w:cs="Calibri"/>
          <w:lang w:val="en-US"/>
        </w:rPr>
        <w:t>The objective of this priority will be achieved through the following measures and activities:</w:t>
      </w:r>
    </w:p>
    <w:tbl>
      <w:tblPr>
        <w:tblW w:w="9176" w:type="dxa"/>
        <w:tblInd w:w="548" w:type="dxa"/>
        <w:tblLook w:val="01E0" w:firstRow="1" w:lastRow="1" w:firstColumn="1" w:lastColumn="1" w:noHBand="0" w:noVBand="0"/>
      </w:tblPr>
      <w:tblGrid>
        <w:gridCol w:w="1270"/>
        <w:gridCol w:w="7906"/>
      </w:tblGrid>
      <w:tr w:rsidR="007733B2" w:rsidRPr="008C761D" w14:paraId="1B1317AA" w14:textId="77777777" w:rsidTr="00C75160">
        <w:tc>
          <w:tcPr>
            <w:tcW w:w="1270" w:type="dxa"/>
            <w:shd w:val="clear" w:color="auto" w:fill="auto"/>
          </w:tcPr>
          <w:p w14:paraId="40CE2730" w14:textId="77777777" w:rsidR="007733B2" w:rsidRPr="008C761D" w:rsidRDefault="007733B2" w:rsidP="00E84CD0">
            <w:pPr>
              <w:spacing w:line="240" w:lineRule="auto"/>
              <w:jc w:val="both"/>
              <w:rPr>
                <w:rFonts w:cs="Calibri"/>
                <w:b/>
                <w:bCs/>
                <w:iCs/>
                <w:lang w:val="en-US"/>
              </w:rPr>
            </w:pPr>
            <w:r w:rsidRPr="008C761D">
              <w:rPr>
                <w:rFonts w:cs="Calibri"/>
                <w:b/>
                <w:bCs/>
                <w:iCs/>
                <w:lang w:val="en-US"/>
              </w:rPr>
              <w:t>Measure 1:</w:t>
            </w:r>
          </w:p>
        </w:tc>
        <w:tc>
          <w:tcPr>
            <w:tcW w:w="7906" w:type="dxa"/>
            <w:shd w:val="clear" w:color="auto" w:fill="auto"/>
          </w:tcPr>
          <w:p w14:paraId="3FC24663" w14:textId="71374C50" w:rsidR="007733B2" w:rsidRPr="008C761D" w:rsidRDefault="00C75160" w:rsidP="00E84CD0">
            <w:pPr>
              <w:spacing w:line="240" w:lineRule="auto"/>
              <w:jc w:val="both"/>
              <w:rPr>
                <w:rFonts w:cs="Calibri"/>
                <w:b/>
                <w:bCs/>
                <w:iCs/>
                <w:lang w:val="en-US"/>
              </w:rPr>
            </w:pPr>
            <w:r w:rsidRPr="008C761D">
              <w:rPr>
                <w:rFonts w:cs="Calibri"/>
                <w:b/>
                <w:bCs/>
                <w:iCs/>
                <w:lang w:val="en-US"/>
              </w:rPr>
              <w:t>Establishing a mechanism for reviewing the audit reports and the measures taken following the recommendations given in the audit reports in the RNM Assembly</w:t>
            </w:r>
          </w:p>
        </w:tc>
      </w:tr>
      <w:tr w:rsidR="007733B2" w:rsidRPr="008C761D" w14:paraId="772E0FFE" w14:textId="77777777" w:rsidTr="00C75160">
        <w:tc>
          <w:tcPr>
            <w:tcW w:w="1270" w:type="dxa"/>
            <w:shd w:val="clear" w:color="auto" w:fill="auto"/>
          </w:tcPr>
          <w:p w14:paraId="467F841D"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1:</w:t>
            </w:r>
          </w:p>
        </w:tc>
        <w:tc>
          <w:tcPr>
            <w:tcW w:w="7906" w:type="dxa"/>
            <w:shd w:val="clear" w:color="auto" w:fill="auto"/>
          </w:tcPr>
          <w:p w14:paraId="24FC1E95" w14:textId="1DD51E6C" w:rsidR="007733B2" w:rsidRPr="008C761D" w:rsidRDefault="00C75160" w:rsidP="00E84CD0">
            <w:pPr>
              <w:spacing w:line="240" w:lineRule="auto"/>
              <w:jc w:val="both"/>
              <w:rPr>
                <w:rFonts w:eastAsia="Times New Roman" w:cs="Calibri"/>
                <w:lang w:val="en-US"/>
              </w:rPr>
            </w:pPr>
            <w:r w:rsidRPr="008C761D">
              <w:rPr>
                <w:rFonts w:eastAsia="Times New Roman" w:cs="Calibri"/>
                <w:lang w:val="en-US" w:eastAsia="x-none"/>
              </w:rPr>
              <w:t>Implementation of concluded Memorandum of cooperation between the Assembly and the SAO;</w:t>
            </w:r>
          </w:p>
        </w:tc>
      </w:tr>
      <w:tr w:rsidR="007733B2" w:rsidRPr="008C761D" w14:paraId="104BA492" w14:textId="77777777" w:rsidTr="00C75160">
        <w:tc>
          <w:tcPr>
            <w:tcW w:w="1270" w:type="dxa"/>
            <w:shd w:val="clear" w:color="auto" w:fill="auto"/>
          </w:tcPr>
          <w:p w14:paraId="3D28899F"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2:</w:t>
            </w:r>
          </w:p>
        </w:tc>
        <w:tc>
          <w:tcPr>
            <w:tcW w:w="7906" w:type="dxa"/>
            <w:shd w:val="clear" w:color="auto" w:fill="auto"/>
          </w:tcPr>
          <w:p w14:paraId="57346676" w14:textId="03A1F3C6" w:rsidR="007733B2" w:rsidRPr="008C761D" w:rsidRDefault="00FD28C9" w:rsidP="00E84CD0">
            <w:pPr>
              <w:spacing w:line="240" w:lineRule="auto"/>
              <w:jc w:val="both"/>
              <w:rPr>
                <w:rFonts w:eastAsia="Times New Roman" w:cs="Calibri"/>
                <w:lang w:val="en-US"/>
              </w:rPr>
            </w:pPr>
            <w:r w:rsidRPr="008C761D">
              <w:rPr>
                <w:rFonts w:eastAsia="Times New Roman" w:cs="Calibri"/>
                <w:lang w:val="en-US"/>
              </w:rPr>
              <w:t>Preparation of final/proposal procedures in the SAO and the Assembly for submission and review of audit reports and other documents;</w:t>
            </w:r>
          </w:p>
        </w:tc>
      </w:tr>
      <w:tr w:rsidR="007733B2" w:rsidRPr="008C761D" w14:paraId="4AB98AA6" w14:textId="77777777" w:rsidTr="00C75160">
        <w:tc>
          <w:tcPr>
            <w:tcW w:w="1270" w:type="dxa"/>
            <w:shd w:val="clear" w:color="auto" w:fill="auto"/>
          </w:tcPr>
          <w:p w14:paraId="40F53780"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3:</w:t>
            </w:r>
          </w:p>
        </w:tc>
        <w:tc>
          <w:tcPr>
            <w:tcW w:w="7906" w:type="dxa"/>
            <w:shd w:val="clear" w:color="auto" w:fill="auto"/>
          </w:tcPr>
          <w:p w14:paraId="1A5F07C3" w14:textId="7D181F35" w:rsidR="007733B2" w:rsidRPr="008C761D" w:rsidRDefault="00FD28C9" w:rsidP="00E84CD0">
            <w:pPr>
              <w:spacing w:line="240" w:lineRule="auto"/>
              <w:jc w:val="both"/>
              <w:rPr>
                <w:rFonts w:eastAsia="Times New Roman" w:cs="Calibri"/>
                <w:lang w:val="en-US"/>
              </w:rPr>
            </w:pPr>
            <w:r w:rsidRPr="008C761D">
              <w:rPr>
                <w:rFonts w:eastAsia="Times New Roman" w:cs="Calibri"/>
                <w:lang w:val="en-US"/>
              </w:rPr>
              <w:t>Reviewing of summary reports from final audit reports from certain areas by the Assembly.</w:t>
            </w:r>
          </w:p>
        </w:tc>
      </w:tr>
      <w:tr w:rsidR="007733B2" w:rsidRPr="008C761D" w14:paraId="27AFAC7F" w14:textId="77777777" w:rsidTr="00C75160">
        <w:tc>
          <w:tcPr>
            <w:tcW w:w="1270" w:type="dxa"/>
            <w:shd w:val="clear" w:color="auto" w:fill="auto"/>
          </w:tcPr>
          <w:p w14:paraId="4B08CEBB" w14:textId="77777777" w:rsidR="007733B2" w:rsidRPr="008C761D" w:rsidRDefault="007733B2" w:rsidP="00E84CD0">
            <w:pPr>
              <w:spacing w:line="240" w:lineRule="auto"/>
              <w:jc w:val="both"/>
              <w:rPr>
                <w:rFonts w:cs="Calibri"/>
                <w:b/>
                <w:bCs/>
                <w:iCs/>
                <w:lang w:val="en-US"/>
              </w:rPr>
            </w:pPr>
            <w:r w:rsidRPr="008C761D">
              <w:rPr>
                <w:rFonts w:cs="Calibri"/>
                <w:b/>
                <w:bCs/>
                <w:iCs/>
                <w:lang w:val="en-US"/>
              </w:rPr>
              <w:t>Measure 2:</w:t>
            </w:r>
          </w:p>
        </w:tc>
        <w:tc>
          <w:tcPr>
            <w:tcW w:w="7906" w:type="dxa"/>
            <w:shd w:val="clear" w:color="auto" w:fill="auto"/>
          </w:tcPr>
          <w:p w14:paraId="2BEFC044" w14:textId="77FD1B3F" w:rsidR="007733B2" w:rsidRPr="008C761D" w:rsidRDefault="00C75160" w:rsidP="00E84CD0">
            <w:pPr>
              <w:spacing w:line="240" w:lineRule="auto"/>
              <w:jc w:val="both"/>
              <w:rPr>
                <w:rFonts w:cs="Calibri"/>
                <w:b/>
                <w:bCs/>
                <w:iCs/>
                <w:lang w:val="en-US"/>
              </w:rPr>
            </w:pPr>
            <w:r w:rsidRPr="008C761D">
              <w:rPr>
                <w:rFonts w:cs="Calibri"/>
                <w:b/>
                <w:bCs/>
                <w:iCs/>
                <w:lang w:val="en-US"/>
              </w:rPr>
              <w:t>Strengthening the institutional capacities for reviewing audit reports in the Assembly of RNM.</w:t>
            </w:r>
          </w:p>
        </w:tc>
      </w:tr>
      <w:tr w:rsidR="007733B2" w:rsidRPr="008C761D" w14:paraId="3CE02702" w14:textId="77777777" w:rsidTr="00C75160">
        <w:tc>
          <w:tcPr>
            <w:tcW w:w="1270" w:type="dxa"/>
            <w:shd w:val="clear" w:color="auto" w:fill="auto"/>
          </w:tcPr>
          <w:p w14:paraId="19795C08"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1:</w:t>
            </w:r>
          </w:p>
        </w:tc>
        <w:tc>
          <w:tcPr>
            <w:tcW w:w="7906" w:type="dxa"/>
            <w:shd w:val="clear" w:color="auto" w:fill="auto"/>
          </w:tcPr>
          <w:p w14:paraId="5FCC54DA" w14:textId="3A47E1E9" w:rsidR="007733B2" w:rsidRPr="008C761D" w:rsidRDefault="00FD28C9" w:rsidP="00E84CD0">
            <w:pPr>
              <w:spacing w:line="240" w:lineRule="auto"/>
              <w:jc w:val="both"/>
              <w:rPr>
                <w:rFonts w:eastAsia="Times New Roman" w:cs="Calibri"/>
                <w:lang w:val="en-US"/>
              </w:rPr>
            </w:pPr>
            <w:r w:rsidRPr="008C761D">
              <w:rPr>
                <w:rFonts w:eastAsia="Times New Roman" w:cs="Calibri"/>
                <w:lang w:val="en-US"/>
              </w:rPr>
              <w:t>Preparation of a Training Plan for MPs and employees of the RNM Assembly Service in order to facilitate the understanding of the audit reports and preparation for a debate on the audit reports;</w:t>
            </w:r>
          </w:p>
        </w:tc>
      </w:tr>
      <w:tr w:rsidR="007733B2" w:rsidRPr="008C761D" w14:paraId="1344C1F6" w14:textId="77777777" w:rsidTr="00C75160">
        <w:tc>
          <w:tcPr>
            <w:tcW w:w="1270" w:type="dxa"/>
            <w:shd w:val="clear" w:color="auto" w:fill="auto"/>
          </w:tcPr>
          <w:p w14:paraId="7E453C35"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2:</w:t>
            </w:r>
          </w:p>
        </w:tc>
        <w:tc>
          <w:tcPr>
            <w:tcW w:w="7906" w:type="dxa"/>
            <w:shd w:val="clear" w:color="auto" w:fill="auto"/>
          </w:tcPr>
          <w:p w14:paraId="4123BE35" w14:textId="45679075" w:rsidR="007733B2" w:rsidRPr="008C761D" w:rsidRDefault="00FD28C9" w:rsidP="00E84CD0">
            <w:pPr>
              <w:spacing w:line="240" w:lineRule="auto"/>
              <w:jc w:val="both"/>
              <w:rPr>
                <w:rFonts w:eastAsia="Times New Roman" w:cs="Calibri"/>
                <w:lang w:val="en-US"/>
              </w:rPr>
            </w:pPr>
            <w:r w:rsidRPr="008C761D">
              <w:rPr>
                <w:rFonts w:eastAsia="Times New Roman" w:cs="Calibri"/>
                <w:lang w:val="en-US"/>
              </w:rPr>
              <w:t>Conducting trainings in accordance with the Training Plan for the Members of Parliament and employees of the RNM Assembly Service in order to facilitate the understanding of the audit reports and preparation for the debate on the audit reports.</w:t>
            </w:r>
          </w:p>
        </w:tc>
      </w:tr>
      <w:tr w:rsidR="007733B2" w:rsidRPr="008C761D" w14:paraId="5670C81C" w14:textId="77777777" w:rsidTr="00C75160">
        <w:tc>
          <w:tcPr>
            <w:tcW w:w="1270" w:type="dxa"/>
            <w:shd w:val="clear" w:color="auto" w:fill="auto"/>
          </w:tcPr>
          <w:p w14:paraId="4FD1B184" w14:textId="77777777" w:rsidR="007733B2" w:rsidRPr="008C761D" w:rsidRDefault="007733B2" w:rsidP="00E84CD0">
            <w:pPr>
              <w:spacing w:after="0" w:line="240" w:lineRule="auto"/>
              <w:jc w:val="both"/>
              <w:rPr>
                <w:rFonts w:eastAsia="Times New Roman" w:cs="Calibri"/>
                <w:lang w:val="en-US"/>
              </w:rPr>
            </w:pPr>
            <w:r w:rsidRPr="008C761D">
              <w:rPr>
                <w:rFonts w:eastAsia="Times New Roman" w:cs="Calibri"/>
                <w:lang w:val="en-US"/>
              </w:rPr>
              <w:t>Activity 3:</w:t>
            </w:r>
          </w:p>
        </w:tc>
        <w:tc>
          <w:tcPr>
            <w:tcW w:w="7906" w:type="dxa"/>
            <w:shd w:val="clear" w:color="auto" w:fill="auto"/>
          </w:tcPr>
          <w:p w14:paraId="3A93E2CE" w14:textId="5D4994E1" w:rsidR="007733B2" w:rsidRPr="008C761D" w:rsidRDefault="00FD28C9" w:rsidP="00E84CD0">
            <w:pPr>
              <w:spacing w:line="240" w:lineRule="auto"/>
              <w:jc w:val="both"/>
              <w:rPr>
                <w:rFonts w:eastAsia="Times New Roman" w:cs="Calibri"/>
                <w:lang w:val="en-US"/>
              </w:rPr>
            </w:pPr>
            <w:r w:rsidRPr="008C761D">
              <w:rPr>
                <w:rFonts w:eastAsia="Times New Roman" w:cs="Calibri"/>
                <w:lang w:val="en-US"/>
              </w:rPr>
              <w:t>Implementation of activities for strengthening cooperation with Committee on Financing and Budget, Parliamentary Institute and the Parliamentary budget office of the RNM Assembly.</w:t>
            </w:r>
          </w:p>
        </w:tc>
      </w:tr>
    </w:tbl>
    <w:p w14:paraId="54BD49E8"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Outcome</w:t>
      </w:r>
    </w:p>
    <w:p w14:paraId="7CC9315A" w14:textId="77777777" w:rsidR="007733B2" w:rsidRPr="008C761D" w:rsidRDefault="007733B2" w:rsidP="00E84CD0">
      <w:pPr>
        <w:spacing w:after="0" w:line="240" w:lineRule="auto"/>
        <w:jc w:val="both"/>
        <w:rPr>
          <w:rFonts w:eastAsia="Times New Roman" w:cs="Calibri"/>
          <w:color w:val="202124"/>
          <w:lang w:val="en-US"/>
        </w:rPr>
      </w:pPr>
      <w:r w:rsidRPr="008C761D">
        <w:rPr>
          <w:rFonts w:eastAsia="Times New Roman" w:cs="Calibri"/>
          <w:color w:val="202124"/>
          <w:lang w:val="en-US"/>
        </w:rPr>
        <w:t>Enhanced effects of audit.</w:t>
      </w:r>
    </w:p>
    <w:p w14:paraId="4D77555C" w14:textId="77777777" w:rsidR="007733B2" w:rsidRPr="008C761D" w:rsidRDefault="007733B2" w:rsidP="00E84CD0">
      <w:pPr>
        <w:keepNext/>
        <w:keepLines/>
        <w:spacing w:before="120" w:after="120" w:line="240" w:lineRule="auto"/>
        <w:jc w:val="both"/>
        <w:outlineLvl w:val="3"/>
        <w:rPr>
          <w:rFonts w:eastAsia="MS PGothic" w:cs="Calibri"/>
          <w:b/>
          <w:bCs/>
          <w:i/>
          <w:iCs/>
          <w:color w:val="4F81BD"/>
          <w:lang w:val="en-US" w:eastAsia="zh-CN"/>
        </w:rPr>
      </w:pPr>
      <w:r w:rsidRPr="008C761D">
        <w:rPr>
          <w:rFonts w:eastAsia="MS PGothic" w:cs="Calibri"/>
          <w:b/>
          <w:bCs/>
          <w:i/>
          <w:iCs/>
          <w:color w:val="4F81BD"/>
          <w:lang w:val="en-US" w:eastAsia="zh-CN"/>
        </w:rPr>
        <w:t>Outcome indicator</w:t>
      </w:r>
    </w:p>
    <w:p w14:paraId="76129A70" w14:textId="5B5D4800" w:rsidR="00460ED3" w:rsidRPr="008C761D" w:rsidRDefault="00460ED3" w:rsidP="00764B1D">
      <w:pPr>
        <w:spacing w:after="120" w:line="240" w:lineRule="auto"/>
        <w:contextualSpacing/>
        <w:jc w:val="both"/>
        <w:rPr>
          <w:rFonts w:eastAsia="Times New Roman" w:cs="Calibri"/>
          <w:lang w:val="en-US"/>
        </w:rPr>
      </w:pPr>
      <w:r w:rsidRPr="008C761D">
        <w:rPr>
          <w:rFonts w:eastAsia="Times New Roman" w:cs="Calibri"/>
          <w:lang w:val="en-US"/>
        </w:rPr>
        <w:t xml:space="preserve">1. </w:t>
      </w:r>
      <w:r w:rsidR="00FD28C9" w:rsidRPr="008C761D">
        <w:rPr>
          <w:rFonts w:eastAsia="Times New Roman" w:cs="Calibri"/>
          <w:lang w:val="en-US"/>
        </w:rPr>
        <w:t>Percentage of external audit recommendations for which corrective measures have been taken.</w:t>
      </w:r>
    </w:p>
    <w:p w14:paraId="24A015C6" w14:textId="77777777" w:rsidR="00F66DF5" w:rsidRPr="008C761D" w:rsidRDefault="00F66DF5" w:rsidP="00764B1D">
      <w:pPr>
        <w:spacing w:after="120" w:line="240" w:lineRule="auto"/>
        <w:contextualSpacing/>
        <w:jc w:val="both"/>
        <w:rPr>
          <w:rFonts w:eastAsia="Times New Roman"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1359A4AC" w14:textId="77777777" w:rsidTr="002B77A4">
        <w:trPr>
          <w:trHeight w:val="395"/>
        </w:trPr>
        <w:tc>
          <w:tcPr>
            <w:tcW w:w="4608" w:type="dxa"/>
            <w:shd w:val="clear" w:color="auto" w:fill="E8E8E8"/>
          </w:tcPr>
          <w:p w14:paraId="42BBA9BB"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46B4C44"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37273F3F" w14:textId="77777777" w:rsidTr="002B77A4">
        <w:trPr>
          <w:trHeight w:val="278"/>
        </w:trPr>
        <w:tc>
          <w:tcPr>
            <w:tcW w:w="4608" w:type="dxa"/>
            <w:shd w:val="clear" w:color="auto" w:fill="E8E8E8"/>
          </w:tcPr>
          <w:p w14:paraId="710F1766"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84%</w:t>
            </w:r>
          </w:p>
        </w:tc>
        <w:tc>
          <w:tcPr>
            <w:tcW w:w="4608" w:type="dxa"/>
            <w:shd w:val="clear" w:color="auto" w:fill="E8E8E8"/>
          </w:tcPr>
          <w:p w14:paraId="6B0197BE"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≥78%</w:t>
            </w:r>
          </w:p>
        </w:tc>
      </w:tr>
    </w:tbl>
    <w:p w14:paraId="77B22B06" w14:textId="77777777" w:rsidR="00460ED3" w:rsidRPr="008C761D" w:rsidRDefault="00460ED3" w:rsidP="00764B1D">
      <w:pPr>
        <w:spacing w:after="120" w:line="240" w:lineRule="auto"/>
        <w:contextualSpacing/>
        <w:jc w:val="both"/>
        <w:rPr>
          <w:rFonts w:eastAsia="Times New Roman" w:cs="Calibri"/>
          <w:lang w:val="en-US"/>
        </w:rPr>
      </w:pPr>
    </w:p>
    <w:p w14:paraId="09298EE7" w14:textId="7AF0B001" w:rsidR="005E6C71" w:rsidRPr="008C761D" w:rsidRDefault="005E6C71" w:rsidP="00E84CD0">
      <w:pPr>
        <w:keepNext/>
        <w:keepLines/>
        <w:spacing w:before="120" w:line="240" w:lineRule="auto"/>
        <w:jc w:val="both"/>
        <w:outlineLvl w:val="3"/>
        <w:rPr>
          <w:rFonts w:cs="Calibri"/>
          <w:b/>
          <w:color w:val="0070C0"/>
          <w:sz w:val="24"/>
          <w:szCs w:val="24"/>
          <w:lang w:val="en-US"/>
        </w:rPr>
      </w:pPr>
      <w:r w:rsidRPr="008C761D">
        <w:rPr>
          <w:rFonts w:cs="Calibri"/>
          <w:b/>
          <w:color w:val="0070C0"/>
          <w:sz w:val="24"/>
          <w:szCs w:val="24"/>
          <w:lang w:val="en-US"/>
        </w:rPr>
        <w:lastRenderedPageBreak/>
        <w:t xml:space="preserve">Measure 1: </w:t>
      </w:r>
      <w:r w:rsidR="00FD28C9" w:rsidRPr="008C761D">
        <w:rPr>
          <w:rFonts w:cs="Calibri"/>
          <w:b/>
          <w:color w:val="0070C0"/>
          <w:sz w:val="24"/>
          <w:szCs w:val="24"/>
          <w:lang w:val="en-US"/>
        </w:rPr>
        <w:t>Establishing a mechanism for reviewing the audit reports and the measures taken following the recommendations given in the audit reports in the RNM Assembly</w:t>
      </w:r>
    </w:p>
    <w:p w14:paraId="1A5BE200" w14:textId="705BE8AC" w:rsidR="007733B2" w:rsidRPr="008C761D" w:rsidRDefault="00C34014"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Measure Objective</w:t>
      </w:r>
    </w:p>
    <w:p w14:paraId="7B60040B" w14:textId="6A3598E8" w:rsidR="00FD28C9" w:rsidRPr="008C761D" w:rsidRDefault="00FD28C9" w:rsidP="00E84CD0">
      <w:pPr>
        <w:keepNext/>
        <w:keepLines/>
        <w:spacing w:before="160" w:after="60" w:line="240" w:lineRule="auto"/>
        <w:jc w:val="both"/>
        <w:outlineLvl w:val="3"/>
        <w:rPr>
          <w:rFonts w:eastAsia="Times New Roman" w:cs="Calibri"/>
          <w:color w:val="202124"/>
          <w:lang w:val="en-US"/>
        </w:rPr>
      </w:pPr>
      <w:r w:rsidRPr="008C761D">
        <w:rPr>
          <w:rFonts w:eastAsia="Times New Roman" w:cs="Calibri"/>
          <w:color w:val="202124"/>
          <w:lang w:val="en-US"/>
        </w:rPr>
        <w:t>Strengthening institutional mechanism for reviewing audit reports by the Assembly of RNM.</w:t>
      </w:r>
    </w:p>
    <w:p w14:paraId="2D8819FA"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rPr>
      </w:pPr>
      <w:r w:rsidRPr="008C761D">
        <w:rPr>
          <w:rFonts w:eastAsia="MS PGothic" w:cs="Calibri"/>
          <w:b/>
          <w:bCs/>
          <w:i/>
          <w:iCs/>
          <w:color w:val="4F81BD"/>
          <w:lang w:val="en-US" w:eastAsia="zh-CN"/>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61"/>
        <w:gridCol w:w="7611"/>
      </w:tblGrid>
      <w:tr w:rsidR="007733B2" w:rsidRPr="008C761D" w14:paraId="721DFB55" w14:textId="77777777" w:rsidTr="00F66DF5">
        <w:tc>
          <w:tcPr>
            <w:tcW w:w="1461" w:type="dxa"/>
            <w:shd w:val="clear" w:color="auto" w:fill="DDDDDD"/>
          </w:tcPr>
          <w:p w14:paraId="59594896" w14:textId="77777777" w:rsidR="007733B2" w:rsidRPr="008C761D" w:rsidRDefault="007733B2" w:rsidP="00E84CD0">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EU:</w:t>
            </w:r>
            <w:r w:rsidR="005E6C71" w:rsidRPr="008C761D">
              <w:rPr>
                <w:rFonts w:eastAsia="Times New Roman" w:cs="Calibri"/>
                <w:color w:val="202124"/>
                <w:sz w:val="20"/>
                <w:szCs w:val="20"/>
                <w:lang w:val="en-US"/>
              </w:rPr>
              <w:t xml:space="preserve"> 2023</w:t>
            </w:r>
          </w:p>
        </w:tc>
        <w:tc>
          <w:tcPr>
            <w:tcW w:w="7611" w:type="dxa"/>
            <w:shd w:val="clear" w:color="auto" w:fill="DDDDDD"/>
          </w:tcPr>
          <w:p w14:paraId="790DC248" w14:textId="77777777" w:rsidR="00C75160" w:rsidRPr="008C761D" w:rsidRDefault="00C75160" w:rsidP="00F66DF5">
            <w:pPr>
              <w:spacing w:after="0" w:line="240" w:lineRule="auto"/>
              <w:jc w:val="both"/>
              <w:rPr>
                <w:rFonts w:eastAsia="Times New Roman" w:cs="Calibri"/>
                <w:sz w:val="20"/>
                <w:szCs w:val="20"/>
                <w:lang w:val="en-US" w:eastAsia="x-none"/>
              </w:rPr>
            </w:pPr>
            <w:r w:rsidRPr="008C761D">
              <w:rPr>
                <w:rFonts w:eastAsia="Times New Roman" w:cs="Calibri"/>
                <w:sz w:val="20"/>
                <w:szCs w:val="20"/>
                <w:lang w:val="en-US" w:eastAsia="x-none"/>
              </w:rPr>
              <w:t>The impact of the state audit work needs to be strengthened by ensuring parliamentary oversight of individual audit reports and cooperation with anti-corruption and law enforcement institutions. Although the cooperation between the SAO and Parliament continued to improve, including with the signing of a Memorandum of Understanding, parliamentary oversight of individual audit reports needs to be strengthened.</w:t>
            </w:r>
          </w:p>
          <w:p w14:paraId="1FE33500" w14:textId="77777777" w:rsidR="00C75160" w:rsidRPr="008C761D" w:rsidRDefault="00C75160" w:rsidP="00F66DF5">
            <w:pPr>
              <w:spacing w:after="0" w:line="240" w:lineRule="auto"/>
              <w:jc w:val="both"/>
              <w:rPr>
                <w:rFonts w:eastAsia="Times New Roman" w:cs="Calibri"/>
                <w:sz w:val="20"/>
                <w:szCs w:val="20"/>
                <w:lang w:val="en-US" w:eastAsia="x-none"/>
              </w:rPr>
            </w:pPr>
            <w:r w:rsidRPr="008C761D">
              <w:rPr>
                <w:rFonts w:eastAsia="Times New Roman" w:cs="Calibri"/>
                <w:sz w:val="20"/>
                <w:szCs w:val="20"/>
                <w:lang w:val="en-US" w:eastAsia="x-none"/>
              </w:rPr>
              <w:t>Audit reports are not used by the Parliament and there is no formal mechanism for dealing with SAO reports in the Parliament. Only the annual report of the SAO is subject to consideration by the Parliamentary Committee on Financing and Budget, which will be followed by a discussion at the plenary session of the Parliament. No independent decisions are made (except for SAO recommendations).</w:t>
            </w:r>
          </w:p>
          <w:p w14:paraId="6A7509C1" w14:textId="77777777" w:rsidR="00C75160" w:rsidRPr="008C761D" w:rsidRDefault="00C75160" w:rsidP="00F66DF5">
            <w:pPr>
              <w:spacing w:after="0" w:line="240" w:lineRule="auto"/>
              <w:jc w:val="both"/>
              <w:rPr>
                <w:rFonts w:eastAsia="Times New Roman" w:cs="Calibri"/>
                <w:sz w:val="20"/>
                <w:szCs w:val="20"/>
                <w:lang w:val="en-US" w:eastAsia="x-none"/>
              </w:rPr>
            </w:pPr>
          </w:p>
          <w:p w14:paraId="27041944" w14:textId="77777777" w:rsidR="00C75160" w:rsidRPr="008C761D" w:rsidRDefault="00C75160" w:rsidP="00F66DF5">
            <w:pPr>
              <w:spacing w:after="0" w:line="240" w:lineRule="auto"/>
              <w:jc w:val="both"/>
              <w:rPr>
                <w:rFonts w:eastAsia="Times New Roman" w:cs="Calibri"/>
                <w:sz w:val="20"/>
                <w:szCs w:val="20"/>
                <w:lang w:val="en-US" w:eastAsia="x-none"/>
              </w:rPr>
            </w:pPr>
            <w:r w:rsidRPr="008C761D">
              <w:rPr>
                <w:rFonts w:eastAsia="Times New Roman" w:cs="Calibri"/>
                <w:sz w:val="20"/>
                <w:szCs w:val="20"/>
                <w:lang w:val="en-US" w:eastAsia="x-none"/>
              </w:rPr>
              <w:t>The implementation of audit recommendations should be promoted by active use of audit reports by the Assembly. In addition, parliamentary control over the preparation and implementation of the budget should be further strengthened.</w:t>
            </w:r>
          </w:p>
          <w:p w14:paraId="634A0B9C" w14:textId="77777777" w:rsidR="00C75160" w:rsidRPr="008C761D" w:rsidRDefault="00C75160" w:rsidP="00F66DF5">
            <w:pPr>
              <w:spacing w:after="0" w:line="240" w:lineRule="auto"/>
              <w:jc w:val="both"/>
              <w:rPr>
                <w:rFonts w:eastAsia="Times New Roman" w:cs="Calibri"/>
                <w:sz w:val="20"/>
                <w:szCs w:val="20"/>
                <w:lang w:val="en-US" w:eastAsia="x-none"/>
              </w:rPr>
            </w:pPr>
          </w:p>
          <w:p w14:paraId="0599A365" w14:textId="5503EE52" w:rsidR="007733B2" w:rsidRPr="008C761D" w:rsidRDefault="00C75160" w:rsidP="00F66DF5">
            <w:pPr>
              <w:spacing w:after="0" w:line="240" w:lineRule="auto"/>
              <w:jc w:val="both"/>
              <w:rPr>
                <w:rFonts w:eastAsia="Times New Roman" w:cs="Calibri"/>
                <w:sz w:val="20"/>
                <w:szCs w:val="20"/>
                <w:lang w:val="en-US" w:eastAsia="x-none"/>
              </w:rPr>
            </w:pPr>
            <w:r w:rsidRPr="008C761D">
              <w:rPr>
                <w:rFonts w:eastAsia="Times New Roman" w:cs="Calibri"/>
                <w:sz w:val="20"/>
                <w:szCs w:val="20"/>
                <w:lang w:val="en-US" w:eastAsia="x-none"/>
              </w:rPr>
              <w:t>The cooperation between the SAO and the Parliament has improved, however, parliamentary control over the preparation and implementation of the budget needs to be further strengthened. The transparency and accountability of the management of public funds should be ensured on the basis of efficient monitoring mechanisms by both the executive power and the Parliament, including through the monitoring of audit rec</w:t>
            </w:r>
            <w:r w:rsidR="00F66DF5" w:rsidRPr="008C761D">
              <w:rPr>
                <w:rFonts w:eastAsia="Times New Roman" w:cs="Calibri"/>
                <w:sz w:val="20"/>
                <w:szCs w:val="20"/>
                <w:lang w:val="en-US" w:eastAsia="x-none"/>
              </w:rPr>
              <w:t>ommendations made by the SAO.</w:t>
            </w:r>
          </w:p>
        </w:tc>
      </w:tr>
    </w:tbl>
    <w:p w14:paraId="033FDB14" w14:textId="77777777" w:rsidR="007733B2" w:rsidRPr="008C761D" w:rsidRDefault="007733B2" w:rsidP="00E84CD0">
      <w:pPr>
        <w:keepNext/>
        <w:keepLines/>
        <w:spacing w:before="240" w:line="240" w:lineRule="auto"/>
        <w:jc w:val="both"/>
        <w:outlineLvl w:val="3"/>
        <w:rPr>
          <w:rFonts w:cs="Calibri"/>
          <w:b/>
          <w:bCs/>
          <w:i/>
          <w:iCs/>
          <w:color w:val="4F81BD"/>
          <w:lang w:val="en-US"/>
        </w:rPr>
      </w:pPr>
      <w:r w:rsidRPr="008C761D">
        <w:rPr>
          <w:rFonts w:cs="Calibri"/>
          <w:b/>
          <w:bCs/>
          <w:i/>
          <w:iCs/>
          <w:color w:val="4F81BD"/>
          <w:lang w:val="en-US"/>
        </w:rPr>
        <w:t>Context/Background</w:t>
      </w:r>
    </w:p>
    <w:p w14:paraId="43C430A8" w14:textId="77777777" w:rsidR="005E6C71" w:rsidRPr="008C761D" w:rsidRDefault="005E6C71" w:rsidP="005E6C71">
      <w:pPr>
        <w:autoSpaceDE w:val="0"/>
        <w:autoSpaceDN w:val="0"/>
        <w:adjustRightInd w:val="0"/>
        <w:spacing w:before="120" w:line="240" w:lineRule="auto"/>
        <w:jc w:val="both"/>
        <w:rPr>
          <w:rFonts w:eastAsia="Times New Roman" w:cs="Calibri"/>
          <w:lang w:val="en-US"/>
        </w:rPr>
      </w:pPr>
      <w:r w:rsidRPr="008C761D">
        <w:rPr>
          <w:rFonts w:eastAsia="Times New Roman" w:cs="Calibri"/>
          <w:lang w:val="en-US"/>
        </w:rPr>
        <w:t>The report on North Macedonia for the year 2023 of the European Commission in relation to the area of ​​external audit recommends increasing the supervision and monitoring by the Assembly of RNM through reviewing the reports of the SAO in order to improve the degree of implemented recommendations.</w:t>
      </w:r>
    </w:p>
    <w:p w14:paraId="588B852F" w14:textId="77777777" w:rsidR="005E6C71" w:rsidRPr="008C761D" w:rsidRDefault="005E6C71" w:rsidP="005E6C71">
      <w:pPr>
        <w:autoSpaceDE w:val="0"/>
        <w:autoSpaceDN w:val="0"/>
        <w:adjustRightInd w:val="0"/>
        <w:spacing w:before="120" w:line="240" w:lineRule="auto"/>
        <w:jc w:val="both"/>
        <w:rPr>
          <w:rFonts w:eastAsia="Times New Roman" w:cs="Calibri"/>
          <w:lang w:val="en-US"/>
        </w:rPr>
      </w:pPr>
      <w:r w:rsidRPr="008C761D">
        <w:rPr>
          <w:rFonts w:eastAsia="Times New Roman" w:cs="Calibri"/>
          <w:lang w:val="en-US"/>
        </w:rPr>
        <w:t>Recommendations for increased supervision and monitoring by the RNM Assembly through a parliamentary debate on audit reports are implemented as a regular activity aimed at achieving:</w:t>
      </w:r>
    </w:p>
    <w:p w14:paraId="7B8138FB" w14:textId="77777777" w:rsidR="005E6C71" w:rsidRPr="008C761D" w:rsidRDefault="005E6C71" w:rsidP="003A338C">
      <w:pPr>
        <w:numPr>
          <w:ilvl w:val="0"/>
          <w:numId w:val="5"/>
        </w:numPr>
        <w:spacing w:before="120" w:after="120" w:line="240" w:lineRule="auto"/>
        <w:contextualSpacing/>
        <w:jc w:val="both"/>
        <w:rPr>
          <w:rFonts w:eastAsia="Times New Roman" w:cs="Calibri"/>
          <w:lang w:val="en-US"/>
        </w:rPr>
      </w:pPr>
      <w:r w:rsidRPr="008C761D">
        <w:rPr>
          <w:rFonts w:eastAsia="Times New Roman" w:cs="Calibri"/>
          <w:lang w:val="en-US"/>
        </w:rPr>
        <w:t>Improved legal and methodological framework of the SAO and the Assembly for the presentation and consideration of audit reports by the Assembly in accordance with the recommendations of the European Commission's report for 2023;</w:t>
      </w:r>
    </w:p>
    <w:p w14:paraId="2773FE61" w14:textId="77777777" w:rsidR="005E6C71" w:rsidRPr="008C761D" w:rsidRDefault="005E6C71" w:rsidP="003A338C">
      <w:pPr>
        <w:numPr>
          <w:ilvl w:val="0"/>
          <w:numId w:val="5"/>
        </w:numPr>
        <w:spacing w:before="120" w:after="120" w:line="240" w:lineRule="auto"/>
        <w:contextualSpacing/>
        <w:jc w:val="both"/>
        <w:rPr>
          <w:rFonts w:eastAsia="Times New Roman" w:cs="Calibri"/>
          <w:lang w:val="en-US"/>
        </w:rPr>
      </w:pPr>
      <w:r w:rsidRPr="008C761D">
        <w:rPr>
          <w:rFonts w:eastAsia="Times New Roman" w:cs="Calibri"/>
          <w:lang w:val="en-US"/>
        </w:rPr>
        <w:t>Improved cooperation between the Assembly and the State Audit Office for reviewing audit reports; and</w:t>
      </w:r>
    </w:p>
    <w:p w14:paraId="27F29932" w14:textId="77777777" w:rsidR="005E6C71" w:rsidRPr="008C761D" w:rsidRDefault="005E6C71" w:rsidP="003A338C">
      <w:pPr>
        <w:numPr>
          <w:ilvl w:val="0"/>
          <w:numId w:val="5"/>
        </w:numPr>
        <w:spacing w:before="120" w:after="120" w:line="240" w:lineRule="auto"/>
        <w:contextualSpacing/>
        <w:jc w:val="both"/>
        <w:rPr>
          <w:rFonts w:eastAsia="Times New Roman" w:cs="Calibri"/>
          <w:lang w:val="en-US"/>
        </w:rPr>
      </w:pPr>
      <w:r w:rsidRPr="008C761D">
        <w:rPr>
          <w:rFonts w:eastAsia="Times New Roman" w:cs="Calibri"/>
          <w:lang w:val="en-US"/>
        </w:rPr>
        <w:t>Strengthened capacities of the Assembly for consideration of audit reports in accordance with the new legal and methodological framework.</w:t>
      </w:r>
    </w:p>
    <w:p w14:paraId="20EBD15B" w14:textId="77777777" w:rsidR="005E6C71" w:rsidRPr="008C761D" w:rsidRDefault="005E6C71" w:rsidP="005E6C71">
      <w:pPr>
        <w:spacing w:before="240" w:line="240" w:lineRule="auto"/>
        <w:jc w:val="both"/>
        <w:rPr>
          <w:rFonts w:eastAsia="Times New Roman" w:cs="Calibri"/>
          <w:lang w:val="en-US"/>
        </w:rPr>
      </w:pPr>
      <w:r w:rsidRPr="008C761D">
        <w:rPr>
          <w:rFonts w:eastAsia="Times New Roman" w:cs="Calibri"/>
          <w:lang w:val="en-US"/>
        </w:rPr>
        <w:t>In the coming period, the SAO will continue the effective cooperation with the RNM Assembly by establishing a regular mechanism for the consideration of the audit reports by the Assembly in order to increase the degree of implementation of the audit recommendations.</w:t>
      </w:r>
    </w:p>
    <w:p w14:paraId="11CB60C2" w14:textId="65A08442" w:rsidR="005E6C71" w:rsidRPr="00742767" w:rsidRDefault="005E6C71" w:rsidP="00E84CD0">
      <w:pPr>
        <w:spacing w:before="120" w:after="120"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1</w:t>
      </w:r>
      <w:r w:rsidR="00742767">
        <w:rPr>
          <w:rFonts w:eastAsia="MS PGothic" w:cs="Calibri"/>
          <w:b/>
          <w:bCs/>
          <w:iCs/>
          <w:color w:val="0070C0"/>
          <w:lang w:eastAsia="zh-CN"/>
        </w:rPr>
        <w:t>:</w:t>
      </w:r>
      <w:r w:rsidRPr="00742767">
        <w:rPr>
          <w:rFonts w:eastAsia="MS PGothic" w:cs="Calibri"/>
          <w:b/>
          <w:bCs/>
          <w:iCs/>
          <w:color w:val="0070C0"/>
          <w:lang w:val="en-US" w:eastAsia="zh-CN"/>
        </w:rPr>
        <w:t xml:space="preserve"> </w:t>
      </w:r>
      <w:r w:rsidR="00FD28C9" w:rsidRPr="00742767">
        <w:rPr>
          <w:rFonts w:eastAsia="MS PGothic" w:cs="Calibri"/>
          <w:b/>
          <w:bCs/>
          <w:iCs/>
          <w:color w:val="0070C0"/>
          <w:lang w:val="en-US" w:eastAsia="zh-CN"/>
        </w:rPr>
        <w:t>Implementation of concluded Memorandum of cooperation between the Assembly and the SAO.</w:t>
      </w:r>
    </w:p>
    <w:p w14:paraId="458A1B61" w14:textId="77777777" w:rsidR="00C75160" w:rsidRPr="008C761D" w:rsidRDefault="00C75160" w:rsidP="00C75160">
      <w:pPr>
        <w:spacing w:before="120" w:after="120" w:line="240" w:lineRule="auto"/>
        <w:jc w:val="both"/>
        <w:rPr>
          <w:rFonts w:eastAsia="Times New Roman" w:cs="Calibri"/>
          <w:lang w:val="en-US" w:eastAsia="x-none"/>
        </w:rPr>
      </w:pPr>
      <w:r w:rsidRPr="008C761D">
        <w:rPr>
          <w:rFonts w:eastAsia="Times New Roman" w:cs="Calibri"/>
          <w:lang w:val="en-US" w:eastAsia="x-none"/>
        </w:rPr>
        <w:lastRenderedPageBreak/>
        <w:t>During the year 2022, a Memorandum of Cooperation was concluded between the SAO and the Parliament, the implementation of which should ensure the review of key audit reports, i.e. certain summary audit reports.</w:t>
      </w:r>
    </w:p>
    <w:p w14:paraId="6EC509CC" w14:textId="7C703BFB" w:rsidR="005E6C71" w:rsidRPr="00742767" w:rsidRDefault="005E6C71" w:rsidP="00E84CD0">
      <w:pPr>
        <w:spacing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2</w:t>
      </w:r>
      <w:r w:rsidR="00742767">
        <w:rPr>
          <w:rFonts w:eastAsia="MS PGothic" w:cs="Calibri"/>
          <w:b/>
          <w:bCs/>
          <w:iCs/>
          <w:color w:val="0070C0"/>
          <w:lang w:eastAsia="zh-CN"/>
        </w:rPr>
        <w:t xml:space="preserve">: </w:t>
      </w:r>
      <w:r w:rsidR="00FD28C9" w:rsidRPr="00742767">
        <w:rPr>
          <w:rFonts w:eastAsia="MS PGothic" w:cs="Calibri"/>
          <w:b/>
          <w:bCs/>
          <w:iCs/>
          <w:color w:val="0070C0"/>
          <w:lang w:val="en-US" w:eastAsia="zh-CN"/>
        </w:rPr>
        <w:t>Preparation of final/proposal procedures in the SAO and the Assembly for submission and review of audit reports and other documents.</w:t>
      </w:r>
    </w:p>
    <w:p w14:paraId="1815C45C" w14:textId="77777777" w:rsidR="005E6C71" w:rsidRPr="008C761D" w:rsidRDefault="005E6C71" w:rsidP="00E84CD0">
      <w:pPr>
        <w:keepNext/>
        <w:keepLines/>
        <w:spacing w:before="240" w:after="60" w:line="240" w:lineRule="auto"/>
        <w:jc w:val="both"/>
        <w:outlineLvl w:val="3"/>
        <w:rPr>
          <w:rFonts w:eastAsia="Times New Roman" w:cs="Calibri"/>
          <w:color w:val="202124"/>
          <w:lang w:val="en-US"/>
        </w:rPr>
      </w:pPr>
      <w:r w:rsidRPr="008C761D">
        <w:rPr>
          <w:rFonts w:eastAsia="Times New Roman" w:cs="Calibri"/>
          <w:color w:val="202124"/>
          <w:lang w:val="en-US"/>
        </w:rPr>
        <w:t>With the Twinning project, draft procedures were prepared for the preparation, submission and consideration of audit reports and other documents to the RNM Assembly, as well as for their consideration by the RNM Assembly, which remain to be defined as final after the adoption of the new Law on State audit.</w:t>
      </w:r>
    </w:p>
    <w:p w14:paraId="161AAA9B" w14:textId="7345062B" w:rsidR="005E6C71" w:rsidRPr="00742767" w:rsidRDefault="005E6C71" w:rsidP="00E84CD0">
      <w:pPr>
        <w:spacing w:before="120"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3</w:t>
      </w:r>
      <w:r w:rsidR="00742767">
        <w:rPr>
          <w:rFonts w:eastAsia="MS PGothic" w:cs="Calibri"/>
          <w:b/>
          <w:bCs/>
          <w:iCs/>
          <w:color w:val="0070C0"/>
          <w:lang w:eastAsia="zh-CN"/>
        </w:rPr>
        <w:t xml:space="preserve">: </w:t>
      </w:r>
      <w:r w:rsidR="00846F30" w:rsidRPr="00742767">
        <w:rPr>
          <w:rFonts w:eastAsia="MS PGothic" w:cs="Calibri"/>
          <w:b/>
          <w:bCs/>
          <w:iCs/>
          <w:color w:val="0070C0"/>
          <w:lang w:val="en-US" w:eastAsia="zh-CN"/>
        </w:rPr>
        <w:t>Reviewing of summary reports from final audit reports from certain areas by the Assembly.</w:t>
      </w:r>
    </w:p>
    <w:p w14:paraId="2FE280A5" w14:textId="105ECB4E" w:rsidR="00846F30" w:rsidRPr="008C761D" w:rsidRDefault="00846F30" w:rsidP="00E84CD0">
      <w:pPr>
        <w:keepNext/>
        <w:keepLines/>
        <w:spacing w:before="120" w:line="240" w:lineRule="auto"/>
        <w:jc w:val="both"/>
        <w:outlineLvl w:val="3"/>
        <w:rPr>
          <w:rFonts w:eastAsia="Times New Roman" w:cs="Calibri"/>
          <w:color w:val="202124"/>
          <w:lang w:val="en-US"/>
        </w:rPr>
      </w:pPr>
      <w:r w:rsidRPr="008C761D">
        <w:rPr>
          <w:rFonts w:eastAsia="Times New Roman" w:cs="Calibri"/>
          <w:color w:val="202124"/>
          <w:lang w:val="en-US"/>
        </w:rPr>
        <w:t>There is an established practice of preparing summary reports from final audit reports for certain areas that are submitted to the Assembly and should be subject to consideration/reviewing.</w:t>
      </w:r>
    </w:p>
    <w:p w14:paraId="1F6E0F10"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50D821BB" w14:textId="77777777" w:rsidTr="00BA5E44">
        <w:tc>
          <w:tcPr>
            <w:tcW w:w="2518" w:type="dxa"/>
            <w:tcBorders>
              <w:top w:val="nil"/>
              <w:bottom w:val="single" w:sz="4" w:space="0" w:color="FFFFFF"/>
            </w:tcBorders>
            <w:shd w:val="clear" w:color="auto" w:fill="2F5496"/>
          </w:tcPr>
          <w:p w14:paraId="5C449979" w14:textId="4B315FD4"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C34014">
              <w:rPr>
                <w:rFonts w:cs="Calibri"/>
                <w:b/>
                <w:color w:val="FFFFFF"/>
                <w:sz w:val="20"/>
                <w:szCs w:val="20"/>
                <w:lang w:val="en-US"/>
              </w:rPr>
              <w:t xml:space="preserve"> </w:t>
            </w:r>
            <w:r w:rsidRPr="008C761D">
              <w:rPr>
                <w:rFonts w:cs="Calibri"/>
                <w:b/>
                <w:color w:val="FFFFFF"/>
                <w:sz w:val="20"/>
                <w:szCs w:val="20"/>
                <w:lang w:val="en-US"/>
              </w:rPr>
              <w:t>in</w:t>
            </w:r>
            <w:r w:rsidR="00C34014">
              <w:rPr>
                <w:rFonts w:cs="Calibri"/>
                <w:b/>
                <w:color w:val="FFFFFF"/>
                <w:sz w:val="20"/>
                <w:szCs w:val="20"/>
                <w:lang w:val="en-US"/>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4EC0ADCB" w14:textId="77777777" w:rsidR="007733B2" w:rsidRPr="008C761D" w:rsidRDefault="007733B2" w:rsidP="00DE7D8F">
            <w:pPr>
              <w:spacing w:after="0" w:line="240" w:lineRule="auto"/>
              <w:jc w:val="both"/>
              <w:rPr>
                <w:rFonts w:cs="Calibri"/>
                <w:sz w:val="20"/>
                <w:szCs w:val="20"/>
                <w:lang w:val="en-US"/>
              </w:rPr>
            </w:pPr>
            <w:r w:rsidRPr="008C761D">
              <w:rPr>
                <w:rFonts w:cs="Calibri"/>
                <w:sz w:val="20"/>
                <w:szCs w:val="20"/>
                <w:lang w:val="en-US"/>
              </w:rPr>
              <w:t>202</w:t>
            </w:r>
            <w:r w:rsidR="005E6C71" w:rsidRPr="008C761D">
              <w:rPr>
                <w:rFonts w:cs="Calibri"/>
                <w:sz w:val="20"/>
                <w:szCs w:val="20"/>
                <w:lang w:val="en-US"/>
              </w:rPr>
              <w:t>7</w:t>
            </w:r>
          </w:p>
        </w:tc>
      </w:tr>
      <w:tr w:rsidR="007733B2" w:rsidRPr="008C761D" w14:paraId="02CFDFE4" w14:textId="77777777" w:rsidTr="00BA5E44">
        <w:tc>
          <w:tcPr>
            <w:tcW w:w="2518" w:type="dxa"/>
            <w:tcBorders>
              <w:top w:val="single" w:sz="4" w:space="0" w:color="FFFFFF"/>
              <w:bottom w:val="single" w:sz="4" w:space="0" w:color="FFFFFF"/>
            </w:tcBorders>
            <w:shd w:val="clear" w:color="auto" w:fill="2F5496"/>
          </w:tcPr>
          <w:p w14:paraId="0E92ECBC" w14:textId="77777777"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590AE0E" w14:textId="77777777" w:rsidR="00846F30" w:rsidRPr="008C761D" w:rsidRDefault="00846F30" w:rsidP="00742767">
            <w:pPr>
              <w:numPr>
                <w:ilvl w:val="0"/>
                <w:numId w:val="76"/>
              </w:numPr>
              <w:spacing w:after="0" w:line="240" w:lineRule="auto"/>
              <w:ind w:left="183" w:hanging="180"/>
              <w:jc w:val="both"/>
              <w:rPr>
                <w:rFonts w:eastAsia="Times New Roman" w:cs="Calibri"/>
                <w:sz w:val="20"/>
                <w:szCs w:val="20"/>
                <w:lang w:val="en-US"/>
              </w:rPr>
            </w:pPr>
            <w:r w:rsidRPr="008C761D">
              <w:rPr>
                <w:rFonts w:eastAsia="Times New Roman" w:cs="Calibri"/>
                <w:sz w:val="20"/>
                <w:szCs w:val="20"/>
                <w:lang w:val="en-US"/>
              </w:rPr>
              <w:t>Final procedures of the SAO for preparing and submitting audit reports and other documents to the RNM Assembly;</w:t>
            </w:r>
          </w:p>
          <w:p w14:paraId="0A722D0D" w14:textId="77777777" w:rsidR="00846F30" w:rsidRPr="008C761D" w:rsidRDefault="00846F30" w:rsidP="00742767">
            <w:pPr>
              <w:numPr>
                <w:ilvl w:val="0"/>
                <w:numId w:val="76"/>
              </w:numPr>
              <w:spacing w:after="0" w:line="240" w:lineRule="auto"/>
              <w:ind w:left="183" w:hanging="180"/>
              <w:jc w:val="both"/>
              <w:rPr>
                <w:rFonts w:eastAsia="Times New Roman" w:cs="Calibri"/>
                <w:sz w:val="20"/>
                <w:szCs w:val="20"/>
                <w:lang w:val="en-US"/>
              </w:rPr>
            </w:pPr>
            <w:r w:rsidRPr="008C761D">
              <w:rPr>
                <w:rFonts w:eastAsia="Times New Roman" w:cs="Calibri"/>
                <w:sz w:val="20"/>
                <w:szCs w:val="20"/>
                <w:lang w:val="en-US"/>
              </w:rPr>
              <w:t>Proposal - procedures for manner of reviewing audit reports (from receipt of audit reports and other documents to adoption conclusions and monitoring implementation of audit recommendations) in the RNM Assembly;</w:t>
            </w:r>
          </w:p>
          <w:p w14:paraId="5936F6A8" w14:textId="77777777" w:rsidR="00846F30" w:rsidRPr="008C761D" w:rsidRDefault="00846F30" w:rsidP="00742767">
            <w:pPr>
              <w:numPr>
                <w:ilvl w:val="0"/>
                <w:numId w:val="76"/>
              </w:numPr>
              <w:spacing w:after="0" w:line="240" w:lineRule="auto"/>
              <w:ind w:left="183" w:hanging="180"/>
              <w:jc w:val="both"/>
              <w:rPr>
                <w:rFonts w:eastAsia="Times New Roman" w:cs="Calibri"/>
                <w:sz w:val="20"/>
                <w:szCs w:val="20"/>
                <w:lang w:val="en-US"/>
              </w:rPr>
            </w:pPr>
            <w:r w:rsidRPr="008C761D">
              <w:rPr>
                <w:rFonts w:eastAsia="Times New Roman" w:cs="Calibri"/>
                <w:sz w:val="20"/>
                <w:szCs w:val="20"/>
                <w:lang w:val="en-US"/>
              </w:rPr>
              <w:t>Summary reports from the final audit reports for certain areas submitted to the RNM Assembly;</w:t>
            </w:r>
          </w:p>
          <w:p w14:paraId="6B284444" w14:textId="241D6FB5" w:rsidR="007733B2" w:rsidRPr="008C761D" w:rsidRDefault="00846F30" w:rsidP="00742767">
            <w:pPr>
              <w:numPr>
                <w:ilvl w:val="0"/>
                <w:numId w:val="76"/>
              </w:numPr>
              <w:spacing w:after="0" w:line="240" w:lineRule="auto"/>
              <w:ind w:left="183" w:hanging="180"/>
              <w:jc w:val="both"/>
              <w:rPr>
                <w:rFonts w:eastAsia="Times New Roman" w:cs="Calibri"/>
                <w:color w:val="202124"/>
                <w:sz w:val="20"/>
                <w:szCs w:val="20"/>
                <w:lang w:val="en-US"/>
              </w:rPr>
            </w:pPr>
            <w:r w:rsidRPr="008C761D">
              <w:rPr>
                <w:rFonts w:eastAsia="Times New Roman" w:cs="Calibri"/>
                <w:sz w:val="20"/>
                <w:szCs w:val="20"/>
                <w:lang w:val="en-US"/>
              </w:rPr>
              <w:t>Education on the enacted acts.</w:t>
            </w:r>
          </w:p>
        </w:tc>
      </w:tr>
      <w:tr w:rsidR="007733B2" w:rsidRPr="008C761D" w14:paraId="7D510D9F" w14:textId="77777777" w:rsidTr="00BA5E44">
        <w:tc>
          <w:tcPr>
            <w:tcW w:w="2518" w:type="dxa"/>
            <w:tcBorders>
              <w:top w:val="single" w:sz="4" w:space="0" w:color="FFFFFF"/>
              <w:bottom w:val="single" w:sz="4" w:space="0" w:color="FFFFFF"/>
            </w:tcBorders>
            <w:shd w:val="clear" w:color="auto" w:fill="2F5496"/>
          </w:tcPr>
          <w:p w14:paraId="7BCCD29D" w14:textId="2B8EE7DB"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C34014">
              <w:rPr>
                <w:rFonts w:cs="Calibri"/>
                <w:b/>
                <w:color w:val="FFFFFF"/>
                <w:sz w:val="20"/>
                <w:szCs w:val="20"/>
                <w:lang w:val="en-US"/>
              </w:rPr>
              <w:t xml:space="preserve"> </w:t>
            </w:r>
            <w:r w:rsidRPr="008C761D">
              <w:rPr>
                <w:rFonts w:cs="Calibri"/>
                <w:b/>
                <w:color w:val="FFFFFF"/>
                <w:sz w:val="20"/>
                <w:szCs w:val="20"/>
                <w:lang w:val="en-US"/>
              </w:rPr>
              <w:t>implications:</w:t>
            </w:r>
          </w:p>
        </w:tc>
        <w:tc>
          <w:tcPr>
            <w:tcW w:w="6246" w:type="dxa"/>
            <w:tcBorders>
              <w:top w:val="single" w:sz="4" w:space="0" w:color="FFFFFF"/>
              <w:bottom w:val="single" w:sz="4" w:space="0" w:color="FFFFFF"/>
            </w:tcBorders>
            <w:shd w:val="clear" w:color="auto" w:fill="D9E2F3"/>
          </w:tcPr>
          <w:p w14:paraId="7BB8D85B" w14:textId="77777777" w:rsidR="007733B2" w:rsidRPr="008C761D" w:rsidRDefault="007733B2" w:rsidP="00742767">
            <w:pPr>
              <w:numPr>
                <w:ilvl w:val="0"/>
                <w:numId w:val="76"/>
              </w:numPr>
              <w:spacing w:after="0" w:line="240" w:lineRule="auto"/>
              <w:ind w:left="183" w:hanging="180"/>
              <w:jc w:val="both"/>
              <w:rPr>
                <w:rFonts w:eastAsia="Times New Roman" w:cs="Calibri"/>
                <w:color w:val="202124"/>
                <w:sz w:val="20"/>
                <w:szCs w:val="20"/>
                <w:lang w:val="en-US"/>
              </w:rPr>
            </w:pPr>
            <w:r w:rsidRPr="008C761D">
              <w:rPr>
                <w:rFonts w:eastAsia="Times New Roman" w:cs="Calibri"/>
                <w:color w:val="202124"/>
                <w:sz w:val="20"/>
                <w:szCs w:val="20"/>
                <w:lang w:val="en-US"/>
              </w:rPr>
              <w:t>EUR 146,000</w:t>
            </w:r>
          </w:p>
        </w:tc>
      </w:tr>
      <w:tr w:rsidR="007733B2" w:rsidRPr="008C761D" w14:paraId="585060C4" w14:textId="77777777" w:rsidTr="00BA5E44">
        <w:tc>
          <w:tcPr>
            <w:tcW w:w="2518" w:type="dxa"/>
            <w:tcBorders>
              <w:top w:val="single" w:sz="4" w:space="0" w:color="FFFFFF"/>
              <w:bottom w:val="single" w:sz="4" w:space="0" w:color="FFFFFF"/>
            </w:tcBorders>
            <w:shd w:val="clear" w:color="auto" w:fill="2F5496"/>
          </w:tcPr>
          <w:p w14:paraId="298482A0" w14:textId="07140087" w:rsidR="007733B2" w:rsidRPr="008C761D" w:rsidRDefault="00C34014"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r w:rsidR="007733B2" w:rsidRPr="008C761D">
              <w:rPr>
                <w:rFonts w:cs="Calibri"/>
                <w:b/>
                <w:color w:val="FFFFFF"/>
                <w:sz w:val="20"/>
                <w:szCs w:val="20"/>
                <w:lang w:val="en-US"/>
              </w:rPr>
              <w:t xml:space="preserve">: </w:t>
            </w:r>
          </w:p>
        </w:tc>
        <w:tc>
          <w:tcPr>
            <w:tcW w:w="6246" w:type="dxa"/>
            <w:tcBorders>
              <w:top w:val="single" w:sz="4" w:space="0" w:color="FFFFFF"/>
              <w:bottom w:val="single" w:sz="4" w:space="0" w:color="FFFFFF"/>
            </w:tcBorders>
            <w:shd w:val="clear" w:color="auto" w:fill="D9E2F3"/>
          </w:tcPr>
          <w:p w14:paraId="5B940353" w14:textId="77777777" w:rsidR="007733B2" w:rsidRPr="008C761D" w:rsidRDefault="005E6C71" w:rsidP="00742767">
            <w:pPr>
              <w:numPr>
                <w:ilvl w:val="0"/>
                <w:numId w:val="76"/>
              </w:numPr>
              <w:spacing w:after="0" w:line="240" w:lineRule="auto"/>
              <w:ind w:left="183" w:hanging="180"/>
              <w:jc w:val="both"/>
              <w:rPr>
                <w:rFonts w:eastAsia="Times New Roman" w:cs="Calibri"/>
                <w:color w:val="202124"/>
                <w:sz w:val="20"/>
                <w:szCs w:val="20"/>
                <w:lang w:val="en-US"/>
              </w:rPr>
            </w:pPr>
            <w:r w:rsidRPr="008C761D">
              <w:rPr>
                <w:rFonts w:eastAsia="Times New Roman" w:cs="Calibri"/>
                <w:sz w:val="20"/>
                <w:szCs w:val="20"/>
                <w:lang w:val="en-US"/>
              </w:rPr>
              <w:t>The State Audit Office in cooperation with the RNM Assembly</w:t>
            </w:r>
          </w:p>
        </w:tc>
      </w:tr>
      <w:tr w:rsidR="007733B2" w:rsidRPr="008C761D" w14:paraId="69EBCCD0" w14:textId="77777777" w:rsidTr="00BA5E44">
        <w:tc>
          <w:tcPr>
            <w:tcW w:w="2518" w:type="dxa"/>
            <w:tcBorders>
              <w:top w:val="single" w:sz="4" w:space="0" w:color="FFFFFF"/>
              <w:bottom w:val="single" w:sz="4" w:space="0" w:color="FFFFFF"/>
            </w:tcBorders>
            <w:shd w:val="clear" w:color="auto" w:fill="2F5496"/>
          </w:tcPr>
          <w:p w14:paraId="1E9D2256" w14:textId="77777777"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single" w:sz="4" w:space="0" w:color="FFFFFF"/>
            </w:tcBorders>
            <w:shd w:val="clear" w:color="auto" w:fill="D9E2F3"/>
          </w:tcPr>
          <w:p w14:paraId="4AB779BF" w14:textId="77777777" w:rsidR="00C75160" w:rsidRPr="008C761D" w:rsidRDefault="00C75160" w:rsidP="00742767">
            <w:pPr>
              <w:numPr>
                <w:ilvl w:val="0"/>
                <w:numId w:val="76"/>
              </w:numPr>
              <w:spacing w:after="0" w:line="240" w:lineRule="auto"/>
              <w:ind w:left="183" w:hanging="180"/>
              <w:jc w:val="both"/>
              <w:rPr>
                <w:rFonts w:eastAsia="Times New Roman" w:cs="Calibri"/>
                <w:sz w:val="20"/>
                <w:szCs w:val="20"/>
                <w:lang w:val="en-US"/>
              </w:rPr>
            </w:pPr>
            <w:r w:rsidRPr="008C761D">
              <w:rPr>
                <w:rFonts w:eastAsia="Times New Roman" w:cs="Calibri"/>
                <w:sz w:val="20"/>
                <w:szCs w:val="20"/>
                <w:lang w:val="en-US"/>
              </w:rPr>
              <w:t>Uncreated conditions of implementing the Memorandum of cooperation between the Assembly and the SAO;</w:t>
            </w:r>
          </w:p>
          <w:p w14:paraId="590B27FB" w14:textId="77777777" w:rsidR="008669D8" w:rsidRPr="008C761D" w:rsidRDefault="00C75160" w:rsidP="00742767">
            <w:pPr>
              <w:numPr>
                <w:ilvl w:val="0"/>
                <w:numId w:val="76"/>
              </w:numPr>
              <w:spacing w:after="0" w:line="240" w:lineRule="auto"/>
              <w:ind w:left="183" w:hanging="180"/>
              <w:jc w:val="both"/>
              <w:rPr>
                <w:rFonts w:eastAsia="Times New Roman" w:cs="Calibri"/>
                <w:sz w:val="20"/>
                <w:szCs w:val="20"/>
                <w:lang w:val="en-US"/>
              </w:rPr>
            </w:pPr>
            <w:r w:rsidRPr="008C761D">
              <w:rPr>
                <w:rFonts w:eastAsia="Times New Roman" w:cs="Calibri"/>
                <w:sz w:val="20"/>
                <w:szCs w:val="20"/>
                <w:lang w:val="en-US"/>
              </w:rPr>
              <w:t>Uncreated conditions to prepare and adopt final/proposal procedures of the Assembly for the mechanism for reviewing audit reports;</w:t>
            </w:r>
          </w:p>
          <w:p w14:paraId="324A5D58" w14:textId="5A751749" w:rsidR="007733B2" w:rsidRPr="008C761D" w:rsidRDefault="00C75160" w:rsidP="00742767">
            <w:pPr>
              <w:numPr>
                <w:ilvl w:val="0"/>
                <w:numId w:val="76"/>
              </w:numPr>
              <w:spacing w:after="0" w:line="240" w:lineRule="auto"/>
              <w:ind w:left="183" w:hanging="180"/>
              <w:jc w:val="both"/>
              <w:rPr>
                <w:rFonts w:eastAsia="Times New Roman" w:cs="Calibri"/>
                <w:color w:val="202124"/>
                <w:sz w:val="20"/>
                <w:szCs w:val="20"/>
                <w:lang w:val="en-US"/>
              </w:rPr>
            </w:pPr>
            <w:r w:rsidRPr="008C761D">
              <w:rPr>
                <w:rFonts w:eastAsia="Times New Roman" w:cs="Calibri"/>
                <w:sz w:val="20"/>
                <w:szCs w:val="20"/>
                <w:lang w:val="en-US"/>
              </w:rPr>
              <w:t>Uncreated conditions for reviewing of summary reports from the final audit reports from certain areas by the Assembly.</w:t>
            </w:r>
          </w:p>
        </w:tc>
      </w:tr>
    </w:tbl>
    <w:p w14:paraId="161D2B38" w14:textId="77777777" w:rsidR="007733B2" w:rsidRPr="008C761D" w:rsidRDefault="007733B2" w:rsidP="00E84CD0">
      <w:pPr>
        <w:spacing w:line="240" w:lineRule="auto"/>
        <w:jc w:val="both"/>
        <w:rPr>
          <w:rFonts w:cs="Calibri"/>
          <w:b/>
          <w:color w:val="C00000"/>
          <w:lang w:val="en-US"/>
        </w:rPr>
      </w:pPr>
    </w:p>
    <w:p w14:paraId="780FCD25" w14:textId="25CBF3C6" w:rsidR="005E6C71" w:rsidRPr="008C761D" w:rsidRDefault="005E6C71" w:rsidP="00E84CD0">
      <w:pPr>
        <w:keepNext/>
        <w:keepLines/>
        <w:spacing w:before="120" w:line="240" w:lineRule="auto"/>
        <w:jc w:val="both"/>
        <w:outlineLvl w:val="3"/>
        <w:rPr>
          <w:rFonts w:cs="Calibri"/>
          <w:b/>
          <w:color w:val="0070C0"/>
          <w:sz w:val="24"/>
          <w:szCs w:val="24"/>
          <w:lang w:val="en-US"/>
        </w:rPr>
      </w:pPr>
      <w:r w:rsidRPr="008C761D">
        <w:rPr>
          <w:rFonts w:cs="Calibri"/>
          <w:b/>
          <w:color w:val="0070C0"/>
          <w:sz w:val="24"/>
          <w:szCs w:val="24"/>
          <w:lang w:val="en-US"/>
        </w:rPr>
        <w:t xml:space="preserve">Measure 2: </w:t>
      </w:r>
      <w:r w:rsidR="00846F30" w:rsidRPr="008C761D">
        <w:rPr>
          <w:rFonts w:cs="Calibri"/>
          <w:b/>
          <w:color w:val="0070C0"/>
          <w:sz w:val="24"/>
          <w:szCs w:val="24"/>
          <w:lang w:val="en-US"/>
        </w:rPr>
        <w:t>Strengthening the institutional capacities for reviewing audit reports in the Assembly of RNM</w:t>
      </w:r>
    </w:p>
    <w:p w14:paraId="113E016D" w14:textId="63F4D665" w:rsidR="007733B2" w:rsidRPr="008C761D" w:rsidRDefault="00C34014"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Measure Objective</w:t>
      </w:r>
    </w:p>
    <w:p w14:paraId="12C9652D" w14:textId="77777777" w:rsidR="007733B2" w:rsidRPr="008C761D" w:rsidRDefault="007733B2" w:rsidP="00E84CD0">
      <w:pPr>
        <w:spacing w:before="120" w:line="240" w:lineRule="auto"/>
        <w:jc w:val="both"/>
        <w:rPr>
          <w:rFonts w:eastAsia="Times New Roman" w:cs="Calibri"/>
          <w:color w:val="202124"/>
          <w:lang w:val="en-US"/>
        </w:rPr>
      </w:pPr>
      <w:r w:rsidRPr="008C761D">
        <w:rPr>
          <w:rFonts w:eastAsia="Times New Roman" w:cs="Calibri"/>
          <w:color w:val="202124"/>
          <w:lang w:val="en-US"/>
        </w:rPr>
        <w:t>Strengthened institutional capacities for reviewing the audit reports in the Assembly of RNM.</w:t>
      </w:r>
    </w:p>
    <w:p w14:paraId="533B3A20" w14:textId="77777777" w:rsidR="007733B2" w:rsidRPr="008C761D" w:rsidRDefault="007733B2" w:rsidP="00E84CD0">
      <w:pPr>
        <w:keepNext/>
        <w:keepLines/>
        <w:spacing w:before="160" w:after="60" w:line="240" w:lineRule="auto"/>
        <w:jc w:val="both"/>
        <w:outlineLvl w:val="3"/>
        <w:rPr>
          <w:rFonts w:eastAsia="MS PGothic" w:cs="Calibri"/>
          <w:b/>
          <w:bCs/>
          <w:i/>
          <w:iCs/>
          <w:color w:val="4F81BD"/>
          <w:lang w:val="en-US"/>
        </w:rPr>
      </w:pPr>
      <w:r w:rsidRPr="008C761D">
        <w:rPr>
          <w:rFonts w:eastAsia="MS PGothic" w:cs="Calibri"/>
          <w:b/>
          <w:bCs/>
          <w:i/>
          <w:iCs/>
          <w:color w:val="4F81BD"/>
          <w:lang w:val="en-US" w:eastAsia="zh-CN"/>
        </w:rPr>
        <w:t>Reference to findings from external assessments: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61"/>
        <w:gridCol w:w="7186"/>
      </w:tblGrid>
      <w:tr w:rsidR="007733B2" w:rsidRPr="008C761D" w14:paraId="1AB94EF7" w14:textId="77777777" w:rsidTr="008669D8">
        <w:tc>
          <w:tcPr>
            <w:tcW w:w="1461" w:type="dxa"/>
            <w:shd w:val="clear" w:color="auto" w:fill="DDDDDD"/>
          </w:tcPr>
          <w:p w14:paraId="2231C21B" w14:textId="77777777" w:rsidR="007733B2" w:rsidRPr="00742767" w:rsidRDefault="007733B2" w:rsidP="00E84CD0">
            <w:pPr>
              <w:spacing w:before="80" w:after="0" w:line="240" w:lineRule="auto"/>
              <w:jc w:val="both"/>
              <w:rPr>
                <w:rFonts w:eastAsia="Times New Roman" w:cs="Calibri"/>
                <w:b/>
                <w:color w:val="202124"/>
                <w:sz w:val="20"/>
                <w:szCs w:val="20"/>
                <w:lang w:val="en-US"/>
              </w:rPr>
            </w:pPr>
            <w:r w:rsidRPr="00742767">
              <w:rPr>
                <w:rFonts w:eastAsia="Times New Roman" w:cs="Calibri"/>
                <w:b/>
                <w:color w:val="202124"/>
                <w:sz w:val="20"/>
                <w:szCs w:val="20"/>
                <w:lang w:val="en-US"/>
              </w:rPr>
              <w:t>EU:</w:t>
            </w:r>
          </w:p>
        </w:tc>
        <w:tc>
          <w:tcPr>
            <w:tcW w:w="7186" w:type="dxa"/>
            <w:shd w:val="clear" w:color="auto" w:fill="DDDDDD"/>
          </w:tcPr>
          <w:p w14:paraId="69F04F89" w14:textId="77777777" w:rsidR="005E6C71" w:rsidRPr="008C761D" w:rsidRDefault="005E6C71" w:rsidP="005E6C71">
            <w:pPr>
              <w:spacing w:line="240" w:lineRule="auto"/>
              <w:jc w:val="both"/>
              <w:rPr>
                <w:rFonts w:eastAsia="Times New Roman" w:cs="Calibri"/>
                <w:sz w:val="20"/>
                <w:szCs w:val="20"/>
                <w:lang w:val="en-US"/>
              </w:rPr>
            </w:pPr>
            <w:r w:rsidRPr="008C761D">
              <w:rPr>
                <w:rFonts w:eastAsia="Times New Roman" w:cs="Calibri"/>
                <w:sz w:val="20"/>
                <w:szCs w:val="20"/>
                <w:lang w:val="en-US"/>
              </w:rPr>
              <w:t>The impact of the state audit work needs to be strengthened by ensuring parliamentary oversight of individual audit reports and cooperation with anti-corruption and law enforcement institutions. Although the cooperation between the SAO and Parliament continued to improve, including with the signing of a Memorandum of Understanding, parliamentary oversight of individual audit reports needs to be strengthened.</w:t>
            </w:r>
          </w:p>
          <w:p w14:paraId="432830C8" w14:textId="77777777" w:rsidR="005E6C71" w:rsidRPr="008C761D" w:rsidRDefault="005E6C71" w:rsidP="005E6C71">
            <w:pPr>
              <w:spacing w:line="240" w:lineRule="auto"/>
              <w:jc w:val="both"/>
              <w:rPr>
                <w:rFonts w:eastAsia="Times New Roman" w:cs="Calibri"/>
                <w:sz w:val="20"/>
                <w:szCs w:val="20"/>
                <w:lang w:val="en-US"/>
              </w:rPr>
            </w:pPr>
            <w:r w:rsidRPr="008C761D">
              <w:rPr>
                <w:rFonts w:eastAsia="Times New Roman" w:cs="Calibri"/>
                <w:sz w:val="20"/>
                <w:szCs w:val="20"/>
                <w:lang w:val="en-US"/>
              </w:rPr>
              <w:lastRenderedPageBreak/>
              <w:t>Audit reports are not used by the Parliament and there is no formal mechanism for dealing with SAO reports in the Parliament. Only the annual report of the SAO is subject to consideration by the Parliamentary Committee on Financing and Budget, which will be followed by a discussion at the plenary session of the Parliament. No independent decisions are made (except for SAO recommendations).</w:t>
            </w:r>
          </w:p>
          <w:p w14:paraId="77E445B7" w14:textId="77777777" w:rsidR="005E6C71" w:rsidRPr="008C761D" w:rsidRDefault="005E6C71" w:rsidP="005E6C71">
            <w:pPr>
              <w:spacing w:line="240" w:lineRule="auto"/>
              <w:jc w:val="both"/>
              <w:rPr>
                <w:rFonts w:eastAsia="Times New Roman" w:cs="Calibri"/>
                <w:sz w:val="20"/>
                <w:szCs w:val="20"/>
                <w:lang w:val="en-US"/>
              </w:rPr>
            </w:pPr>
            <w:r w:rsidRPr="008C761D">
              <w:rPr>
                <w:rFonts w:eastAsia="Times New Roman" w:cs="Calibri"/>
                <w:sz w:val="20"/>
                <w:szCs w:val="20"/>
                <w:lang w:val="en-US"/>
              </w:rPr>
              <w:t>The implementation of audit recommendations should be promoted by active use of audit reports by the Assembly. In addition, parliamentary control over the preparation and implementation of the budget should be further strengthened.</w:t>
            </w:r>
          </w:p>
          <w:p w14:paraId="0B536E40" w14:textId="77777777" w:rsidR="007733B2" w:rsidRPr="008C761D" w:rsidRDefault="005E6C71" w:rsidP="005E6C71">
            <w:pPr>
              <w:spacing w:line="240" w:lineRule="auto"/>
              <w:jc w:val="both"/>
              <w:rPr>
                <w:rFonts w:eastAsia="Times New Roman" w:cs="Calibri"/>
                <w:color w:val="202124"/>
                <w:sz w:val="20"/>
                <w:szCs w:val="20"/>
                <w:lang w:val="en-US"/>
              </w:rPr>
            </w:pPr>
            <w:r w:rsidRPr="008C761D">
              <w:rPr>
                <w:rFonts w:eastAsia="Times New Roman" w:cs="Calibri"/>
                <w:sz w:val="20"/>
                <w:szCs w:val="20"/>
                <w:lang w:val="en-US"/>
              </w:rPr>
              <w:t>The cooperation between the SAO and the Parliament has improved, however, parliamentary control over the preparation and implementation of the budget needs to be further strengthened. The transparency and accountability of the management of public funds should be ensured on the basis of efficient monitoring mechanisms by both the executive power and the Parliament, including through the monitoring of audit recommendations made by the SAO.</w:t>
            </w:r>
          </w:p>
        </w:tc>
      </w:tr>
    </w:tbl>
    <w:p w14:paraId="521718AB"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lastRenderedPageBreak/>
        <w:t>Context/Background</w:t>
      </w:r>
    </w:p>
    <w:p w14:paraId="3CD24A8D" w14:textId="77777777" w:rsidR="00C75160" w:rsidRPr="008C761D" w:rsidRDefault="00C75160" w:rsidP="00C75160">
      <w:pPr>
        <w:autoSpaceDE w:val="0"/>
        <w:autoSpaceDN w:val="0"/>
        <w:adjustRightInd w:val="0"/>
        <w:spacing w:before="120" w:line="240" w:lineRule="auto"/>
        <w:jc w:val="both"/>
        <w:rPr>
          <w:rFonts w:eastAsia="Times New Roman" w:cs="Calibri"/>
          <w:lang w:val="en-US" w:eastAsia="x-none"/>
        </w:rPr>
      </w:pPr>
      <w:r w:rsidRPr="008C761D">
        <w:rPr>
          <w:rFonts w:eastAsia="Times New Roman" w:cs="Calibri"/>
          <w:lang w:val="en-US" w:eastAsia="x-none"/>
        </w:rPr>
        <w:t>The report on North Macedonia for the year 2023 of the European Commission in relation to the area of ​​external audit recommends an increase in supervision and monitoring by the Assembly of the RNM through consideration of the reports of the SAO in order to improve the financial management and control and the way of using the funds of taxpayers, to ensure economy, efficiency and effectiveness of the use of funds and to increase the degree of implemented recommendations.</w:t>
      </w:r>
    </w:p>
    <w:p w14:paraId="1A4E55C3" w14:textId="77777777" w:rsidR="005E6C71" w:rsidRPr="008C761D" w:rsidRDefault="005E6C71" w:rsidP="005E6C71">
      <w:pPr>
        <w:spacing w:before="120" w:line="240" w:lineRule="auto"/>
        <w:jc w:val="both"/>
        <w:rPr>
          <w:rFonts w:eastAsia="Times New Roman" w:cs="Calibri"/>
          <w:lang w:val="en-US"/>
        </w:rPr>
      </w:pPr>
      <w:r w:rsidRPr="008C761D">
        <w:rPr>
          <w:rFonts w:eastAsia="Times New Roman" w:cs="Calibri"/>
          <w:lang w:val="en-US"/>
        </w:rPr>
        <w:t>The recommendations for increased supervision and monitoring by the RNM Assembly through a parliamentary debate on audit reports should be implemented as a continuous activity, and are intended to achieve:</w:t>
      </w:r>
    </w:p>
    <w:p w14:paraId="4A3CD4A9" w14:textId="77777777" w:rsidR="005E6C71" w:rsidRPr="008C761D" w:rsidRDefault="005E6C71" w:rsidP="003A338C">
      <w:pPr>
        <w:numPr>
          <w:ilvl w:val="0"/>
          <w:numId w:val="6"/>
        </w:numPr>
        <w:spacing w:before="120" w:after="120" w:line="240" w:lineRule="auto"/>
        <w:contextualSpacing/>
        <w:jc w:val="both"/>
        <w:rPr>
          <w:rFonts w:eastAsia="Times New Roman" w:cs="Calibri"/>
          <w:lang w:val="en-US"/>
        </w:rPr>
      </w:pPr>
      <w:r w:rsidRPr="008C761D">
        <w:rPr>
          <w:rFonts w:eastAsia="Times New Roman" w:cs="Calibri"/>
          <w:lang w:val="en-US"/>
        </w:rPr>
        <w:t>Improved legal and methodological framework of the SAO and the Assembly for the presentation and consideration of audit reports by the Assembly in accordance with the recommendations of the report from the European Commission;</w:t>
      </w:r>
    </w:p>
    <w:p w14:paraId="1AB7216D" w14:textId="77777777" w:rsidR="005E6C71" w:rsidRPr="008C761D" w:rsidRDefault="005E6C71" w:rsidP="003A338C">
      <w:pPr>
        <w:numPr>
          <w:ilvl w:val="0"/>
          <w:numId w:val="6"/>
        </w:numPr>
        <w:spacing w:before="120" w:after="120" w:line="240" w:lineRule="auto"/>
        <w:contextualSpacing/>
        <w:jc w:val="both"/>
        <w:rPr>
          <w:rFonts w:eastAsia="Times New Roman" w:cs="Calibri"/>
          <w:lang w:val="en-US"/>
        </w:rPr>
      </w:pPr>
      <w:r w:rsidRPr="008C761D">
        <w:rPr>
          <w:rFonts w:eastAsia="Times New Roman" w:cs="Calibri"/>
          <w:lang w:val="en-US"/>
        </w:rPr>
        <w:t>Improved cooperation between the Assembly and the State Audit Office for reviewing audit reports and</w:t>
      </w:r>
    </w:p>
    <w:p w14:paraId="7E8A17C1" w14:textId="77777777" w:rsidR="005E6C71" w:rsidRPr="008C761D" w:rsidRDefault="005E6C71" w:rsidP="003A338C">
      <w:pPr>
        <w:numPr>
          <w:ilvl w:val="0"/>
          <w:numId w:val="6"/>
        </w:numPr>
        <w:spacing w:before="120" w:after="120" w:line="240" w:lineRule="auto"/>
        <w:contextualSpacing/>
        <w:jc w:val="both"/>
        <w:rPr>
          <w:rFonts w:eastAsia="Times New Roman" w:cs="Calibri"/>
          <w:lang w:val="en-US"/>
        </w:rPr>
      </w:pPr>
      <w:r w:rsidRPr="008C761D">
        <w:rPr>
          <w:rFonts w:eastAsia="Times New Roman" w:cs="Calibri"/>
          <w:lang w:val="en-US"/>
        </w:rPr>
        <w:t>Strengthened capacities of the Assembly for consideration of audit reports in accordance with the new legal and methodological framework.</w:t>
      </w:r>
    </w:p>
    <w:p w14:paraId="12BE3A0E" w14:textId="77777777" w:rsidR="005E6C71" w:rsidRPr="008C761D" w:rsidRDefault="005E6C71" w:rsidP="005E6C71">
      <w:pPr>
        <w:spacing w:before="240" w:line="240" w:lineRule="auto"/>
        <w:jc w:val="both"/>
        <w:rPr>
          <w:rFonts w:eastAsia="Times New Roman" w:cs="Calibri"/>
          <w:lang w:val="en-US"/>
        </w:rPr>
      </w:pPr>
      <w:r w:rsidRPr="008C761D">
        <w:rPr>
          <w:rFonts w:eastAsia="Times New Roman" w:cs="Calibri"/>
          <w:lang w:val="en-US"/>
        </w:rPr>
        <w:t>In the coming period, the SAO will continue the effective cooperation with the RNM Assembly by establishing a regular mechanism for the consideration of the audit reports by the Assembly in order to increase the degree of implementation of the audit recommendations.</w:t>
      </w:r>
    </w:p>
    <w:p w14:paraId="26C5F724" w14:textId="1C53AA3B" w:rsidR="005E6C71" w:rsidRPr="00742767" w:rsidRDefault="005E6C71" w:rsidP="00E84CD0">
      <w:pPr>
        <w:spacing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 xml:space="preserve">Activity 1. </w:t>
      </w:r>
      <w:r w:rsidR="00846F30" w:rsidRPr="00742767">
        <w:rPr>
          <w:rFonts w:eastAsia="MS PGothic" w:cs="Calibri"/>
          <w:b/>
          <w:bCs/>
          <w:iCs/>
          <w:color w:val="0070C0"/>
          <w:lang w:val="en-US" w:eastAsia="zh-CN"/>
        </w:rPr>
        <w:t>Preparation of a Training Plan for MPs and employees of the RNM Assembly Service in order to facilitate the understanding of the audit reports and preparation for a debate on the audit reports</w:t>
      </w:r>
    </w:p>
    <w:p w14:paraId="413D928B" w14:textId="77777777" w:rsidR="00C75160" w:rsidRPr="008C761D" w:rsidRDefault="00C75160" w:rsidP="00C75160">
      <w:pPr>
        <w:spacing w:before="120" w:line="240" w:lineRule="auto"/>
        <w:jc w:val="both"/>
        <w:rPr>
          <w:rFonts w:eastAsia="Times New Roman" w:cs="Calibri"/>
          <w:lang w:val="en-US" w:eastAsia="x-none"/>
        </w:rPr>
      </w:pPr>
      <w:r w:rsidRPr="008C761D">
        <w:rPr>
          <w:rFonts w:eastAsia="Times New Roman" w:cs="Calibri"/>
          <w:lang w:val="en-US" w:eastAsia="x-none"/>
        </w:rPr>
        <w:t>A Training Plan for MPs and the parliamentary administration will be prepared, aimed at understanding audit reports and preparing for a debate on audit reports.</w:t>
      </w:r>
    </w:p>
    <w:p w14:paraId="04284814" w14:textId="50B64EDB" w:rsidR="005E6C71" w:rsidRPr="00742767" w:rsidRDefault="005E6C71" w:rsidP="00E84CD0">
      <w:pPr>
        <w:spacing w:before="120"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 xml:space="preserve">Activity 2. </w:t>
      </w:r>
      <w:r w:rsidR="00846F30" w:rsidRPr="00742767">
        <w:rPr>
          <w:rFonts w:eastAsia="MS PGothic" w:cs="Calibri"/>
          <w:b/>
          <w:bCs/>
          <w:iCs/>
          <w:color w:val="0070C0"/>
          <w:lang w:val="en-US" w:eastAsia="zh-CN"/>
        </w:rPr>
        <w:t>Conducting trainings in accordance with the Training Plan for the Members of Parliament and employees of the RNM Assembly Service in order to facilitate the understanding of the audit reports and preparation for the debate on the audit reports</w:t>
      </w:r>
    </w:p>
    <w:p w14:paraId="7A188A9F" w14:textId="77777777" w:rsidR="00C75160" w:rsidRPr="008C761D" w:rsidRDefault="00C75160" w:rsidP="00E84CD0">
      <w:pPr>
        <w:spacing w:before="120" w:line="240" w:lineRule="auto"/>
        <w:jc w:val="both"/>
        <w:rPr>
          <w:rFonts w:cs="Calibri"/>
          <w:lang w:val="en-US"/>
        </w:rPr>
      </w:pPr>
      <w:r w:rsidRPr="008C761D">
        <w:rPr>
          <w:rFonts w:cs="Calibri"/>
          <w:lang w:val="en-US"/>
        </w:rPr>
        <w:t>The trainings will be conducted in accordance with the Plan for the training of MPs and employees in the Service of the Parliament in order to understand the audit reports and to prepare for the debate on the audit reports (through workshops, case studies, debate simulations).</w:t>
      </w:r>
    </w:p>
    <w:p w14:paraId="2AE279A2" w14:textId="6DBCB5F8" w:rsidR="005E6C71" w:rsidRPr="00742767" w:rsidRDefault="005E6C71" w:rsidP="00E84CD0">
      <w:pPr>
        <w:spacing w:before="120"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lastRenderedPageBreak/>
        <w:t xml:space="preserve">Activity 3. </w:t>
      </w:r>
      <w:r w:rsidR="00846F30" w:rsidRPr="00742767">
        <w:rPr>
          <w:rFonts w:eastAsia="MS PGothic" w:cs="Calibri"/>
          <w:b/>
          <w:bCs/>
          <w:iCs/>
          <w:color w:val="0070C0"/>
          <w:lang w:val="en-US" w:eastAsia="zh-CN"/>
        </w:rPr>
        <w:t>Implementation of activities for strengthening cooperation with Committee on Financing and Budget, Parliamentary Institute and the Parliamentary budget office of the RNM Assembly</w:t>
      </w:r>
    </w:p>
    <w:p w14:paraId="1BF52DBD" w14:textId="162E8937" w:rsidR="005E6C71" w:rsidRPr="008C761D" w:rsidRDefault="005E6C71" w:rsidP="00E84CD0">
      <w:pPr>
        <w:spacing w:before="120" w:line="240" w:lineRule="auto"/>
        <w:jc w:val="both"/>
        <w:rPr>
          <w:rFonts w:eastAsia="Times New Roman" w:cs="Calibri"/>
          <w:lang w:val="en-US"/>
        </w:rPr>
      </w:pPr>
      <w:r w:rsidRPr="008C761D">
        <w:rPr>
          <w:rFonts w:eastAsia="Times New Roman" w:cs="Calibri"/>
          <w:lang w:val="en-US"/>
        </w:rPr>
        <w:t>Activities will be carried out to strengthen the cooperation with the Committee on Financing and Budget, the Parliamentary Institute and the Parliamentary Budget Off</w:t>
      </w:r>
      <w:r w:rsidR="008669D8" w:rsidRPr="008C761D">
        <w:rPr>
          <w:rFonts w:eastAsia="Times New Roman" w:cs="Calibri"/>
          <w:lang w:val="en-US"/>
        </w:rPr>
        <w:t>ice of the Assembly of the RNM.</w:t>
      </w:r>
    </w:p>
    <w:p w14:paraId="27E87E75" w14:textId="77777777" w:rsidR="007733B2" w:rsidRPr="008C761D" w:rsidRDefault="007733B2" w:rsidP="00E84CD0">
      <w:pPr>
        <w:keepNext/>
        <w:keepLines/>
        <w:spacing w:before="120" w:line="240" w:lineRule="auto"/>
        <w:jc w:val="both"/>
        <w:outlineLvl w:val="3"/>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8C761D" w14:paraId="187E640B" w14:textId="77777777" w:rsidTr="00BA5E44">
        <w:tc>
          <w:tcPr>
            <w:tcW w:w="2518" w:type="dxa"/>
            <w:tcBorders>
              <w:top w:val="nil"/>
              <w:bottom w:val="single" w:sz="4" w:space="0" w:color="FFFFFF"/>
            </w:tcBorders>
            <w:shd w:val="clear" w:color="auto" w:fill="2F5496"/>
          </w:tcPr>
          <w:p w14:paraId="1D481D55" w14:textId="1DA66130"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w:t>
            </w:r>
            <w:r w:rsidR="00C34014">
              <w:rPr>
                <w:rFonts w:cs="Calibri"/>
                <w:b/>
                <w:color w:val="FFFFFF"/>
                <w:sz w:val="20"/>
                <w:szCs w:val="20"/>
                <w:lang w:val="en-US"/>
              </w:rPr>
              <w:t xml:space="preserve"> </w:t>
            </w:r>
            <w:r w:rsidRPr="008C761D">
              <w:rPr>
                <w:rFonts w:cs="Calibri"/>
                <w:b/>
                <w:color w:val="FFFFFF"/>
                <w:sz w:val="20"/>
                <w:szCs w:val="20"/>
                <w:lang w:val="en-US"/>
              </w:rPr>
              <w:t>in</w:t>
            </w:r>
            <w:r w:rsidR="00C34014">
              <w:rPr>
                <w:rFonts w:cs="Calibri"/>
                <w:b/>
                <w:color w:val="FFFFFF"/>
                <w:sz w:val="20"/>
                <w:szCs w:val="20"/>
                <w:lang w:val="en-US"/>
              </w:rPr>
              <w:t xml:space="preserve"> </w:t>
            </w:r>
            <w:r w:rsidRPr="008C761D">
              <w:rPr>
                <w:rFonts w:cs="Calibri"/>
                <w:b/>
                <w:color w:val="FFFFFF"/>
                <w:sz w:val="20"/>
                <w:szCs w:val="20"/>
                <w:lang w:val="en-US"/>
              </w:rPr>
              <w:t>year:</w:t>
            </w:r>
          </w:p>
        </w:tc>
        <w:tc>
          <w:tcPr>
            <w:tcW w:w="6246" w:type="dxa"/>
            <w:tcBorders>
              <w:top w:val="nil"/>
              <w:bottom w:val="single" w:sz="4" w:space="0" w:color="FFFFFF"/>
            </w:tcBorders>
            <w:shd w:val="clear" w:color="auto" w:fill="D9E2F3"/>
          </w:tcPr>
          <w:p w14:paraId="7299FCA6" w14:textId="77777777" w:rsidR="007733B2" w:rsidRPr="008C761D" w:rsidRDefault="007733B2" w:rsidP="00DE7D8F">
            <w:pPr>
              <w:spacing w:after="0"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202</w:t>
            </w:r>
            <w:r w:rsidR="005E6C71" w:rsidRPr="008C761D">
              <w:rPr>
                <w:rFonts w:eastAsia="Times New Roman" w:cs="Calibri"/>
                <w:color w:val="202124"/>
                <w:sz w:val="20"/>
                <w:szCs w:val="20"/>
                <w:lang w:val="en-US"/>
              </w:rPr>
              <w:t>7</w:t>
            </w:r>
          </w:p>
        </w:tc>
      </w:tr>
      <w:tr w:rsidR="007733B2" w:rsidRPr="008C761D" w14:paraId="47095E11" w14:textId="77777777" w:rsidTr="00BA5E44">
        <w:tc>
          <w:tcPr>
            <w:tcW w:w="2518" w:type="dxa"/>
            <w:tcBorders>
              <w:top w:val="single" w:sz="4" w:space="0" w:color="FFFFFF"/>
              <w:bottom w:val="single" w:sz="4" w:space="0" w:color="FFFFFF"/>
            </w:tcBorders>
            <w:shd w:val="clear" w:color="auto" w:fill="2F5496"/>
          </w:tcPr>
          <w:p w14:paraId="43D0B7AA" w14:textId="77777777"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3922BB0B" w14:textId="77777777" w:rsidR="00846F30" w:rsidRPr="008C761D" w:rsidRDefault="00846F30" w:rsidP="00742767">
            <w:pPr>
              <w:numPr>
                <w:ilvl w:val="0"/>
                <w:numId w:val="77"/>
              </w:numPr>
              <w:tabs>
                <w:tab w:val="left" w:pos="122"/>
                <w:tab w:val="left" w:pos="273"/>
              </w:tabs>
              <w:spacing w:after="0" w:line="240" w:lineRule="auto"/>
              <w:ind w:left="183" w:hanging="9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A training plan for MPs in the Committee on Financing and Budget and other MPs who participate in the committees and employees of the RNM Assembly Service to facilitate the understanding of audit reports and preparation for discussion on audit reports; </w:t>
            </w:r>
          </w:p>
          <w:p w14:paraId="1BC47274" w14:textId="77777777" w:rsidR="008669D8" w:rsidRPr="008C761D" w:rsidRDefault="00846F30" w:rsidP="00742767">
            <w:pPr>
              <w:numPr>
                <w:ilvl w:val="0"/>
                <w:numId w:val="77"/>
              </w:numPr>
              <w:tabs>
                <w:tab w:val="left" w:pos="122"/>
                <w:tab w:val="left" w:pos="273"/>
              </w:tabs>
              <w:spacing w:after="0" w:line="240" w:lineRule="auto"/>
              <w:ind w:left="183" w:hanging="9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Conducting trainings in accordance with the Training Plan for MPs and employees of the RNM Assembly Service in order to understand the audit reports and to prepare for the debate on the audit reports (through study visits, workshops, case studies, debate simulations); </w:t>
            </w:r>
          </w:p>
          <w:p w14:paraId="7C82F54C" w14:textId="107CB8A6" w:rsidR="007733B2" w:rsidRPr="008C761D" w:rsidRDefault="00846F30" w:rsidP="00742767">
            <w:pPr>
              <w:numPr>
                <w:ilvl w:val="0"/>
                <w:numId w:val="77"/>
              </w:numPr>
              <w:tabs>
                <w:tab w:val="left" w:pos="122"/>
                <w:tab w:val="left" w:pos="273"/>
              </w:tabs>
              <w:spacing w:after="0" w:line="240" w:lineRule="auto"/>
              <w:ind w:left="183" w:hanging="9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Activities to strengthen cooperation with the Committee on Financing and Budget, the Parliamentary Institute and the Parliamentary Budget Office of the Assembly of the RNM.</w:t>
            </w:r>
          </w:p>
        </w:tc>
      </w:tr>
      <w:tr w:rsidR="007733B2" w:rsidRPr="008C761D" w14:paraId="2D00EB4E" w14:textId="77777777" w:rsidTr="00BA5E44">
        <w:tc>
          <w:tcPr>
            <w:tcW w:w="2518" w:type="dxa"/>
            <w:tcBorders>
              <w:top w:val="single" w:sz="4" w:space="0" w:color="FFFFFF"/>
              <w:bottom w:val="single" w:sz="4" w:space="0" w:color="FFFFFF"/>
            </w:tcBorders>
            <w:shd w:val="clear" w:color="auto" w:fill="2F5496"/>
          </w:tcPr>
          <w:p w14:paraId="4D6A9CF3" w14:textId="49B331C9" w:rsidR="007733B2" w:rsidRPr="008C761D" w:rsidRDefault="00C34014" w:rsidP="00E84CD0">
            <w:pPr>
              <w:spacing w:line="240" w:lineRule="auto"/>
              <w:jc w:val="both"/>
              <w:rPr>
                <w:rFonts w:cs="Calibri"/>
                <w:b/>
                <w:color w:val="FFFFFF"/>
                <w:sz w:val="20"/>
                <w:szCs w:val="20"/>
                <w:lang w:val="en-US"/>
              </w:rPr>
            </w:pPr>
            <w:r w:rsidRPr="008C761D">
              <w:rPr>
                <w:rFonts w:cs="Calibri"/>
                <w:b/>
                <w:color w:val="FFFFFF"/>
                <w:sz w:val="20"/>
                <w:szCs w:val="20"/>
                <w:lang w:val="en-US"/>
              </w:rPr>
              <w:t>Costs implications</w:t>
            </w:r>
            <w:r w:rsidR="007733B2" w:rsidRPr="008C761D">
              <w:rPr>
                <w:rFonts w:cs="Calibri"/>
                <w:b/>
                <w:color w:val="FFFFFF"/>
                <w:sz w:val="20"/>
                <w:szCs w:val="20"/>
                <w:lang w:val="en-US"/>
              </w:rPr>
              <w:t>:</w:t>
            </w:r>
          </w:p>
        </w:tc>
        <w:tc>
          <w:tcPr>
            <w:tcW w:w="6246" w:type="dxa"/>
            <w:tcBorders>
              <w:top w:val="single" w:sz="4" w:space="0" w:color="FFFFFF"/>
              <w:bottom w:val="single" w:sz="4" w:space="0" w:color="FFFFFF"/>
            </w:tcBorders>
            <w:shd w:val="clear" w:color="auto" w:fill="D9E2F3"/>
          </w:tcPr>
          <w:p w14:paraId="0E13E9E7" w14:textId="74735A30" w:rsidR="007733B2" w:rsidRPr="008C761D" w:rsidRDefault="007733B2" w:rsidP="003A338C">
            <w:pPr>
              <w:numPr>
                <w:ilvl w:val="0"/>
                <w:numId w:val="77"/>
              </w:numPr>
              <w:tabs>
                <w:tab w:val="left" w:pos="122"/>
                <w:tab w:val="left" w:pos="363"/>
              </w:tabs>
              <w:spacing w:after="0" w:line="240" w:lineRule="auto"/>
              <w:ind w:left="363" w:hanging="27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EUR 2</w:t>
            </w:r>
            <w:r w:rsidR="00846F30" w:rsidRPr="008C761D">
              <w:rPr>
                <w:rFonts w:eastAsia="Times New Roman" w:cs="Calibri"/>
                <w:color w:val="202124"/>
                <w:sz w:val="20"/>
                <w:szCs w:val="20"/>
                <w:lang w:val="en-US"/>
              </w:rPr>
              <w:t>71</w:t>
            </w:r>
            <w:r w:rsidRPr="008C761D">
              <w:rPr>
                <w:rFonts w:eastAsia="Times New Roman" w:cs="Calibri"/>
                <w:color w:val="202124"/>
                <w:sz w:val="20"/>
                <w:szCs w:val="20"/>
                <w:lang w:val="en-US"/>
              </w:rPr>
              <w:t>,000</w:t>
            </w:r>
          </w:p>
        </w:tc>
      </w:tr>
      <w:tr w:rsidR="007733B2" w:rsidRPr="008C761D" w14:paraId="60D19590" w14:textId="77777777" w:rsidTr="00BA5E44">
        <w:tc>
          <w:tcPr>
            <w:tcW w:w="2518" w:type="dxa"/>
            <w:tcBorders>
              <w:top w:val="single" w:sz="4" w:space="0" w:color="FFFFFF"/>
              <w:bottom w:val="single" w:sz="4" w:space="0" w:color="FFFFFF"/>
            </w:tcBorders>
            <w:shd w:val="clear" w:color="auto" w:fill="2F5496"/>
          </w:tcPr>
          <w:p w14:paraId="174FE582" w14:textId="0005E617" w:rsidR="007733B2" w:rsidRPr="008C761D" w:rsidRDefault="00C34014"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r w:rsidR="007733B2" w:rsidRPr="008C761D">
              <w:rPr>
                <w:rFonts w:cs="Calibri"/>
                <w:b/>
                <w:color w:val="FFFFFF"/>
                <w:sz w:val="20"/>
                <w:szCs w:val="20"/>
                <w:lang w:val="en-US"/>
              </w:rPr>
              <w:t xml:space="preserve">: </w:t>
            </w:r>
          </w:p>
        </w:tc>
        <w:tc>
          <w:tcPr>
            <w:tcW w:w="6246" w:type="dxa"/>
            <w:tcBorders>
              <w:top w:val="single" w:sz="4" w:space="0" w:color="FFFFFF"/>
              <w:bottom w:val="single" w:sz="4" w:space="0" w:color="FFFFFF"/>
            </w:tcBorders>
            <w:shd w:val="clear" w:color="auto" w:fill="D9E2F3"/>
          </w:tcPr>
          <w:p w14:paraId="6F245B5B" w14:textId="77777777" w:rsidR="007733B2" w:rsidRPr="008C761D" w:rsidRDefault="005E6C71" w:rsidP="008669D8">
            <w:pPr>
              <w:numPr>
                <w:ilvl w:val="0"/>
                <w:numId w:val="77"/>
              </w:numPr>
              <w:tabs>
                <w:tab w:val="left" w:pos="122"/>
                <w:tab w:val="left" w:pos="363"/>
              </w:tabs>
              <w:spacing w:after="0" w:line="240" w:lineRule="auto"/>
              <w:ind w:left="363" w:hanging="27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The State Audit Office in cooperation with the RNM Assembly</w:t>
            </w:r>
          </w:p>
        </w:tc>
      </w:tr>
      <w:tr w:rsidR="007733B2" w:rsidRPr="008C761D" w14:paraId="147F148F" w14:textId="77777777" w:rsidTr="00BA5E44">
        <w:tc>
          <w:tcPr>
            <w:tcW w:w="2518" w:type="dxa"/>
            <w:tcBorders>
              <w:top w:val="single" w:sz="4" w:space="0" w:color="FFFFFF"/>
              <w:bottom w:val="single" w:sz="4" w:space="0" w:color="FFFFFF"/>
            </w:tcBorders>
            <w:shd w:val="clear" w:color="auto" w:fill="2F5496"/>
          </w:tcPr>
          <w:p w14:paraId="6363978B" w14:textId="77777777" w:rsidR="007733B2" w:rsidRPr="008C761D" w:rsidRDefault="007733B2"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single" w:sz="4" w:space="0" w:color="FFFFFF"/>
            </w:tcBorders>
            <w:shd w:val="clear" w:color="auto" w:fill="D9E2F3"/>
          </w:tcPr>
          <w:p w14:paraId="7EB98E5A" w14:textId="77777777" w:rsidR="00846F30" w:rsidRPr="008C761D" w:rsidRDefault="00846F30" w:rsidP="008669D8">
            <w:pPr>
              <w:numPr>
                <w:ilvl w:val="0"/>
                <w:numId w:val="77"/>
              </w:numPr>
              <w:tabs>
                <w:tab w:val="left" w:pos="122"/>
                <w:tab w:val="left" w:pos="363"/>
              </w:tabs>
              <w:spacing w:after="0" w:line="240" w:lineRule="auto"/>
              <w:ind w:left="363" w:hanging="27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Inability to provide sufficient funds for education;</w:t>
            </w:r>
          </w:p>
          <w:p w14:paraId="2F971140" w14:textId="77777777" w:rsidR="00846F30" w:rsidRPr="008C761D" w:rsidRDefault="00846F30" w:rsidP="008669D8">
            <w:pPr>
              <w:numPr>
                <w:ilvl w:val="0"/>
                <w:numId w:val="77"/>
              </w:numPr>
              <w:tabs>
                <w:tab w:val="left" w:pos="122"/>
                <w:tab w:val="left" w:pos="363"/>
              </w:tabs>
              <w:spacing w:after="0" w:line="240" w:lineRule="auto"/>
              <w:ind w:left="363" w:hanging="27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Insufficient interest in conducting trainings;</w:t>
            </w:r>
          </w:p>
          <w:p w14:paraId="4C2DCF86" w14:textId="175FBD16" w:rsidR="007733B2" w:rsidRPr="008C761D" w:rsidRDefault="00846F30" w:rsidP="008669D8">
            <w:pPr>
              <w:numPr>
                <w:ilvl w:val="0"/>
                <w:numId w:val="77"/>
              </w:numPr>
              <w:tabs>
                <w:tab w:val="left" w:pos="122"/>
                <w:tab w:val="left" w:pos="363"/>
              </w:tabs>
              <w:spacing w:after="0" w:line="240" w:lineRule="auto"/>
              <w:ind w:left="363" w:hanging="270"/>
              <w:contextualSpacing/>
              <w:jc w:val="both"/>
              <w:rPr>
                <w:rFonts w:eastAsia="Times New Roman" w:cs="Calibri"/>
                <w:color w:val="202124"/>
                <w:sz w:val="20"/>
                <w:szCs w:val="20"/>
                <w:lang w:val="en-US"/>
              </w:rPr>
            </w:pPr>
            <w:r w:rsidRPr="008C761D">
              <w:rPr>
                <w:rFonts w:eastAsia="Times New Roman" w:cs="Calibri"/>
                <w:color w:val="202124"/>
                <w:sz w:val="20"/>
                <w:szCs w:val="20"/>
                <w:lang w:val="en-US"/>
              </w:rPr>
              <w:t>Lack of funds for conducting trainings.</w:t>
            </w:r>
          </w:p>
        </w:tc>
      </w:tr>
    </w:tbl>
    <w:p w14:paraId="6A44735C" w14:textId="77777777" w:rsidR="007733B2" w:rsidRPr="008C761D" w:rsidRDefault="007733B2" w:rsidP="00E84CD0">
      <w:pPr>
        <w:spacing w:line="240" w:lineRule="auto"/>
        <w:jc w:val="both"/>
        <w:rPr>
          <w:rFonts w:cs="Calibri"/>
          <w:b/>
          <w:color w:val="C00000"/>
          <w:lang w:val="en-US"/>
        </w:rPr>
      </w:pPr>
    </w:p>
    <w:p w14:paraId="5F0A8037" w14:textId="77777777" w:rsidR="005C4562" w:rsidRPr="00742767" w:rsidRDefault="007733B2" w:rsidP="00E84CD0">
      <w:pPr>
        <w:pStyle w:val="Heading1"/>
        <w:spacing w:line="240" w:lineRule="auto"/>
        <w:jc w:val="both"/>
        <w:rPr>
          <w:rFonts w:ascii="Calibri" w:hAnsi="Calibri" w:cs="Calibri"/>
          <w:color w:val="2F5496"/>
          <w:lang w:val="en-US"/>
        </w:rPr>
      </w:pPr>
      <w:r w:rsidRPr="008C761D">
        <w:rPr>
          <w:rFonts w:ascii="Calibri" w:eastAsia="Calibri" w:hAnsi="Calibri" w:cs="Calibri"/>
          <w:b w:val="0"/>
          <w:bCs w:val="0"/>
          <w:color w:val="2F5496"/>
          <w:kern w:val="0"/>
          <w:sz w:val="28"/>
          <w:szCs w:val="28"/>
          <w:lang w:val="en-US"/>
        </w:rPr>
        <w:br w:type="page"/>
      </w:r>
      <w:bookmarkStart w:id="63" w:name="_Toc160611833"/>
      <w:r w:rsidR="005C4562" w:rsidRPr="00742767">
        <w:rPr>
          <w:rFonts w:ascii="Calibri" w:hAnsi="Calibri" w:cs="Calibri"/>
          <w:color w:val="2F5496"/>
          <w:lang w:val="en-US"/>
        </w:rPr>
        <w:lastRenderedPageBreak/>
        <w:t>PILLAR VIII - PFM at Local Level</w:t>
      </w:r>
      <w:bookmarkEnd w:id="63"/>
    </w:p>
    <w:p w14:paraId="30E5981F" w14:textId="384DE36D" w:rsidR="00D144DD" w:rsidRPr="008C761D" w:rsidRDefault="00C34014" w:rsidP="00D144DD">
      <w:pPr>
        <w:spacing w:line="240" w:lineRule="auto"/>
        <w:jc w:val="both"/>
        <w:rPr>
          <w:rFonts w:eastAsia="MS PGothic"/>
          <w:b/>
          <w:bCs/>
          <w:color w:val="4F81BD"/>
          <w:lang w:val="en-US" w:eastAsia="zh-CN"/>
        </w:rPr>
      </w:pPr>
      <w:r w:rsidRPr="008C761D">
        <w:rPr>
          <w:rFonts w:eastAsia="MS PGothic"/>
          <w:b/>
          <w:bCs/>
          <w:color w:val="4F81BD"/>
          <w:lang w:val="en-US" w:eastAsia="zh-CN"/>
        </w:rPr>
        <w:t>Introduction</w:t>
      </w:r>
    </w:p>
    <w:p w14:paraId="7309A471" w14:textId="77777777" w:rsidR="004C665D" w:rsidRPr="008C761D" w:rsidRDefault="004C665D" w:rsidP="004C665D">
      <w:pPr>
        <w:spacing w:after="160" w:line="240" w:lineRule="auto"/>
        <w:jc w:val="both"/>
        <w:rPr>
          <w:lang w:val="en-US"/>
        </w:rPr>
      </w:pPr>
      <w:r w:rsidRPr="008C761D">
        <w:rPr>
          <w:lang w:val="en-US"/>
        </w:rPr>
        <w:t>Decentralization of competencies to local authorities and strengthening their capacity is one of the priorities arising from the Accession Partnership of the Republic of North Macedonia with the EU and the Framework Agreement.</w:t>
      </w:r>
    </w:p>
    <w:p w14:paraId="53F67252" w14:textId="77777777" w:rsidR="004C665D" w:rsidRPr="008C761D" w:rsidRDefault="004C665D" w:rsidP="004C665D">
      <w:pPr>
        <w:spacing w:after="160" w:line="240" w:lineRule="auto"/>
        <w:jc w:val="both"/>
        <w:rPr>
          <w:lang w:val="en-US"/>
        </w:rPr>
      </w:pPr>
      <w:r w:rsidRPr="008C761D">
        <w:rPr>
          <w:lang w:val="en-US"/>
        </w:rPr>
        <w:t>Competencies taken over by the municipalities in several areas have increased both the administrative and the fiscal capacity, as well as strengthened the capacities for managing larger volume of financial resources. Successful administration and collection of own revenues has provided for continuation of the process of increased own revenues of the municipalities and strengthened capacity for fund management, carrying out the transferred competencies and the management of funds and other resources necessary therefore. Successful implementation of fiscal decentralization, coupled with fully established legal and institutional framework for local self-government, provides for advanced, accountable and functional local self-government units and a level of local democracy that brings citizens closer to local self-government institutions.</w:t>
      </w:r>
    </w:p>
    <w:p w14:paraId="308C8397" w14:textId="77777777" w:rsidR="004C665D" w:rsidRPr="008C761D" w:rsidRDefault="004C665D" w:rsidP="004C665D">
      <w:pPr>
        <w:spacing w:after="160" w:line="240" w:lineRule="auto"/>
        <w:jc w:val="both"/>
        <w:rPr>
          <w:lang w:val="en-US"/>
        </w:rPr>
      </w:pPr>
      <w:r w:rsidRPr="008C761D">
        <w:rPr>
          <w:lang w:val="en-US"/>
        </w:rPr>
        <w:t>Continuing and improving the process of fiscal decentralization, with the ultimate goal of providing better services to citizens, requires greater financial discipline of municipalities, greater transparency and accountability of how municipalities spend public funds.</w:t>
      </w:r>
    </w:p>
    <w:p w14:paraId="19A0FC7E" w14:textId="77777777" w:rsidR="004C665D" w:rsidRPr="008C761D" w:rsidRDefault="004C665D" w:rsidP="004C665D">
      <w:pPr>
        <w:spacing w:after="160" w:line="240" w:lineRule="auto"/>
        <w:jc w:val="both"/>
        <w:rPr>
          <w:lang w:val="en-US"/>
        </w:rPr>
      </w:pPr>
      <w:r w:rsidRPr="008C761D">
        <w:rPr>
          <w:lang w:val="en-US"/>
        </w:rPr>
        <w:t>Increasing the financial discipline of municipalities, arrears repayment and cost-effective operations can be achieved through projecting municipal revenues and expenditures in a realistic manner, rationalizing the operations and reducing unnecessary expenditures, regular servicing of arrears, strengthened financial discipline, procedures on declaring financial instability and analysis of the existing arrears of both the municipalities and the public enterprises.</w:t>
      </w:r>
    </w:p>
    <w:p w14:paraId="50032FEF" w14:textId="77777777" w:rsidR="004C665D" w:rsidRPr="008C761D" w:rsidRDefault="004C665D" w:rsidP="004C665D">
      <w:pPr>
        <w:spacing w:after="160" w:line="240" w:lineRule="auto"/>
        <w:jc w:val="both"/>
        <w:rPr>
          <w:lang w:val="en-US"/>
        </w:rPr>
      </w:pPr>
      <w:r w:rsidRPr="008C761D">
        <w:rPr>
          <w:lang w:val="en-US"/>
        </w:rPr>
        <w:t>Enhanced government oversight can be ensured through the oversign carried out by the Financial Inspection in terms of compliance with the provisions of the Law on Reporting and Recording Liabilities, the Law on Financing Local Self-Government Units and the Law on Financial Discipline, while transparency of the municipalities can be increased by announcing financial statements in a transparent and understandable manner</w:t>
      </w:r>
    </w:p>
    <w:p w14:paraId="0477F6EC" w14:textId="74100065" w:rsidR="005B4D83" w:rsidRPr="008C761D" w:rsidRDefault="005B4D83" w:rsidP="005B4D83">
      <w:pPr>
        <w:spacing w:after="160" w:line="240" w:lineRule="auto"/>
        <w:jc w:val="both"/>
        <w:rPr>
          <w:lang w:val="en-US"/>
        </w:rPr>
      </w:pPr>
      <w:r w:rsidRPr="008C761D">
        <w:rPr>
          <w:lang w:val="en-US"/>
        </w:rPr>
        <w:t>Under this Program document are defined the following priorities:</w:t>
      </w:r>
    </w:p>
    <w:p w14:paraId="094865C6" w14:textId="77777777" w:rsidR="003C20E4" w:rsidRPr="008C761D" w:rsidRDefault="005B4D83" w:rsidP="00742767">
      <w:pPr>
        <w:spacing w:line="240" w:lineRule="auto"/>
        <w:rPr>
          <w:rFonts w:eastAsia="Times New Roman"/>
          <w:b/>
          <w:i/>
          <w:iCs/>
          <w:lang w:val="en-US"/>
        </w:rPr>
      </w:pPr>
      <w:r w:rsidRPr="008C761D">
        <w:rPr>
          <w:b/>
          <w:lang w:val="en-US"/>
        </w:rPr>
        <w:t>Priority 1: Fiscal decentralisation</w:t>
      </w:r>
    </w:p>
    <w:p w14:paraId="5A709E0C" w14:textId="2FB33123" w:rsidR="005B4D83" w:rsidRPr="008C761D" w:rsidRDefault="005B4D83" w:rsidP="00742767">
      <w:pPr>
        <w:spacing w:line="240" w:lineRule="auto"/>
        <w:rPr>
          <w:b/>
          <w:lang w:val="en-US"/>
        </w:rPr>
      </w:pPr>
      <w:r w:rsidRPr="008C761D">
        <w:rPr>
          <w:b/>
          <w:lang w:val="en-US"/>
        </w:rPr>
        <w:t>Priority 2: Financial discipline, transparency and accountability on local level</w:t>
      </w:r>
    </w:p>
    <w:p w14:paraId="2AAA0DA0" w14:textId="77777777" w:rsidR="008669D8" w:rsidRPr="008C761D" w:rsidRDefault="008669D8" w:rsidP="008669D8">
      <w:pPr>
        <w:spacing w:line="240" w:lineRule="auto"/>
        <w:rPr>
          <w:rFonts w:eastAsia="Times New Roman"/>
          <w:b/>
          <w:i/>
          <w:iCs/>
          <w:lang w:val="en-US"/>
        </w:rPr>
      </w:pPr>
      <w:r w:rsidRPr="008C761D">
        <w:rPr>
          <w:b/>
          <w:lang w:val="en-US"/>
        </w:rPr>
        <w:t>Priority 1: Fiscal decentralisation</w:t>
      </w:r>
    </w:p>
    <w:p w14:paraId="2D6C1E1C" w14:textId="7956984B" w:rsidR="005B4D83" w:rsidRPr="008C761D" w:rsidRDefault="008669D8" w:rsidP="005B4D83">
      <w:pPr>
        <w:spacing w:line="240" w:lineRule="auto"/>
        <w:jc w:val="both"/>
        <w:rPr>
          <w:rFonts w:cs="Calibri"/>
          <w:lang w:val="en-US"/>
        </w:rPr>
      </w:pPr>
      <w:r w:rsidRPr="008C761D">
        <w:rPr>
          <w:rFonts w:cs="Calibri"/>
          <w:lang w:val="en-US"/>
        </w:rPr>
        <w:t>T</w:t>
      </w:r>
      <w:r w:rsidR="005B4D83" w:rsidRPr="008C761D">
        <w:rPr>
          <w:rFonts w:cs="Calibri"/>
          <w:lang w:val="en-US"/>
        </w:rPr>
        <w:t xml:space="preserve">he goal is improving fiscal capacity and increasing municipal revenues due to strengthened, stable and responsible financial operations of the municipalities. </w:t>
      </w:r>
    </w:p>
    <w:p w14:paraId="671F6170" w14:textId="77777777" w:rsidR="008669D8" w:rsidRPr="008C761D" w:rsidRDefault="008669D8" w:rsidP="008669D8">
      <w:pPr>
        <w:spacing w:line="240" w:lineRule="auto"/>
        <w:rPr>
          <w:b/>
          <w:lang w:val="en-US"/>
        </w:rPr>
      </w:pPr>
      <w:r w:rsidRPr="008C761D">
        <w:rPr>
          <w:b/>
          <w:lang w:val="en-US"/>
        </w:rPr>
        <w:t>Priority 2: Financial discipline, transparency and accountability on local level</w:t>
      </w:r>
    </w:p>
    <w:p w14:paraId="27CBD34B" w14:textId="6AB47EC0" w:rsidR="005B4D83" w:rsidRPr="008C761D" w:rsidRDefault="008669D8" w:rsidP="005B4D83">
      <w:pPr>
        <w:spacing w:line="240" w:lineRule="auto"/>
        <w:jc w:val="both"/>
        <w:rPr>
          <w:rFonts w:cs="Calibri"/>
          <w:lang w:val="en-US"/>
        </w:rPr>
      </w:pPr>
      <w:r w:rsidRPr="008C761D">
        <w:rPr>
          <w:rFonts w:cs="Calibri"/>
          <w:lang w:val="en-US"/>
        </w:rPr>
        <w:t>T</w:t>
      </w:r>
      <w:r w:rsidR="005B4D83" w:rsidRPr="008C761D">
        <w:rPr>
          <w:rFonts w:cs="Calibri"/>
          <w:lang w:val="en-US"/>
        </w:rPr>
        <w:t>he main goal is to strengthened financial discipline, greater transparency and accountability of local government.</w:t>
      </w:r>
    </w:p>
    <w:p w14:paraId="5175A3C9" w14:textId="77777777" w:rsidR="005B4D83" w:rsidRPr="008C761D" w:rsidRDefault="005B4D83" w:rsidP="00E84CD0">
      <w:pPr>
        <w:spacing w:after="160" w:line="240" w:lineRule="auto"/>
        <w:jc w:val="both"/>
        <w:rPr>
          <w:lang w:val="en-US"/>
        </w:rPr>
      </w:pPr>
    </w:p>
    <w:p w14:paraId="467BDA86" w14:textId="77777777" w:rsidR="0069157C" w:rsidRPr="008C761D" w:rsidRDefault="0069157C" w:rsidP="00E84CD0">
      <w:pPr>
        <w:spacing w:after="160" w:line="240" w:lineRule="auto"/>
        <w:jc w:val="both"/>
        <w:rPr>
          <w:lang w:val="en-US"/>
        </w:rPr>
      </w:pPr>
    </w:p>
    <w:p w14:paraId="187B2ADD" w14:textId="77777777" w:rsidR="005C4562" w:rsidRPr="008C761D" w:rsidRDefault="005C4562" w:rsidP="00E84CD0">
      <w:pPr>
        <w:spacing w:after="160" w:line="240" w:lineRule="auto"/>
        <w:jc w:val="both"/>
        <w:rPr>
          <w:lang w:val="en-US"/>
        </w:rPr>
      </w:pPr>
    </w:p>
    <w:p w14:paraId="48280E24" w14:textId="77777777" w:rsidR="005C4562" w:rsidRPr="008C761D" w:rsidRDefault="005C4562" w:rsidP="00E84CD0">
      <w:pPr>
        <w:spacing w:line="240" w:lineRule="auto"/>
        <w:jc w:val="both"/>
        <w:rPr>
          <w:rFonts w:cs="Calibri"/>
          <w:color w:val="2F5496"/>
          <w:lang w:val="en-US"/>
        </w:rPr>
      </w:pPr>
    </w:p>
    <w:p w14:paraId="43B35B36" w14:textId="77777777" w:rsidR="005C4562" w:rsidRPr="00742767" w:rsidRDefault="005C4562" w:rsidP="00E86FCA">
      <w:pPr>
        <w:pStyle w:val="Heading1"/>
        <w:rPr>
          <w:rFonts w:ascii="Calibri" w:hAnsi="Calibri" w:cs="Calibri"/>
          <w:i/>
          <w:iCs/>
          <w:color w:val="2F5496"/>
          <w:sz w:val="28"/>
          <w:szCs w:val="28"/>
          <w:lang w:val="en-US"/>
        </w:rPr>
      </w:pPr>
      <w:r w:rsidRPr="008C761D">
        <w:rPr>
          <w:rFonts w:eastAsia="MS PGothic"/>
          <w:lang w:val="en-US"/>
        </w:rPr>
        <w:br w:type="page"/>
      </w:r>
      <w:bookmarkStart w:id="64" w:name="_Toc160611834"/>
      <w:r w:rsidRPr="00742767">
        <w:rPr>
          <w:rFonts w:ascii="Calibri" w:eastAsia="MS PGothic" w:hAnsi="Calibri" w:cs="Calibri"/>
          <w:color w:val="2F5496"/>
          <w:sz w:val="28"/>
          <w:szCs w:val="28"/>
          <w:lang w:val="en-US"/>
        </w:rPr>
        <w:lastRenderedPageBreak/>
        <w:t>Priority 1: Fiscal decentralisation</w:t>
      </w:r>
      <w:bookmarkEnd w:id="64"/>
    </w:p>
    <w:p w14:paraId="52BF022E" w14:textId="77777777" w:rsidR="005C4562" w:rsidRPr="008C761D" w:rsidRDefault="005C4562" w:rsidP="00E84CD0">
      <w:pPr>
        <w:keepNext/>
        <w:keepLines/>
        <w:spacing w:before="160" w:after="60" w:line="240" w:lineRule="auto"/>
        <w:jc w:val="both"/>
        <w:outlineLvl w:val="3"/>
        <w:rPr>
          <w:rFonts w:cs="Calibri"/>
          <w:b/>
          <w:bCs/>
          <w:i/>
          <w:iCs/>
          <w:color w:val="4F81BD"/>
          <w:lang w:val="en-US"/>
        </w:rPr>
      </w:pPr>
      <w:r w:rsidRPr="008C761D">
        <w:rPr>
          <w:rFonts w:cs="Calibri"/>
          <w:b/>
          <w:bCs/>
          <w:i/>
          <w:iCs/>
          <w:color w:val="4F81BD"/>
          <w:lang w:val="en-US"/>
        </w:rPr>
        <w:t>Objective</w:t>
      </w:r>
    </w:p>
    <w:p w14:paraId="04C37735" w14:textId="77777777" w:rsidR="005C4562" w:rsidRPr="008C761D" w:rsidRDefault="005C4562" w:rsidP="00E84CD0">
      <w:pPr>
        <w:spacing w:line="240" w:lineRule="auto"/>
        <w:jc w:val="both"/>
        <w:rPr>
          <w:rFonts w:cs="Calibri"/>
          <w:lang w:val="en-US"/>
        </w:rPr>
      </w:pPr>
      <w:r w:rsidRPr="008C761D">
        <w:rPr>
          <w:rFonts w:cs="Calibri"/>
          <w:lang w:val="en-US"/>
        </w:rPr>
        <w:t xml:space="preserve">Strengthened, stable and responsible financial operations of the municipalities. </w:t>
      </w:r>
    </w:p>
    <w:p w14:paraId="59C0CD39" w14:textId="77777777" w:rsidR="005C4562" w:rsidRPr="008C761D" w:rsidRDefault="005C4562" w:rsidP="00E84CD0">
      <w:pPr>
        <w:spacing w:line="240" w:lineRule="auto"/>
        <w:jc w:val="both"/>
        <w:rPr>
          <w:rFonts w:cs="Calibri"/>
          <w:lang w:val="en-US"/>
        </w:rPr>
      </w:pPr>
      <w:r w:rsidRPr="008C761D">
        <w:rPr>
          <w:rFonts w:cs="Calibri"/>
          <w:lang w:val="en-US"/>
        </w:rPr>
        <w:t>The objective of this priority will be achieved through the following measures and activities:</w:t>
      </w:r>
    </w:p>
    <w:tbl>
      <w:tblPr>
        <w:tblW w:w="8140" w:type="dxa"/>
        <w:tblInd w:w="548" w:type="dxa"/>
        <w:tblLook w:val="01E0" w:firstRow="1" w:lastRow="1" w:firstColumn="1" w:lastColumn="1" w:noHBand="0" w:noVBand="0"/>
      </w:tblPr>
      <w:tblGrid>
        <w:gridCol w:w="1714"/>
        <w:gridCol w:w="6426"/>
      </w:tblGrid>
      <w:tr w:rsidR="005C4562" w:rsidRPr="008C761D" w14:paraId="423B502B" w14:textId="77777777" w:rsidTr="00BA5E44">
        <w:trPr>
          <w:trHeight w:val="383"/>
        </w:trPr>
        <w:tc>
          <w:tcPr>
            <w:tcW w:w="1714" w:type="dxa"/>
            <w:shd w:val="clear" w:color="auto" w:fill="auto"/>
          </w:tcPr>
          <w:p w14:paraId="548DDA8C" w14:textId="77777777" w:rsidR="005C4562" w:rsidRPr="008C761D" w:rsidRDefault="005C4562" w:rsidP="00E84CD0">
            <w:pPr>
              <w:spacing w:line="240" w:lineRule="auto"/>
              <w:jc w:val="both"/>
              <w:rPr>
                <w:rFonts w:cs="Calibri"/>
                <w:b/>
                <w:lang w:val="en-US"/>
              </w:rPr>
            </w:pPr>
            <w:r w:rsidRPr="008C761D">
              <w:rPr>
                <w:rFonts w:cs="Calibri"/>
                <w:b/>
                <w:lang w:val="en-US"/>
              </w:rPr>
              <w:t>Measure 1:</w:t>
            </w:r>
          </w:p>
        </w:tc>
        <w:tc>
          <w:tcPr>
            <w:tcW w:w="6426" w:type="dxa"/>
            <w:shd w:val="clear" w:color="auto" w:fill="auto"/>
          </w:tcPr>
          <w:p w14:paraId="61061AB4" w14:textId="77777777" w:rsidR="005C4562" w:rsidRPr="008C761D" w:rsidRDefault="005C4562" w:rsidP="00E84CD0">
            <w:pPr>
              <w:spacing w:line="240" w:lineRule="auto"/>
              <w:jc w:val="both"/>
              <w:rPr>
                <w:rFonts w:cs="Calibri"/>
                <w:b/>
                <w:lang w:val="en-US"/>
              </w:rPr>
            </w:pPr>
            <w:bookmarkStart w:id="65" w:name="_Hlk95465442"/>
            <w:r w:rsidRPr="008C761D">
              <w:rPr>
                <w:rFonts w:cs="Calibri"/>
                <w:b/>
                <w:lang w:val="en-US"/>
              </w:rPr>
              <w:t>Improving fiscal capacity and increasing municipal revenues</w:t>
            </w:r>
            <w:bookmarkEnd w:id="65"/>
          </w:p>
        </w:tc>
      </w:tr>
      <w:tr w:rsidR="005C4562" w:rsidRPr="008C761D" w14:paraId="24926B6F" w14:textId="77777777" w:rsidTr="00BA5E44">
        <w:tc>
          <w:tcPr>
            <w:tcW w:w="1714" w:type="dxa"/>
            <w:shd w:val="clear" w:color="auto" w:fill="auto"/>
          </w:tcPr>
          <w:p w14:paraId="787F6739" w14:textId="77777777" w:rsidR="005C4562" w:rsidRPr="008C761D" w:rsidRDefault="005C4562" w:rsidP="00E84CD0">
            <w:pPr>
              <w:spacing w:line="240" w:lineRule="auto"/>
              <w:jc w:val="both"/>
              <w:rPr>
                <w:rFonts w:cs="Calibri"/>
                <w:b/>
                <w:lang w:val="en-US"/>
              </w:rPr>
            </w:pPr>
            <w:bookmarkStart w:id="66" w:name="_Hlk95467428"/>
            <w:r w:rsidRPr="008C761D">
              <w:rPr>
                <w:rFonts w:cs="Calibri"/>
                <w:lang w:val="en-US"/>
              </w:rPr>
              <w:t>Activity 1:</w:t>
            </w:r>
          </w:p>
        </w:tc>
        <w:tc>
          <w:tcPr>
            <w:tcW w:w="6426" w:type="dxa"/>
            <w:shd w:val="clear" w:color="auto" w:fill="auto"/>
          </w:tcPr>
          <w:p w14:paraId="4AA7DB3C" w14:textId="4263DBD7" w:rsidR="005C4562" w:rsidRPr="008C761D" w:rsidRDefault="004C665D" w:rsidP="00E84CD0">
            <w:pPr>
              <w:spacing w:line="240" w:lineRule="auto"/>
              <w:jc w:val="both"/>
              <w:rPr>
                <w:rFonts w:cs="Calibri"/>
                <w:lang w:val="en-US"/>
              </w:rPr>
            </w:pPr>
            <w:r w:rsidRPr="008C761D">
              <w:rPr>
                <w:rFonts w:cs="Calibri"/>
                <w:lang w:val="en-US"/>
              </w:rPr>
              <w:t>Addoption of a n</w:t>
            </w:r>
            <w:r w:rsidR="0069157C" w:rsidRPr="008C761D">
              <w:rPr>
                <w:rFonts w:cs="Calibri"/>
                <w:lang w:val="en-US"/>
              </w:rPr>
              <w:t>ew Law on Financing Local Government Units;</w:t>
            </w:r>
          </w:p>
        </w:tc>
      </w:tr>
      <w:bookmarkEnd w:id="66"/>
      <w:tr w:rsidR="005C4562" w:rsidRPr="008C761D" w14:paraId="7CA5A1C2" w14:textId="77777777" w:rsidTr="00BA5E44">
        <w:tc>
          <w:tcPr>
            <w:tcW w:w="1714" w:type="dxa"/>
            <w:shd w:val="clear" w:color="auto" w:fill="auto"/>
          </w:tcPr>
          <w:p w14:paraId="2030449D" w14:textId="77777777" w:rsidR="005C4562" w:rsidRPr="008C761D" w:rsidRDefault="005C4562" w:rsidP="00E84CD0">
            <w:pPr>
              <w:spacing w:line="240" w:lineRule="auto"/>
              <w:jc w:val="both"/>
              <w:rPr>
                <w:rFonts w:cs="Calibri"/>
                <w:lang w:val="en-US"/>
              </w:rPr>
            </w:pPr>
            <w:r w:rsidRPr="008C761D">
              <w:rPr>
                <w:rFonts w:cs="Calibri"/>
                <w:lang w:val="en-US"/>
              </w:rPr>
              <w:t>Activity 2:</w:t>
            </w:r>
          </w:p>
        </w:tc>
        <w:tc>
          <w:tcPr>
            <w:tcW w:w="6426" w:type="dxa"/>
            <w:shd w:val="clear" w:color="auto" w:fill="auto"/>
          </w:tcPr>
          <w:p w14:paraId="76C4F2DB" w14:textId="7031EED9" w:rsidR="005C4562" w:rsidRPr="008C761D" w:rsidRDefault="004C665D" w:rsidP="00E84CD0">
            <w:pPr>
              <w:spacing w:line="240" w:lineRule="auto"/>
              <w:jc w:val="both"/>
              <w:rPr>
                <w:rFonts w:cs="Calibri"/>
                <w:lang w:val="en-US"/>
              </w:rPr>
            </w:pPr>
            <w:bookmarkStart w:id="67" w:name="_Hlk95467728"/>
            <w:r w:rsidRPr="008C761D">
              <w:rPr>
                <w:rFonts w:cs="Calibri"/>
                <w:lang w:val="en-US"/>
              </w:rPr>
              <w:t>Preparation of by-laws of the new Law on financing of local self-government units</w:t>
            </w:r>
            <w:bookmarkEnd w:id="67"/>
          </w:p>
        </w:tc>
      </w:tr>
      <w:tr w:rsidR="004C665D" w:rsidRPr="008C761D" w14:paraId="2D6567FF" w14:textId="77777777" w:rsidTr="00BA5E44">
        <w:tc>
          <w:tcPr>
            <w:tcW w:w="1714" w:type="dxa"/>
            <w:shd w:val="clear" w:color="auto" w:fill="auto"/>
          </w:tcPr>
          <w:p w14:paraId="793B8662" w14:textId="77777777" w:rsidR="004C665D" w:rsidRPr="008C761D" w:rsidRDefault="004C665D" w:rsidP="00E84CD0">
            <w:pPr>
              <w:spacing w:line="240" w:lineRule="auto"/>
              <w:jc w:val="both"/>
              <w:rPr>
                <w:rFonts w:cs="Calibri"/>
                <w:lang w:val="en-US"/>
              </w:rPr>
            </w:pPr>
            <w:r w:rsidRPr="008C761D">
              <w:rPr>
                <w:rFonts w:cs="Calibri"/>
                <w:lang w:val="en-US"/>
              </w:rPr>
              <w:t>Activity 3:</w:t>
            </w:r>
          </w:p>
        </w:tc>
        <w:tc>
          <w:tcPr>
            <w:tcW w:w="6426" w:type="dxa"/>
            <w:shd w:val="clear" w:color="auto" w:fill="auto"/>
          </w:tcPr>
          <w:p w14:paraId="7B9F67FE" w14:textId="77777777" w:rsidR="004C665D" w:rsidRPr="008C761D" w:rsidRDefault="004C665D" w:rsidP="00E84CD0">
            <w:pPr>
              <w:spacing w:line="240" w:lineRule="auto"/>
              <w:jc w:val="both"/>
              <w:rPr>
                <w:rFonts w:cs="Calibri"/>
                <w:lang w:val="en-US"/>
              </w:rPr>
            </w:pPr>
            <w:r w:rsidRPr="008C761D">
              <w:rPr>
                <w:rFonts w:cs="Calibri"/>
                <w:lang w:val="en-US"/>
              </w:rPr>
              <w:t>Improving the legal regulation for local revenues</w:t>
            </w:r>
          </w:p>
        </w:tc>
      </w:tr>
      <w:tr w:rsidR="005C4562" w:rsidRPr="008C761D" w14:paraId="13F2EA28" w14:textId="77777777" w:rsidTr="00BA5E44">
        <w:tc>
          <w:tcPr>
            <w:tcW w:w="1714" w:type="dxa"/>
            <w:shd w:val="clear" w:color="auto" w:fill="auto"/>
          </w:tcPr>
          <w:p w14:paraId="26536AB2" w14:textId="46A4EAA0" w:rsidR="005C4562" w:rsidRPr="008C761D" w:rsidRDefault="005C4562" w:rsidP="00E84CD0">
            <w:pPr>
              <w:spacing w:line="240" w:lineRule="auto"/>
              <w:jc w:val="both"/>
              <w:rPr>
                <w:rFonts w:cs="Calibri"/>
                <w:lang w:val="en-US"/>
              </w:rPr>
            </w:pPr>
            <w:r w:rsidRPr="008C761D">
              <w:rPr>
                <w:rFonts w:cs="Calibri"/>
                <w:lang w:val="en-US"/>
              </w:rPr>
              <w:t xml:space="preserve">Activity </w:t>
            </w:r>
            <w:r w:rsidR="004C665D" w:rsidRPr="008C761D">
              <w:rPr>
                <w:rFonts w:cs="Calibri"/>
                <w:lang w:val="en-US"/>
              </w:rPr>
              <w:t>4</w:t>
            </w:r>
            <w:r w:rsidRPr="008C761D">
              <w:rPr>
                <w:rFonts w:cs="Calibri"/>
                <w:lang w:val="en-US"/>
              </w:rPr>
              <w:t>:</w:t>
            </w:r>
          </w:p>
        </w:tc>
        <w:tc>
          <w:tcPr>
            <w:tcW w:w="6426" w:type="dxa"/>
            <w:shd w:val="clear" w:color="auto" w:fill="auto"/>
          </w:tcPr>
          <w:p w14:paraId="6930E5F5" w14:textId="77777777" w:rsidR="005C4562" w:rsidRPr="008C761D" w:rsidRDefault="005C4562" w:rsidP="00E84CD0">
            <w:pPr>
              <w:spacing w:line="240" w:lineRule="auto"/>
              <w:jc w:val="both"/>
              <w:rPr>
                <w:rFonts w:cs="Calibri"/>
                <w:lang w:val="en-US"/>
              </w:rPr>
            </w:pPr>
            <w:r w:rsidRPr="008C761D">
              <w:rPr>
                <w:rFonts w:cs="Calibri"/>
                <w:lang w:val="en-US"/>
              </w:rPr>
              <w:t>Revision of the criteria for allocation of block and earmarked grants and determination of criteria for allocation of capital grants.</w:t>
            </w:r>
          </w:p>
        </w:tc>
      </w:tr>
      <w:tr w:rsidR="005C4562" w:rsidRPr="008C761D" w14:paraId="34C451E9" w14:textId="77777777" w:rsidTr="00BA5E44">
        <w:trPr>
          <w:trHeight w:val="407"/>
        </w:trPr>
        <w:tc>
          <w:tcPr>
            <w:tcW w:w="1714" w:type="dxa"/>
            <w:shd w:val="clear" w:color="auto" w:fill="auto"/>
          </w:tcPr>
          <w:p w14:paraId="690DC790" w14:textId="77777777" w:rsidR="005C4562" w:rsidRPr="008C761D" w:rsidRDefault="005C4562" w:rsidP="00E84CD0">
            <w:pPr>
              <w:spacing w:line="240" w:lineRule="auto"/>
              <w:jc w:val="both"/>
              <w:rPr>
                <w:rFonts w:cs="Calibri"/>
                <w:lang w:val="en-US"/>
              </w:rPr>
            </w:pPr>
            <w:r w:rsidRPr="008C761D">
              <w:rPr>
                <w:rFonts w:cs="Calibri"/>
                <w:b/>
                <w:lang w:val="en-US"/>
              </w:rPr>
              <w:t>Measure 2:</w:t>
            </w:r>
          </w:p>
        </w:tc>
        <w:tc>
          <w:tcPr>
            <w:tcW w:w="6426" w:type="dxa"/>
            <w:shd w:val="clear" w:color="auto" w:fill="auto"/>
          </w:tcPr>
          <w:p w14:paraId="50ADC0A5" w14:textId="77777777" w:rsidR="005C4562" w:rsidRPr="008C761D" w:rsidRDefault="005C4562" w:rsidP="00E84CD0">
            <w:pPr>
              <w:spacing w:line="240" w:lineRule="auto"/>
              <w:jc w:val="both"/>
              <w:rPr>
                <w:rFonts w:cs="Calibri"/>
                <w:b/>
                <w:lang w:val="en-US"/>
              </w:rPr>
            </w:pPr>
            <w:r w:rsidRPr="008C761D">
              <w:rPr>
                <w:rFonts w:cs="Calibri"/>
                <w:b/>
                <w:lang w:val="en-US"/>
              </w:rPr>
              <w:t>Regional and local development</w:t>
            </w:r>
          </w:p>
        </w:tc>
      </w:tr>
      <w:tr w:rsidR="005C4562" w:rsidRPr="008C761D" w14:paraId="5ADB4970" w14:textId="77777777" w:rsidTr="00BA5E44">
        <w:tc>
          <w:tcPr>
            <w:tcW w:w="1714" w:type="dxa"/>
            <w:shd w:val="clear" w:color="auto" w:fill="auto"/>
          </w:tcPr>
          <w:p w14:paraId="6A87148F" w14:textId="77777777" w:rsidR="005C4562" w:rsidRPr="008C761D" w:rsidRDefault="005C4562" w:rsidP="00E84CD0">
            <w:pPr>
              <w:spacing w:line="240" w:lineRule="auto"/>
              <w:jc w:val="both"/>
              <w:rPr>
                <w:rFonts w:cs="Calibri"/>
                <w:lang w:val="en-US"/>
              </w:rPr>
            </w:pPr>
            <w:bookmarkStart w:id="68" w:name="_Hlk87441672"/>
            <w:r w:rsidRPr="008C761D">
              <w:rPr>
                <w:rFonts w:cs="Calibri"/>
                <w:lang w:val="en-US"/>
              </w:rPr>
              <w:t>Activity 1:</w:t>
            </w:r>
          </w:p>
        </w:tc>
        <w:tc>
          <w:tcPr>
            <w:tcW w:w="6426" w:type="dxa"/>
            <w:shd w:val="clear" w:color="auto" w:fill="auto"/>
          </w:tcPr>
          <w:p w14:paraId="5B2CA5A3" w14:textId="77777777" w:rsidR="005C4562" w:rsidRPr="008C761D" w:rsidRDefault="005C4562" w:rsidP="00E84CD0">
            <w:pPr>
              <w:spacing w:line="240" w:lineRule="auto"/>
              <w:jc w:val="both"/>
              <w:rPr>
                <w:rFonts w:cs="Calibri"/>
                <w:lang w:val="en-US"/>
              </w:rPr>
            </w:pPr>
            <w:r w:rsidRPr="008C761D">
              <w:rPr>
                <w:rFonts w:cs="Calibri"/>
                <w:lang w:val="en-US"/>
              </w:rPr>
              <w:t>Establishment of the Agency for Regional and Local Development and achieving balanced regional development.</w:t>
            </w:r>
          </w:p>
        </w:tc>
      </w:tr>
      <w:tr w:rsidR="004C665D" w:rsidRPr="008C761D" w14:paraId="38F2F2EB" w14:textId="77777777" w:rsidTr="00BA5E44">
        <w:tc>
          <w:tcPr>
            <w:tcW w:w="1714" w:type="dxa"/>
            <w:shd w:val="clear" w:color="auto" w:fill="auto"/>
          </w:tcPr>
          <w:p w14:paraId="299D24C2" w14:textId="77777777" w:rsidR="004C665D" w:rsidRPr="008C761D" w:rsidRDefault="004C665D" w:rsidP="00E84CD0">
            <w:pPr>
              <w:spacing w:line="240" w:lineRule="auto"/>
              <w:jc w:val="both"/>
              <w:rPr>
                <w:rFonts w:cs="Calibri"/>
                <w:lang w:val="en-US"/>
              </w:rPr>
            </w:pPr>
            <w:r w:rsidRPr="008C761D">
              <w:rPr>
                <w:rFonts w:cs="Calibri"/>
                <w:lang w:val="en-US"/>
              </w:rPr>
              <w:t>Activity 2:</w:t>
            </w:r>
          </w:p>
        </w:tc>
        <w:tc>
          <w:tcPr>
            <w:tcW w:w="6426" w:type="dxa"/>
            <w:shd w:val="clear" w:color="auto" w:fill="auto"/>
          </w:tcPr>
          <w:p w14:paraId="0C97DC81" w14:textId="049FEC39" w:rsidR="004C665D" w:rsidRPr="008C761D" w:rsidRDefault="004C665D" w:rsidP="00E84CD0">
            <w:pPr>
              <w:spacing w:line="240" w:lineRule="auto"/>
              <w:jc w:val="both"/>
              <w:rPr>
                <w:rFonts w:cs="Calibri"/>
                <w:lang w:val="en-US"/>
              </w:rPr>
            </w:pPr>
            <w:r w:rsidRPr="008C761D">
              <w:rPr>
                <w:rFonts w:cs="Calibri"/>
                <w:lang w:val="en-US"/>
              </w:rPr>
              <w:t xml:space="preserve">Determination </w:t>
            </w:r>
            <w:r w:rsidR="00C34014" w:rsidRPr="008C761D">
              <w:rPr>
                <w:rFonts w:cs="Calibri"/>
                <w:lang w:val="en-US"/>
              </w:rPr>
              <w:t>of municipal</w:t>
            </w:r>
            <w:r w:rsidRPr="008C761D">
              <w:rPr>
                <w:rFonts w:cs="Calibri"/>
                <w:lang w:val="en-US"/>
              </w:rPr>
              <w:t xml:space="preserve"> </w:t>
            </w:r>
            <w:r w:rsidR="00C34014" w:rsidRPr="008C761D">
              <w:rPr>
                <w:rFonts w:cs="Calibri"/>
                <w:lang w:val="en-US"/>
              </w:rPr>
              <w:t>development index</w:t>
            </w:r>
          </w:p>
        </w:tc>
      </w:tr>
    </w:tbl>
    <w:bookmarkEnd w:id="68"/>
    <w:p w14:paraId="5B5DE1BC"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Outcome</w:t>
      </w:r>
    </w:p>
    <w:p w14:paraId="3BA9C443" w14:textId="77777777" w:rsidR="005C4562" w:rsidRPr="008C761D" w:rsidRDefault="005C4562" w:rsidP="00E84CD0">
      <w:pPr>
        <w:spacing w:line="240" w:lineRule="auto"/>
        <w:ind w:left="426"/>
        <w:jc w:val="both"/>
        <w:rPr>
          <w:rFonts w:cs="Calibri"/>
          <w:lang w:val="en-US"/>
        </w:rPr>
      </w:pPr>
      <w:r w:rsidRPr="008C761D">
        <w:rPr>
          <w:rFonts w:cs="Calibri"/>
          <w:lang w:val="en-US"/>
        </w:rPr>
        <w:t>Improved fiscal capacity and increased municipal revenues.</w:t>
      </w:r>
    </w:p>
    <w:p w14:paraId="7ADB0572"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Outcome indicators</w:t>
      </w:r>
    </w:p>
    <w:p w14:paraId="3F6CCEB7" w14:textId="634F07D7" w:rsidR="005C4562" w:rsidRPr="008C761D" w:rsidRDefault="005C4562" w:rsidP="003A338C">
      <w:pPr>
        <w:numPr>
          <w:ilvl w:val="0"/>
          <w:numId w:val="87"/>
        </w:numPr>
        <w:spacing w:after="120" w:line="240" w:lineRule="auto"/>
        <w:jc w:val="both"/>
        <w:rPr>
          <w:rFonts w:cs="Calibri"/>
          <w:lang w:val="en-US"/>
        </w:rPr>
      </w:pPr>
      <w:r w:rsidRPr="008C761D">
        <w:rPr>
          <w:rFonts w:cs="Calibri"/>
          <w:lang w:val="en-US"/>
        </w:rPr>
        <w:t>Percentage of increase in municipal revenues compared to 202</w:t>
      </w:r>
      <w:r w:rsidR="004C665D" w:rsidRPr="008C761D">
        <w:rPr>
          <w:rFonts w:cs="Calibri"/>
          <w:lang w:val="en-US"/>
        </w:rPr>
        <w:t>2</w:t>
      </w:r>
      <w:r w:rsidRPr="008C761D">
        <w:rPr>
          <w:rFonts w:cs="Calibr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079B3C02" w14:textId="77777777" w:rsidTr="002B77A4">
        <w:trPr>
          <w:trHeight w:val="395"/>
        </w:trPr>
        <w:tc>
          <w:tcPr>
            <w:tcW w:w="4608" w:type="dxa"/>
            <w:shd w:val="clear" w:color="auto" w:fill="E8E8E8"/>
          </w:tcPr>
          <w:p w14:paraId="4C431653"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44BC51CF"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32107C68" w14:textId="77777777" w:rsidTr="002B77A4">
        <w:trPr>
          <w:trHeight w:val="278"/>
        </w:trPr>
        <w:tc>
          <w:tcPr>
            <w:tcW w:w="4608" w:type="dxa"/>
            <w:shd w:val="clear" w:color="auto" w:fill="E8E8E8"/>
          </w:tcPr>
          <w:p w14:paraId="6959C8FA" w14:textId="24C9BB2F" w:rsidR="00460ED3" w:rsidRPr="008C761D" w:rsidRDefault="003C1602" w:rsidP="003C1602">
            <w:pPr>
              <w:tabs>
                <w:tab w:val="left" w:pos="933"/>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40.338 million</w:t>
            </w:r>
            <w:r w:rsidR="00C34014">
              <w:rPr>
                <w:rFonts w:eastAsia="Times New Roman" w:cs="Calibri"/>
                <w:color w:val="202124"/>
                <w:sz w:val="20"/>
                <w:szCs w:val="20"/>
                <w:lang w:val="en-US"/>
              </w:rPr>
              <w:t xml:space="preserve"> </w:t>
            </w:r>
            <w:r w:rsidRPr="008C761D">
              <w:rPr>
                <w:rFonts w:eastAsia="Times New Roman" w:cs="Calibri"/>
                <w:color w:val="202124"/>
                <w:sz w:val="20"/>
                <w:szCs w:val="20"/>
                <w:lang w:val="en-US"/>
              </w:rPr>
              <w:t>denars</w:t>
            </w:r>
          </w:p>
        </w:tc>
        <w:tc>
          <w:tcPr>
            <w:tcW w:w="4608" w:type="dxa"/>
            <w:shd w:val="clear" w:color="auto" w:fill="E8E8E8"/>
          </w:tcPr>
          <w:p w14:paraId="34801E20"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30%</w:t>
            </w:r>
          </w:p>
        </w:tc>
      </w:tr>
    </w:tbl>
    <w:p w14:paraId="7596A0A1" w14:textId="127CDB0F" w:rsidR="00460ED3" w:rsidRPr="008C761D" w:rsidRDefault="00460ED3" w:rsidP="00330707">
      <w:pPr>
        <w:spacing w:after="120" w:line="240" w:lineRule="auto"/>
        <w:jc w:val="both"/>
        <w:rPr>
          <w:rFonts w:cs="Calibri"/>
          <w:lang w:val="en-US"/>
        </w:rPr>
      </w:pPr>
    </w:p>
    <w:p w14:paraId="2E9D408B" w14:textId="77777777" w:rsidR="004C665D" w:rsidRPr="008C761D" w:rsidRDefault="004C665D" w:rsidP="003A338C">
      <w:pPr>
        <w:numPr>
          <w:ilvl w:val="0"/>
          <w:numId w:val="87"/>
        </w:numPr>
        <w:spacing w:after="120" w:line="240" w:lineRule="auto"/>
        <w:jc w:val="both"/>
        <w:rPr>
          <w:rFonts w:cs="Calibri"/>
          <w:lang w:val="en-US"/>
        </w:rPr>
      </w:pPr>
      <w:r w:rsidRPr="008C761D">
        <w:rPr>
          <w:rFonts w:cs="Calibri"/>
          <w:lang w:val="en-US"/>
        </w:rPr>
        <w:t xml:space="preserve">Ratio of local revenues as % of GDP </w:t>
      </w:r>
    </w:p>
    <w:p w14:paraId="61C1D84E" w14:textId="77777777" w:rsidR="004C665D" w:rsidRPr="008C761D" w:rsidRDefault="004C665D" w:rsidP="004C665D">
      <w:pPr>
        <w:spacing w:after="120" w:line="240" w:lineRule="auto"/>
        <w:jc w:val="both"/>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C665D" w:rsidRPr="008C761D" w14:paraId="7067F7AA" w14:textId="77777777" w:rsidTr="004C665D">
        <w:trPr>
          <w:trHeight w:val="395"/>
        </w:trPr>
        <w:tc>
          <w:tcPr>
            <w:tcW w:w="4608" w:type="dxa"/>
            <w:shd w:val="clear" w:color="auto" w:fill="E8E8E8"/>
          </w:tcPr>
          <w:p w14:paraId="649410EF" w14:textId="77777777" w:rsidR="004C665D" w:rsidRPr="008C761D" w:rsidRDefault="004C665D" w:rsidP="004C665D">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F5A908B" w14:textId="77777777" w:rsidR="004C665D" w:rsidRPr="008C761D" w:rsidRDefault="004C665D" w:rsidP="004C665D">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C665D" w:rsidRPr="008C761D" w14:paraId="4A45611B" w14:textId="77777777" w:rsidTr="004C665D">
        <w:trPr>
          <w:trHeight w:val="278"/>
        </w:trPr>
        <w:tc>
          <w:tcPr>
            <w:tcW w:w="4608" w:type="dxa"/>
            <w:shd w:val="clear" w:color="auto" w:fill="E8E8E8"/>
          </w:tcPr>
          <w:p w14:paraId="5F95266C" w14:textId="77777777" w:rsidR="004C665D" w:rsidRPr="008C761D" w:rsidRDefault="004C665D" w:rsidP="004C665D">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5.1% of local revenues as percentage of GDP </w:t>
            </w:r>
          </w:p>
        </w:tc>
        <w:tc>
          <w:tcPr>
            <w:tcW w:w="4608" w:type="dxa"/>
            <w:shd w:val="clear" w:color="auto" w:fill="E8E8E8"/>
          </w:tcPr>
          <w:p w14:paraId="77EFEC33" w14:textId="77777777" w:rsidR="004C665D" w:rsidRPr="008C761D" w:rsidRDefault="004C665D" w:rsidP="004C665D">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w:t>
            </w:r>
          </w:p>
        </w:tc>
      </w:tr>
    </w:tbl>
    <w:p w14:paraId="62AB16F5" w14:textId="77777777" w:rsidR="004C665D" w:rsidRPr="008C761D" w:rsidRDefault="004C665D" w:rsidP="004C665D">
      <w:pPr>
        <w:spacing w:after="120" w:line="240" w:lineRule="auto"/>
        <w:ind w:left="785"/>
        <w:jc w:val="both"/>
        <w:rPr>
          <w:rFonts w:cs="Calibri"/>
          <w:lang w:val="en-US"/>
        </w:rPr>
      </w:pPr>
    </w:p>
    <w:p w14:paraId="589CA026" w14:textId="77777777" w:rsidR="004C665D" w:rsidRPr="008C761D" w:rsidRDefault="004C665D" w:rsidP="003A338C">
      <w:pPr>
        <w:numPr>
          <w:ilvl w:val="0"/>
          <w:numId w:val="87"/>
        </w:numPr>
        <w:spacing w:after="120" w:line="240" w:lineRule="auto"/>
        <w:jc w:val="both"/>
        <w:rPr>
          <w:rFonts w:cs="Calibri"/>
          <w:lang w:val="en-US"/>
        </w:rPr>
      </w:pPr>
      <w:r w:rsidRPr="008C761D">
        <w:rPr>
          <w:rFonts w:cs="Calibri"/>
          <w:lang w:val="en-US"/>
        </w:rPr>
        <w:t>Ratio of local revenues as percentage of total public revenues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C665D" w:rsidRPr="008C761D" w14:paraId="36B924A9" w14:textId="77777777" w:rsidTr="004C665D">
        <w:trPr>
          <w:trHeight w:val="395"/>
        </w:trPr>
        <w:tc>
          <w:tcPr>
            <w:tcW w:w="4608" w:type="dxa"/>
            <w:shd w:val="clear" w:color="auto" w:fill="E8E8E8"/>
          </w:tcPr>
          <w:p w14:paraId="0BB8C845" w14:textId="77777777" w:rsidR="004C665D" w:rsidRPr="008C761D" w:rsidRDefault="004C665D" w:rsidP="004C665D">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4AE7B936" w14:textId="77777777" w:rsidR="004C665D" w:rsidRPr="008C761D" w:rsidRDefault="004C665D" w:rsidP="004C665D">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C665D" w:rsidRPr="008C761D" w14:paraId="6D1DDF17" w14:textId="77777777" w:rsidTr="004C665D">
        <w:trPr>
          <w:trHeight w:val="278"/>
        </w:trPr>
        <w:tc>
          <w:tcPr>
            <w:tcW w:w="4608" w:type="dxa"/>
            <w:shd w:val="clear" w:color="auto" w:fill="E8E8E8"/>
          </w:tcPr>
          <w:p w14:paraId="77C02B47" w14:textId="54817FD9" w:rsidR="004C665D" w:rsidRPr="008C761D" w:rsidRDefault="004C665D" w:rsidP="004C665D">
            <w:pPr>
              <w:tabs>
                <w:tab w:val="left" w:pos="1048"/>
              </w:tabs>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 xml:space="preserve">16.6% of </w:t>
            </w:r>
            <w:r w:rsidR="00C34014" w:rsidRPr="008C761D">
              <w:rPr>
                <w:rFonts w:eastAsia="Times New Roman" w:cs="Calibri"/>
                <w:color w:val="202124"/>
                <w:sz w:val="20"/>
                <w:szCs w:val="20"/>
                <w:lang w:val="en-US"/>
              </w:rPr>
              <w:t>local</w:t>
            </w:r>
            <w:r w:rsidRPr="008C761D">
              <w:rPr>
                <w:rFonts w:eastAsia="Times New Roman" w:cs="Calibri"/>
                <w:color w:val="202124"/>
                <w:sz w:val="20"/>
                <w:szCs w:val="20"/>
                <w:lang w:val="en-US"/>
              </w:rPr>
              <w:t xml:space="preserve"> revenues as </w:t>
            </w:r>
            <w:r w:rsidR="00C34014" w:rsidRPr="008C761D">
              <w:rPr>
                <w:rFonts w:eastAsia="Times New Roman" w:cs="Calibri"/>
                <w:color w:val="202124"/>
                <w:sz w:val="20"/>
                <w:szCs w:val="20"/>
                <w:lang w:val="en-US"/>
              </w:rPr>
              <w:t>percentage</w:t>
            </w:r>
            <w:r w:rsidRPr="008C761D">
              <w:rPr>
                <w:rFonts w:eastAsia="Times New Roman" w:cs="Calibri"/>
                <w:color w:val="202124"/>
                <w:sz w:val="20"/>
                <w:szCs w:val="20"/>
                <w:lang w:val="en-US"/>
              </w:rPr>
              <w:t xml:space="preserve"> of total public revenues</w:t>
            </w:r>
          </w:p>
        </w:tc>
        <w:tc>
          <w:tcPr>
            <w:tcW w:w="4608" w:type="dxa"/>
            <w:shd w:val="clear" w:color="auto" w:fill="E8E8E8"/>
          </w:tcPr>
          <w:p w14:paraId="2249325D" w14:textId="77777777" w:rsidR="004C665D" w:rsidRPr="008C761D" w:rsidRDefault="004C665D" w:rsidP="00742767">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20%</w:t>
            </w:r>
          </w:p>
        </w:tc>
      </w:tr>
    </w:tbl>
    <w:p w14:paraId="2E04763C" w14:textId="77777777" w:rsidR="004C665D" w:rsidRPr="008C761D" w:rsidRDefault="004C665D" w:rsidP="004C665D">
      <w:pPr>
        <w:spacing w:after="120" w:line="240" w:lineRule="auto"/>
        <w:ind w:left="785"/>
        <w:jc w:val="both"/>
        <w:rPr>
          <w:rFonts w:cs="Calibri"/>
          <w:lang w:val="en-US"/>
        </w:rPr>
      </w:pPr>
    </w:p>
    <w:p w14:paraId="234A262B" w14:textId="77777777" w:rsidR="005C4562" w:rsidRPr="008C761D" w:rsidRDefault="005C4562" w:rsidP="00E84CD0">
      <w:pPr>
        <w:spacing w:before="360" w:line="240" w:lineRule="auto"/>
        <w:jc w:val="both"/>
        <w:rPr>
          <w:rFonts w:cs="Calibri"/>
          <w:b/>
          <w:color w:val="0070C0"/>
          <w:sz w:val="24"/>
          <w:szCs w:val="24"/>
          <w:lang w:val="en-US"/>
        </w:rPr>
      </w:pPr>
      <w:r w:rsidRPr="008C761D">
        <w:rPr>
          <w:rFonts w:cs="Calibri"/>
          <w:b/>
          <w:color w:val="0070C0"/>
          <w:sz w:val="24"/>
          <w:szCs w:val="24"/>
          <w:lang w:val="en-US"/>
        </w:rPr>
        <w:t>Measure 1: Improving fiscal capacity and increasing municipal revenues</w:t>
      </w:r>
    </w:p>
    <w:p w14:paraId="6EA7115E" w14:textId="77777777" w:rsidR="005C4562" w:rsidRPr="008C761D" w:rsidRDefault="005C4562" w:rsidP="00E84CD0">
      <w:pPr>
        <w:spacing w:line="240" w:lineRule="auto"/>
        <w:jc w:val="both"/>
        <w:rPr>
          <w:rFonts w:cs="Calibri"/>
          <w:b/>
          <w:bCs/>
          <w:i/>
          <w:iCs/>
          <w:color w:val="4F81BD"/>
          <w:lang w:val="en-US"/>
        </w:rPr>
      </w:pPr>
      <w:bookmarkStart w:id="69" w:name="_Hlk95469666"/>
      <w:r w:rsidRPr="008C761D">
        <w:rPr>
          <w:rFonts w:cs="Calibri"/>
          <w:b/>
          <w:bCs/>
          <w:i/>
          <w:iCs/>
          <w:color w:val="4F81BD"/>
          <w:lang w:val="en-US"/>
        </w:rPr>
        <w:lastRenderedPageBreak/>
        <w:t>Measure objective</w:t>
      </w:r>
    </w:p>
    <w:bookmarkEnd w:id="69"/>
    <w:p w14:paraId="33D93C50" w14:textId="77777777" w:rsidR="00C75160" w:rsidRPr="008C761D" w:rsidRDefault="00C75160" w:rsidP="00330707">
      <w:pPr>
        <w:spacing w:line="240" w:lineRule="auto"/>
        <w:jc w:val="both"/>
        <w:rPr>
          <w:lang w:val="en-US"/>
        </w:rPr>
      </w:pPr>
      <w:r w:rsidRPr="008C761D">
        <w:rPr>
          <w:lang w:val="en-US"/>
        </w:rPr>
        <w:t>The Ministry of Finance in 2022 was actively working on reforming fiscal decentralization, which offers a serious systemic solution for stable finances of municipalities that will be responsible municipalities and delivering quality and efficient services to citizens. Reform consists of three pillars: increasing the fiscal capacity of municipalities and increasing municipal revenues, increasing the financial discipline of municipalities, reducing debt and housekeeping and increased transparency and accountability.</w:t>
      </w:r>
    </w:p>
    <w:p w14:paraId="2FEB8D40" w14:textId="77777777" w:rsidR="00C75160" w:rsidRPr="008C761D" w:rsidRDefault="00C75160" w:rsidP="00330707">
      <w:pPr>
        <w:spacing w:line="240" w:lineRule="auto"/>
        <w:jc w:val="both"/>
        <w:rPr>
          <w:lang w:val="en-US"/>
        </w:rPr>
      </w:pPr>
      <w:r w:rsidRPr="008C761D">
        <w:rPr>
          <w:lang w:val="en-US"/>
        </w:rPr>
        <w:t>During 2023 and in the medium term, and in order to promote fiscal decentralization, more activities and measures are envisaged to improve fiscal capacity and increase municipal revenues, increase fiscal discipline and increase transparency and accountability in their work.</w:t>
      </w:r>
    </w:p>
    <w:p w14:paraId="3C4A5783" w14:textId="77777777" w:rsidR="00C75160" w:rsidRPr="008C761D" w:rsidRDefault="00C75160" w:rsidP="00330707">
      <w:pPr>
        <w:spacing w:line="240" w:lineRule="auto"/>
        <w:jc w:val="both"/>
        <w:rPr>
          <w:lang w:val="en-US"/>
        </w:rPr>
      </w:pPr>
      <w:r w:rsidRPr="008C761D">
        <w:rPr>
          <w:lang w:val="en-US"/>
        </w:rPr>
        <w:t>In August 2022, the Parliament of the Republic of Northern Macedonia adopted amendments to the Law on Financing the Units of Local Self -Government. The amendments to the law are aimed at providing additional democratization of society, more efficient and more economical security and delivery of services, but also strong local development.</w:t>
      </w:r>
    </w:p>
    <w:p w14:paraId="0B0C1CBA" w14:textId="77777777" w:rsidR="00C75160" w:rsidRPr="008C761D" w:rsidRDefault="00C75160" w:rsidP="00330707">
      <w:pPr>
        <w:spacing w:line="240" w:lineRule="auto"/>
        <w:jc w:val="both"/>
        <w:rPr>
          <w:lang w:val="en-US"/>
        </w:rPr>
      </w:pPr>
      <w:r w:rsidRPr="008C761D">
        <w:rPr>
          <w:lang w:val="en-US"/>
        </w:rPr>
        <w:t xml:space="preserve">The Law on Amending the Law on Financing the Units of Local Self -Government has made changes to improve fiscal capacity and increase municipal revenue, by gradually increasing the rate of tax revenue. </w:t>
      </w:r>
    </w:p>
    <w:p w14:paraId="000E1E10" w14:textId="77777777" w:rsidR="00C75160" w:rsidRPr="008C761D" w:rsidRDefault="00C75160" w:rsidP="00330707">
      <w:pPr>
        <w:spacing w:line="240" w:lineRule="auto"/>
        <w:jc w:val="both"/>
        <w:rPr>
          <w:lang w:val="en-US"/>
        </w:rPr>
      </w:pPr>
      <w:r w:rsidRPr="008C761D">
        <w:rPr>
          <w:lang w:val="en-US"/>
        </w:rPr>
        <w:t xml:space="preserve">Personal income revenue gradually increases from 3% to 6% by 2024, so from the day of the law entry by the end of 2022 municipalities are transferred to 4% of collected personal income </w:t>
      </w:r>
      <w:proofErr w:type="gramStart"/>
      <w:r w:rsidRPr="008C761D">
        <w:rPr>
          <w:lang w:val="en-US"/>
        </w:rPr>
        <w:t>revenue .</w:t>
      </w:r>
      <w:proofErr w:type="gramEnd"/>
      <w:r w:rsidRPr="008C761D">
        <w:rPr>
          <w:lang w:val="en-US"/>
        </w:rPr>
        <w:t xml:space="preserve"> The rate of 2023 will be 5%, while in 2024 municipalities will receive 6% of the personal income tax collected income. According to the latest amendments to the Law, municipalities will receive over 70% additional revenue from realized personal income revenue in 2021 and about 100% additional revenue in 2024.</w:t>
      </w:r>
    </w:p>
    <w:p w14:paraId="03BF8B81" w14:textId="34A4F16A" w:rsidR="00C75160" w:rsidRPr="008C761D" w:rsidRDefault="00C75160" w:rsidP="00330707">
      <w:pPr>
        <w:spacing w:line="240" w:lineRule="auto"/>
        <w:jc w:val="both"/>
        <w:rPr>
          <w:rFonts w:cs="Calibri"/>
          <w:b/>
          <w:bCs/>
          <w:i/>
          <w:iCs/>
          <w:color w:val="4F81BD"/>
          <w:lang w:val="en-US"/>
        </w:rPr>
      </w:pPr>
      <w:r w:rsidRPr="008C761D">
        <w:rPr>
          <w:lang w:val="en-US"/>
        </w:rPr>
        <w:t>Value added tax revenues will be provided in the amount of 6% of the value added tax achieved in the previous fiscal year starting in 2024. They will be distributed in three parts: basic part - 4.5% of the value added tax earned in the previous fiscal year, performance part - 0.75% of the value added tax achieved in the</w:t>
      </w:r>
      <w:r w:rsidR="00FD1416">
        <w:rPr>
          <w:lang w:val="en-US"/>
        </w:rPr>
        <w:t xml:space="preserve"> previous fiscal year and part f</w:t>
      </w:r>
      <w:r w:rsidRPr="008C761D">
        <w:rPr>
          <w:lang w:val="en-US"/>
        </w:rPr>
        <w:t>or in general - 0.75% of the value added tax collected in the previous fiscal year. The increase was managed so that in 2022, the rate was 5% and in 2023 5.5%. During 2022, municipalities were distributed 5% of the value added tax, allocated in three parts: basic part - 4.5%, performance part - 0.25% and part for in general - 0.25 %. The performance section rewards municipalities that have better realization of their own income compared to their own revenue and higher collection of their own income in the current year compared to the average of its own revenues in the previous three years. The equalization section is intended to overcome the differences in accordance with the fiscal capacity of the municipalities due to the limited capacity of resources, ie municipalities that have lower income from personal income per capita receive additional funds. In 2023 municipalities will be provided with funds of 5.5% of the value added tax collected in the previous fiscal year, distributed in three parts: basic part - 4.5%, performance section - 0, 5% and part for in general - 0.5%.</w:t>
      </w:r>
    </w:p>
    <w:p w14:paraId="05B04035" w14:textId="77777777" w:rsidR="004C665D" w:rsidRPr="008C761D" w:rsidRDefault="004C665D" w:rsidP="004C665D">
      <w:pPr>
        <w:spacing w:line="240" w:lineRule="auto"/>
        <w:jc w:val="both"/>
        <w:rPr>
          <w:rFonts w:cs="Calibri"/>
          <w:bCs/>
          <w:iCs/>
          <w:color w:val="000000"/>
          <w:lang w:val="en-US"/>
        </w:rPr>
      </w:pPr>
      <w:r w:rsidRPr="008C761D">
        <w:rPr>
          <w:rFonts w:cs="Calibri"/>
          <w:bCs/>
          <w:iCs/>
          <w:color w:val="000000"/>
          <w:lang w:val="en-US"/>
        </w:rPr>
        <w:t>Activities will be also undertaken towards increased municipal own revenues by improving the efficiency of the administration, as well as finding new local revenues according to the EU best practices</w:t>
      </w:r>
    </w:p>
    <w:p w14:paraId="559BE5C7" w14:textId="46B6E970" w:rsidR="004C665D" w:rsidRPr="008C761D" w:rsidRDefault="004C665D" w:rsidP="004C665D">
      <w:pPr>
        <w:spacing w:line="240" w:lineRule="auto"/>
        <w:jc w:val="both"/>
        <w:rPr>
          <w:rFonts w:eastAsia="Times New Roman" w:cs="Calibri"/>
          <w:lang w:val="en-US"/>
        </w:rPr>
      </w:pPr>
      <w:r w:rsidRPr="008C761D">
        <w:rPr>
          <w:rFonts w:eastAsia="Times New Roman" w:cs="Calibri"/>
          <w:lang w:val="en-US"/>
        </w:rPr>
        <w:t>In the next period, in cooperation with the competent ministries that finance the transferred competencies in the field of education, child care, culture, elderly homes and firefighting, the existing methodologies for earmarked and block grants will be revised. Efforts will be made to introduce criteria that would determine, in a realistic way the necessary amount of funds that would cover all costs for the transferred competencies, as well as improve the quality of services.</w:t>
      </w:r>
    </w:p>
    <w:p w14:paraId="58CAE9CB" w14:textId="77777777" w:rsidR="004C665D" w:rsidRPr="008C761D" w:rsidRDefault="004C665D" w:rsidP="004C665D">
      <w:pPr>
        <w:spacing w:line="240" w:lineRule="auto"/>
        <w:jc w:val="both"/>
        <w:rPr>
          <w:rFonts w:cs="Calibri"/>
          <w:color w:val="FF0000"/>
          <w:lang w:val="en-US"/>
        </w:rPr>
      </w:pPr>
      <w:r w:rsidRPr="008C761D">
        <w:rPr>
          <w:rFonts w:eastAsia="Times New Roman" w:cs="Calibri"/>
          <w:bCs/>
          <w:lang w:val="en-US"/>
        </w:rPr>
        <w:lastRenderedPageBreak/>
        <w:t>Determining the criteria for distribution of capital grants from the Central Budget, which will distribute the funds by municipalities in a transparent manner.</w:t>
      </w:r>
    </w:p>
    <w:p w14:paraId="3A0561B3" w14:textId="77777777" w:rsidR="005C4562" w:rsidRPr="008C761D" w:rsidRDefault="005C4562" w:rsidP="00E84CD0">
      <w:pPr>
        <w:keepNext/>
        <w:keepLines/>
        <w:spacing w:before="160" w:after="60" w:line="240" w:lineRule="auto"/>
        <w:jc w:val="both"/>
        <w:outlineLvl w:val="3"/>
        <w:rPr>
          <w:rFonts w:eastAsia="MS PGothic" w:cs="Calibri"/>
          <w:b/>
          <w:bCs/>
          <w:i/>
          <w:iCs/>
          <w:color w:val="4F81BD"/>
          <w:lang w:val="en-US"/>
        </w:rPr>
      </w:pPr>
      <w:r w:rsidRPr="008C761D">
        <w:rPr>
          <w:rFonts w:eastAsia="MS PGothic" w:cs="Calibri"/>
          <w:b/>
          <w:bCs/>
          <w:i/>
          <w:iCs/>
          <w:color w:val="4F81BD"/>
          <w:lang w:val="en-US" w:eastAsia="zh-CN"/>
        </w:rPr>
        <w:t>Reference to findings from external assessments: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832"/>
      </w:tblGrid>
      <w:tr w:rsidR="005C4562" w:rsidRPr="008C761D" w14:paraId="7D29A741" w14:textId="77777777" w:rsidTr="00330707">
        <w:tc>
          <w:tcPr>
            <w:tcW w:w="1098" w:type="dxa"/>
            <w:shd w:val="clear" w:color="auto" w:fill="DDDDDD"/>
          </w:tcPr>
          <w:p w14:paraId="7B81D02A" w14:textId="77777777" w:rsidR="005C4562" w:rsidRPr="00742767" w:rsidRDefault="0069157C" w:rsidP="00E84CD0">
            <w:pPr>
              <w:spacing w:line="240" w:lineRule="auto"/>
              <w:jc w:val="both"/>
              <w:rPr>
                <w:rFonts w:cs="Calibri"/>
                <w:b/>
                <w:sz w:val="20"/>
                <w:szCs w:val="20"/>
                <w:lang w:val="en-US"/>
              </w:rPr>
            </w:pPr>
            <w:r w:rsidRPr="00742767">
              <w:rPr>
                <w:rFonts w:cs="Calibri"/>
                <w:b/>
                <w:sz w:val="20"/>
                <w:szCs w:val="20"/>
                <w:lang w:val="en-US"/>
              </w:rPr>
              <w:t>SIGMA</w:t>
            </w:r>
          </w:p>
        </w:tc>
        <w:tc>
          <w:tcPr>
            <w:tcW w:w="7832" w:type="dxa"/>
            <w:shd w:val="clear" w:color="auto" w:fill="DDDDDD"/>
          </w:tcPr>
          <w:p w14:paraId="4AC831C1" w14:textId="70C69C1E" w:rsidR="005C4562" w:rsidRPr="008C761D" w:rsidRDefault="006A55CA" w:rsidP="004C665D">
            <w:pPr>
              <w:pStyle w:val="Para"/>
              <w:rPr>
                <w:szCs w:val="20"/>
                <w:lang w:val="en-US" w:eastAsia="en-US"/>
              </w:rPr>
            </w:pPr>
            <w:r w:rsidRPr="008C761D">
              <w:rPr>
                <w:rFonts w:ascii="Calibri" w:eastAsia="Calibri" w:hAnsi="Calibri" w:cs="Calibri"/>
                <w:b/>
                <w:color w:val="auto"/>
                <w:szCs w:val="20"/>
                <w:lang w:val="en-US" w:eastAsia="en-US"/>
              </w:rPr>
              <w:t>Recommendations for North Macedonia</w:t>
            </w:r>
            <w:r w:rsidRPr="008C761D">
              <w:rPr>
                <w:rFonts w:ascii="Calibri" w:eastAsia="Calibri" w:hAnsi="Calibri" w:cs="Calibri"/>
                <w:color w:val="auto"/>
                <w:szCs w:val="20"/>
                <w:lang w:val="en-US" w:eastAsia="en-US"/>
              </w:rPr>
              <w:t xml:space="preserve"> include increasing revenues from property tax by reforming the tax itself and through improvement of tax collection, increasing the role of local governments in personal income tax, assigning other supplementary fees and taxes to local governments, which would bring relatively small yields on a scale of the whole country, but might be important for some individual municipalities. </w:t>
            </w:r>
          </w:p>
        </w:tc>
      </w:tr>
    </w:tbl>
    <w:p w14:paraId="718D2AE5" w14:textId="2A33EE9D" w:rsidR="0069157C" w:rsidRPr="008C761D" w:rsidRDefault="0069157C" w:rsidP="00E84CD0">
      <w:pPr>
        <w:spacing w:line="240" w:lineRule="auto"/>
        <w:jc w:val="both"/>
        <w:rPr>
          <w:rFonts w:eastAsia="MS PGothic" w:cs="Calibri"/>
          <w:b/>
          <w:bCs/>
          <w:i/>
          <w:iCs/>
          <w:color w:val="4F81BD"/>
          <w:lang w:val="en-US" w:eastAsia="zh-CN"/>
        </w:rPr>
      </w:pPr>
      <w:bookmarkStart w:id="70" w:name="_Hlk90887282"/>
    </w:p>
    <w:p w14:paraId="4FB3812F"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bookmarkEnd w:id="70"/>
    <w:p w14:paraId="346FDACA" w14:textId="77777777" w:rsidR="004C665D" w:rsidRPr="008C761D" w:rsidRDefault="004C665D" w:rsidP="004C665D">
      <w:pPr>
        <w:spacing w:line="240" w:lineRule="auto"/>
        <w:jc w:val="both"/>
        <w:rPr>
          <w:rFonts w:cs="Calibri"/>
          <w:lang w:val="en-US"/>
        </w:rPr>
      </w:pPr>
      <w:r w:rsidRPr="008C761D">
        <w:rPr>
          <w:rFonts w:cs="Calibri"/>
          <w:lang w:val="en-US"/>
        </w:rPr>
        <w:t xml:space="preserve">Some of the municipalities face issue related to the lack of financial resources to perform their competencies, while they mostly rely on transfers from the central government. This situation in the municipalities leads to insufficient and uneven regional development, inefficient provision and delivery of services to citizens and insufficient democratization of society as a whole. At the same time, due to the insufficient staff capacity in some of the municipalities, there is a low level of collection of own revenues. </w:t>
      </w:r>
    </w:p>
    <w:p w14:paraId="46A4E34D" w14:textId="097D66EB" w:rsidR="005C4562" w:rsidRPr="00742767" w:rsidRDefault="005C4562" w:rsidP="00E84CD0">
      <w:pPr>
        <w:keepNext/>
        <w:keepLines/>
        <w:spacing w:before="240" w:after="60" w:line="240" w:lineRule="auto"/>
        <w:jc w:val="both"/>
        <w:outlineLvl w:val="3"/>
        <w:rPr>
          <w:rFonts w:eastAsia="MS PGothic" w:cs="Calibri"/>
          <w:b/>
          <w:bCs/>
          <w:iCs/>
          <w:color w:val="0070C0"/>
          <w:lang w:val="en-US" w:eastAsia="zh-CN"/>
        </w:rPr>
      </w:pPr>
      <w:bookmarkStart w:id="71" w:name="_Hlk95467744"/>
      <w:bookmarkStart w:id="72" w:name="_Hlk87441444"/>
      <w:r w:rsidRPr="00742767">
        <w:rPr>
          <w:rFonts w:eastAsia="MS PGothic" w:cs="Calibri"/>
          <w:b/>
          <w:bCs/>
          <w:iCs/>
          <w:color w:val="0070C0"/>
          <w:lang w:val="en-US" w:eastAsia="zh-CN"/>
        </w:rPr>
        <w:t>Activity 1</w:t>
      </w:r>
      <w:bookmarkEnd w:id="71"/>
      <w:r w:rsidRPr="00742767">
        <w:rPr>
          <w:rFonts w:eastAsia="MS PGothic" w:cs="Calibri"/>
          <w:b/>
          <w:bCs/>
          <w:iCs/>
          <w:color w:val="0070C0"/>
          <w:lang w:val="en-US" w:eastAsia="zh-CN"/>
        </w:rPr>
        <w:t xml:space="preserve">: </w:t>
      </w:r>
      <w:r w:rsidR="004C665D" w:rsidRPr="00742767">
        <w:rPr>
          <w:rFonts w:eastAsia="MS PGothic" w:cs="Calibri"/>
          <w:b/>
          <w:bCs/>
          <w:iCs/>
          <w:color w:val="0070C0"/>
          <w:lang w:val="en-US" w:eastAsia="zh-CN"/>
        </w:rPr>
        <w:t>Addoption of a n</w:t>
      </w:r>
      <w:r w:rsidRPr="00742767">
        <w:rPr>
          <w:rFonts w:eastAsia="MS PGothic" w:cs="Calibri"/>
          <w:b/>
          <w:bCs/>
          <w:iCs/>
          <w:color w:val="0070C0"/>
          <w:lang w:val="en-US" w:eastAsia="zh-CN"/>
        </w:rPr>
        <w:t>ew Law on Financing Local Government Units</w:t>
      </w:r>
    </w:p>
    <w:p w14:paraId="3EB0D87D" w14:textId="77777777" w:rsidR="004C665D" w:rsidRPr="008C761D" w:rsidRDefault="004C665D" w:rsidP="004C665D">
      <w:pPr>
        <w:spacing w:line="240" w:lineRule="auto"/>
        <w:jc w:val="both"/>
        <w:rPr>
          <w:rFonts w:cs="Calibri"/>
          <w:lang w:val="en-US"/>
        </w:rPr>
      </w:pPr>
      <w:r w:rsidRPr="008C761D">
        <w:rPr>
          <w:rFonts w:cs="Calibri"/>
          <w:lang w:val="en-US"/>
        </w:rPr>
        <w:t xml:space="preserve">Law on Financing Local Government Units regulates the financial operations of municipalities, i.e. it includes: sources of financing, determination and collection of revenues, procedure and conditions related to borrowing, budget process - budget planning and execution, annual account of the municipal budget, accounting, control and auditing, actions in case of financial instability, implementation of fiscal decentralization and supervision. </w:t>
      </w:r>
    </w:p>
    <w:p w14:paraId="216E133F" w14:textId="77777777" w:rsidR="004C665D" w:rsidRPr="008C761D" w:rsidRDefault="004C665D" w:rsidP="004C665D">
      <w:pPr>
        <w:spacing w:line="240" w:lineRule="auto"/>
        <w:jc w:val="both"/>
        <w:rPr>
          <w:rFonts w:cs="Calibri"/>
          <w:lang w:val="en-US"/>
        </w:rPr>
      </w:pPr>
      <w:proofErr w:type="gramStart"/>
      <w:r w:rsidRPr="008C761D">
        <w:rPr>
          <w:rFonts w:cs="Calibri"/>
          <w:lang w:val="en-US"/>
        </w:rPr>
        <w:t>Taking into account</w:t>
      </w:r>
      <w:proofErr w:type="gramEnd"/>
      <w:r w:rsidRPr="008C761D">
        <w:rPr>
          <w:rFonts w:cs="Calibri"/>
          <w:lang w:val="en-US"/>
        </w:rPr>
        <w:t xml:space="preserve"> that the new Budget Law was adopted in 2022, with most of the provisions coming into force from 2025, there is a need to harmonize the Law on financing of local self-government units with the provisions of the new Organic Budget Law. Therefore, there is a need for: </w:t>
      </w:r>
    </w:p>
    <w:p w14:paraId="16E51794" w14:textId="77777777" w:rsidR="004C665D" w:rsidRPr="008C761D" w:rsidRDefault="004C665D" w:rsidP="003A338C">
      <w:pPr>
        <w:numPr>
          <w:ilvl w:val="0"/>
          <w:numId w:val="11"/>
        </w:numPr>
        <w:spacing w:after="0" w:line="240" w:lineRule="auto"/>
        <w:jc w:val="both"/>
        <w:rPr>
          <w:rFonts w:cs="Calibri"/>
          <w:lang w:val="en-US"/>
        </w:rPr>
      </w:pPr>
      <w:r w:rsidRPr="008C761D">
        <w:rPr>
          <w:rFonts w:cs="Calibri"/>
          <w:lang w:val="en-US"/>
        </w:rPr>
        <w:t>Identifying the provisions of the Law on Financing Local Government Units, which should be harmonized with the provisions in the draft Organic Budget Law;</w:t>
      </w:r>
    </w:p>
    <w:p w14:paraId="6DC64B60" w14:textId="77777777" w:rsidR="004C665D" w:rsidRPr="008C761D" w:rsidRDefault="004C665D" w:rsidP="003A338C">
      <w:pPr>
        <w:numPr>
          <w:ilvl w:val="0"/>
          <w:numId w:val="11"/>
        </w:numPr>
        <w:spacing w:after="0" w:line="240" w:lineRule="auto"/>
        <w:jc w:val="both"/>
        <w:rPr>
          <w:rFonts w:cs="Calibri"/>
          <w:lang w:val="en-US"/>
        </w:rPr>
      </w:pPr>
      <w:r w:rsidRPr="008C761D">
        <w:rPr>
          <w:rFonts w:cs="Calibri"/>
          <w:lang w:val="en-US"/>
        </w:rPr>
        <w:t>Consultations with the municipalities, the Association of Local Government Units, ministries, experts and the broader public about the amendments that would be proposed;</w:t>
      </w:r>
    </w:p>
    <w:p w14:paraId="2FCC8D7C" w14:textId="7739CCBE" w:rsidR="005C4562" w:rsidRDefault="004C665D" w:rsidP="00E84CD0">
      <w:pPr>
        <w:numPr>
          <w:ilvl w:val="0"/>
          <w:numId w:val="11"/>
        </w:numPr>
        <w:spacing w:after="0" w:line="240" w:lineRule="auto"/>
        <w:jc w:val="both"/>
        <w:rPr>
          <w:rFonts w:cs="Calibri"/>
          <w:lang w:val="en-US"/>
        </w:rPr>
      </w:pPr>
      <w:r w:rsidRPr="008C761D">
        <w:rPr>
          <w:rFonts w:cs="Calibri"/>
          <w:lang w:val="en-US"/>
        </w:rPr>
        <w:t>Preparation of a new law and submission to the assembly for adoption</w:t>
      </w:r>
      <w:bookmarkEnd w:id="72"/>
    </w:p>
    <w:p w14:paraId="7F707CDF" w14:textId="77777777" w:rsidR="003E0DC8" w:rsidRPr="008C761D" w:rsidRDefault="003E0DC8" w:rsidP="003E0DC8">
      <w:pPr>
        <w:spacing w:after="0" w:line="240" w:lineRule="auto"/>
        <w:ind w:left="720"/>
        <w:jc w:val="both"/>
        <w:rPr>
          <w:rFonts w:cs="Calibri"/>
          <w:lang w:val="en-US"/>
        </w:rPr>
      </w:pPr>
    </w:p>
    <w:p w14:paraId="555CA723" w14:textId="77777777" w:rsidR="004C665D" w:rsidRPr="00742767" w:rsidRDefault="004C665D" w:rsidP="004C665D">
      <w:pPr>
        <w:spacing w:line="240" w:lineRule="auto"/>
        <w:jc w:val="both"/>
        <w:rPr>
          <w:rFonts w:cs="Calibri"/>
          <w:color w:val="0070C0"/>
          <w:lang w:val="en-US"/>
        </w:rPr>
      </w:pPr>
      <w:bookmarkStart w:id="73" w:name="_Hlk95468596"/>
      <w:r w:rsidRPr="00742767">
        <w:rPr>
          <w:rFonts w:eastAsia="MS PGothic" w:cs="Calibri"/>
          <w:b/>
          <w:bCs/>
          <w:iCs/>
          <w:color w:val="0070C0"/>
          <w:lang w:val="en-US" w:eastAsia="zh-CN"/>
        </w:rPr>
        <w:t>Activity 2: Preparation of by-laws of the new Law on financing of local self-government units</w:t>
      </w:r>
    </w:p>
    <w:p w14:paraId="5E84C26E" w14:textId="77777777" w:rsidR="004C665D" w:rsidRPr="008C761D" w:rsidRDefault="004C665D" w:rsidP="004C665D">
      <w:pPr>
        <w:spacing w:line="240" w:lineRule="auto"/>
        <w:jc w:val="both"/>
        <w:rPr>
          <w:rFonts w:cs="Calibri"/>
          <w:lang w:val="en-US"/>
        </w:rPr>
      </w:pPr>
      <w:r w:rsidRPr="008C761D">
        <w:rPr>
          <w:rFonts w:cs="Calibri"/>
          <w:lang w:val="en-US"/>
        </w:rPr>
        <w:t>After the adoption of the new law on financing the local self-government units, the by-laws necessary for the implementation of the law will be prepared</w:t>
      </w:r>
    </w:p>
    <w:p w14:paraId="2623D233" w14:textId="23821DE6" w:rsidR="004C665D" w:rsidRPr="00742767" w:rsidRDefault="004C665D" w:rsidP="004C665D">
      <w:pPr>
        <w:keepNext/>
        <w:keepLines/>
        <w:spacing w:before="240" w:after="60" w:line="240" w:lineRule="auto"/>
        <w:jc w:val="both"/>
        <w:outlineLvl w:val="3"/>
        <w:rPr>
          <w:rFonts w:eastAsia="MS PGothic" w:cs="Calibri"/>
          <w:b/>
          <w:bCs/>
          <w:iCs/>
          <w:color w:val="0070C0"/>
          <w:lang w:val="en-US" w:eastAsia="zh-CN"/>
        </w:rPr>
      </w:pPr>
      <w:bookmarkStart w:id="74" w:name="_Hlk154489333"/>
      <w:r w:rsidRPr="00742767">
        <w:rPr>
          <w:rFonts w:eastAsia="MS PGothic" w:cs="Calibri"/>
          <w:b/>
          <w:bCs/>
          <w:iCs/>
          <w:color w:val="0070C0"/>
          <w:lang w:val="en-US" w:eastAsia="zh-CN"/>
        </w:rPr>
        <w:t xml:space="preserve">Activity </w:t>
      </w:r>
      <w:r w:rsidR="00FD1416" w:rsidRPr="00742767">
        <w:rPr>
          <w:rFonts w:eastAsia="MS PGothic" w:cs="Calibri"/>
          <w:b/>
          <w:bCs/>
          <w:iCs/>
          <w:color w:val="0070C0"/>
          <w:lang w:val="en-US" w:eastAsia="zh-CN"/>
        </w:rPr>
        <w:t>3: Improving</w:t>
      </w:r>
      <w:r w:rsidRPr="00742767">
        <w:rPr>
          <w:rFonts w:eastAsia="MS PGothic" w:cs="Calibri"/>
          <w:b/>
          <w:bCs/>
          <w:iCs/>
          <w:color w:val="0070C0"/>
          <w:lang w:val="en-US" w:eastAsia="zh-CN"/>
        </w:rPr>
        <w:t xml:space="preserve"> the legal regulation for local revenues</w:t>
      </w:r>
    </w:p>
    <w:bookmarkEnd w:id="74"/>
    <w:p w14:paraId="45A39C8D" w14:textId="77777777" w:rsidR="00DC61E5" w:rsidRPr="008C761D" w:rsidRDefault="00DC61E5" w:rsidP="00DC61E5">
      <w:pPr>
        <w:spacing w:line="240" w:lineRule="auto"/>
        <w:jc w:val="both"/>
        <w:rPr>
          <w:rFonts w:cs="Calibri"/>
          <w:lang w:val="en-US"/>
        </w:rPr>
      </w:pPr>
      <w:r>
        <w:rPr>
          <w:rFonts w:cs="Calibri"/>
          <w:lang w:val="en-US"/>
        </w:rPr>
        <w:t>According to</w:t>
      </w:r>
      <w:r w:rsidRPr="008C761D">
        <w:rPr>
          <w:rFonts w:cs="Calibri"/>
          <w:lang w:val="en-US"/>
        </w:rPr>
        <w:t xml:space="preserve"> the Law on Financing Local Government Units, </w:t>
      </w:r>
      <w:r>
        <w:rPr>
          <w:rFonts w:cs="Calibri"/>
          <w:lang w:val="en-US"/>
        </w:rPr>
        <w:t xml:space="preserve">main sources of financing of </w:t>
      </w:r>
      <w:r w:rsidRPr="008C761D">
        <w:rPr>
          <w:rFonts w:cs="Calibri"/>
          <w:lang w:val="en-US"/>
        </w:rPr>
        <w:t xml:space="preserve">the </w:t>
      </w:r>
      <w:proofErr w:type="gramStart"/>
      <w:r w:rsidRPr="008C761D">
        <w:rPr>
          <w:rFonts w:cs="Calibri"/>
          <w:lang w:val="en-US"/>
        </w:rPr>
        <w:t>municipalit</w:t>
      </w:r>
      <w:r>
        <w:rPr>
          <w:rFonts w:cs="Calibri"/>
          <w:lang w:val="en-US"/>
        </w:rPr>
        <w:t xml:space="preserve">ies </w:t>
      </w:r>
      <w:r w:rsidRPr="008C761D">
        <w:rPr>
          <w:rFonts w:cs="Calibri"/>
          <w:lang w:val="en-US"/>
        </w:rPr>
        <w:t xml:space="preserve"> </w:t>
      </w:r>
      <w:r>
        <w:rPr>
          <w:rFonts w:cs="Calibri"/>
          <w:lang w:val="en-US"/>
        </w:rPr>
        <w:t>are</w:t>
      </w:r>
      <w:proofErr w:type="gramEnd"/>
      <w:r>
        <w:rPr>
          <w:rFonts w:cs="Calibri"/>
          <w:lang w:val="en-US"/>
        </w:rPr>
        <w:t xml:space="preserve"> municipal</w:t>
      </w:r>
      <w:r w:rsidRPr="008C761D">
        <w:rPr>
          <w:rFonts w:cs="Calibri"/>
          <w:lang w:val="en-US"/>
        </w:rPr>
        <w:t xml:space="preserve"> own sources of revenues, </w:t>
      </w:r>
      <w:r>
        <w:rPr>
          <w:rFonts w:cs="Calibri"/>
          <w:lang w:val="en-US"/>
        </w:rPr>
        <w:t>and</w:t>
      </w:r>
      <w:r w:rsidRPr="008C761D">
        <w:rPr>
          <w:rFonts w:cs="Calibri"/>
          <w:lang w:val="en-US"/>
        </w:rPr>
        <w:t xml:space="preserve"> </w:t>
      </w:r>
      <w:r>
        <w:rPr>
          <w:rFonts w:cs="Calibri"/>
          <w:lang w:val="en-US"/>
        </w:rPr>
        <w:t xml:space="preserve">transfers </w:t>
      </w:r>
      <w:r w:rsidRPr="008C761D">
        <w:rPr>
          <w:rFonts w:cs="Calibri"/>
          <w:lang w:val="en-US"/>
        </w:rPr>
        <w:t xml:space="preserve"> from the Central budget.</w:t>
      </w:r>
    </w:p>
    <w:p w14:paraId="30B99B9A" w14:textId="77777777" w:rsidR="00DC61E5" w:rsidRDefault="00DC61E5" w:rsidP="00DC61E5">
      <w:pPr>
        <w:spacing w:line="240" w:lineRule="auto"/>
        <w:jc w:val="both"/>
        <w:rPr>
          <w:rFonts w:cs="Calibri"/>
          <w:lang w:val="en-US"/>
        </w:rPr>
      </w:pPr>
      <w:r>
        <w:rPr>
          <w:rFonts w:cs="Calibri"/>
          <w:lang w:val="en-US"/>
        </w:rPr>
        <w:t>Based on</w:t>
      </w:r>
      <w:r w:rsidRPr="008C761D">
        <w:rPr>
          <w:rFonts w:cs="Calibri"/>
          <w:lang w:val="en-US"/>
        </w:rPr>
        <w:t xml:space="preserve"> the </w:t>
      </w:r>
      <w:proofErr w:type="gramStart"/>
      <w:r w:rsidRPr="008C761D">
        <w:rPr>
          <w:rFonts w:cs="Calibri"/>
          <w:lang w:val="en-US"/>
        </w:rPr>
        <w:t>carried out</w:t>
      </w:r>
      <w:proofErr w:type="gramEnd"/>
      <w:r w:rsidRPr="008C761D">
        <w:rPr>
          <w:rFonts w:cs="Calibri"/>
          <w:lang w:val="en-US"/>
        </w:rPr>
        <w:t xml:space="preserve"> analysis and research on the municipal collected revenues, </w:t>
      </w:r>
      <w:r>
        <w:rPr>
          <w:rFonts w:cs="Calibri"/>
          <w:lang w:val="en-US"/>
        </w:rPr>
        <w:t xml:space="preserve">the participation of the </w:t>
      </w:r>
      <w:r w:rsidRPr="008C761D">
        <w:rPr>
          <w:rFonts w:cs="Calibri"/>
          <w:lang w:val="en-US"/>
        </w:rPr>
        <w:t>own revenues in the total revenues of the municipalities</w:t>
      </w:r>
      <w:r>
        <w:rPr>
          <w:rFonts w:cs="Calibri"/>
          <w:lang w:val="en-US"/>
        </w:rPr>
        <w:t xml:space="preserve"> is rather small</w:t>
      </w:r>
      <w:r w:rsidRPr="008C761D">
        <w:rPr>
          <w:rFonts w:cs="Calibri"/>
          <w:lang w:val="en-US"/>
        </w:rPr>
        <w:t xml:space="preserve">. It is still considered that the municipalities </w:t>
      </w:r>
      <w:r>
        <w:rPr>
          <w:rFonts w:cs="Calibri"/>
          <w:lang w:val="en-US"/>
        </w:rPr>
        <w:t>do</w:t>
      </w:r>
      <w:r w:rsidRPr="008C761D">
        <w:rPr>
          <w:rFonts w:cs="Calibri"/>
          <w:lang w:val="en-US"/>
        </w:rPr>
        <w:t xml:space="preserve"> not sufficiently us</w:t>
      </w:r>
      <w:r>
        <w:rPr>
          <w:rFonts w:cs="Calibri"/>
          <w:lang w:val="en-US"/>
        </w:rPr>
        <w:t>tilize</w:t>
      </w:r>
      <w:r w:rsidRPr="008C761D">
        <w:rPr>
          <w:rFonts w:cs="Calibri"/>
          <w:lang w:val="en-US"/>
        </w:rPr>
        <w:t xml:space="preserve"> the opportunities provided by law, </w:t>
      </w:r>
      <w:r>
        <w:rPr>
          <w:rFonts w:cs="Calibri"/>
          <w:lang w:val="en-US"/>
        </w:rPr>
        <w:t xml:space="preserve">thereby </w:t>
      </w:r>
      <w:r w:rsidRPr="008C761D">
        <w:rPr>
          <w:rFonts w:cs="Calibri"/>
          <w:lang w:val="en-US"/>
        </w:rPr>
        <w:t xml:space="preserve">not reaching the maximum </w:t>
      </w:r>
      <w:r>
        <w:rPr>
          <w:rFonts w:cs="Calibri"/>
          <w:lang w:val="en-US"/>
        </w:rPr>
        <w:t xml:space="preserve">potential </w:t>
      </w:r>
      <w:r w:rsidRPr="008C761D">
        <w:rPr>
          <w:rFonts w:cs="Calibri"/>
          <w:lang w:val="en-US"/>
        </w:rPr>
        <w:t>as regards the</w:t>
      </w:r>
      <w:r>
        <w:rPr>
          <w:rFonts w:cs="Calibri"/>
          <w:lang w:val="en-US"/>
        </w:rPr>
        <w:t>ir</w:t>
      </w:r>
      <w:r w:rsidRPr="008C761D">
        <w:rPr>
          <w:rFonts w:cs="Calibri"/>
          <w:lang w:val="en-US"/>
        </w:rPr>
        <w:t xml:space="preserve"> revenue collection. Own revenues participate with around 20% of the total revenues being collected</w:t>
      </w:r>
      <w:r>
        <w:rPr>
          <w:rFonts w:cs="Calibri"/>
          <w:lang w:val="en-US"/>
        </w:rPr>
        <w:t xml:space="preserve"> at local level</w:t>
      </w:r>
      <w:r w:rsidRPr="008C761D">
        <w:rPr>
          <w:rFonts w:cs="Calibri"/>
          <w:lang w:val="en-US"/>
        </w:rPr>
        <w:t xml:space="preserve">. In order to ensure a higher realization of </w:t>
      </w:r>
      <w:r>
        <w:rPr>
          <w:rFonts w:cs="Calibri"/>
          <w:lang w:val="en-US"/>
        </w:rPr>
        <w:t xml:space="preserve">municipal </w:t>
      </w:r>
      <w:r w:rsidRPr="008C761D">
        <w:rPr>
          <w:rFonts w:cs="Calibri"/>
          <w:lang w:val="en-US"/>
        </w:rPr>
        <w:t xml:space="preserve">own revenues, certain changes in the legal </w:t>
      </w:r>
      <w:r>
        <w:rPr>
          <w:rFonts w:cs="Calibri"/>
          <w:lang w:val="en-US"/>
        </w:rPr>
        <w:t xml:space="preserve">acts </w:t>
      </w:r>
      <w:r w:rsidRPr="008C761D">
        <w:rPr>
          <w:rFonts w:cs="Calibri"/>
          <w:lang w:val="en-US"/>
        </w:rPr>
        <w:t>regulati</w:t>
      </w:r>
      <w:r>
        <w:rPr>
          <w:rFonts w:cs="Calibri"/>
          <w:lang w:val="en-US"/>
        </w:rPr>
        <w:t>ng</w:t>
      </w:r>
      <w:r w:rsidRPr="008C761D">
        <w:rPr>
          <w:rFonts w:cs="Calibri"/>
          <w:lang w:val="en-US"/>
        </w:rPr>
        <w:t xml:space="preserve"> the </w:t>
      </w:r>
      <w:r>
        <w:rPr>
          <w:rFonts w:cs="Calibri"/>
          <w:lang w:val="en-US"/>
        </w:rPr>
        <w:t xml:space="preserve">municipal </w:t>
      </w:r>
      <w:r w:rsidRPr="008C761D">
        <w:rPr>
          <w:rFonts w:cs="Calibri"/>
          <w:lang w:val="en-US"/>
        </w:rPr>
        <w:t>revenues</w:t>
      </w:r>
      <w:r>
        <w:rPr>
          <w:rFonts w:cs="Calibri"/>
          <w:lang w:val="en-US"/>
        </w:rPr>
        <w:t xml:space="preserve"> are to be </w:t>
      </w:r>
      <w:proofErr w:type="gramStart"/>
      <w:r>
        <w:rPr>
          <w:rFonts w:cs="Calibri"/>
          <w:lang w:val="en-US"/>
        </w:rPr>
        <w:t>considered.</w:t>
      </w:r>
      <w:r w:rsidRPr="008C761D">
        <w:rPr>
          <w:rFonts w:cs="Calibri"/>
          <w:lang w:val="en-US"/>
        </w:rPr>
        <w:t>.</w:t>
      </w:r>
      <w:proofErr w:type="gramEnd"/>
      <w:r w:rsidRPr="008C761D">
        <w:rPr>
          <w:rFonts w:cs="Calibri"/>
          <w:lang w:val="en-US"/>
        </w:rPr>
        <w:t xml:space="preserve"> </w:t>
      </w:r>
    </w:p>
    <w:p w14:paraId="5B9321BC" w14:textId="77777777" w:rsidR="00DC61E5" w:rsidRPr="008C761D" w:rsidRDefault="00DC61E5" w:rsidP="00DC61E5">
      <w:pPr>
        <w:spacing w:line="240" w:lineRule="auto"/>
        <w:jc w:val="both"/>
        <w:rPr>
          <w:rFonts w:cs="Calibri"/>
          <w:lang w:val="en-US"/>
        </w:rPr>
      </w:pPr>
      <w:r w:rsidRPr="008C761D">
        <w:rPr>
          <w:rFonts w:cs="Calibri"/>
          <w:lang w:val="en-US"/>
        </w:rPr>
        <w:lastRenderedPageBreak/>
        <w:t>This activity includes:</w:t>
      </w:r>
    </w:p>
    <w:p w14:paraId="36820B61" w14:textId="77777777" w:rsidR="00DC61E5" w:rsidRPr="008C761D" w:rsidRDefault="00DC61E5" w:rsidP="00DC61E5">
      <w:pPr>
        <w:numPr>
          <w:ilvl w:val="0"/>
          <w:numId w:val="35"/>
        </w:numPr>
        <w:spacing w:after="120" w:line="240" w:lineRule="auto"/>
        <w:ind w:left="425" w:hanging="357"/>
        <w:jc w:val="both"/>
        <w:rPr>
          <w:rFonts w:cs="Calibri"/>
          <w:lang w:val="en-US"/>
        </w:rPr>
      </w:pPr>
      <w:r w:rsidRPr="008C761D">
        <w:rPr>
          <w:rFonts w:cs="Calibri"/>
          <w:lang w:val="en-US"/>
        </w:rPr>
        <w:t>Revision of the existing Law on Property Taxes, especially as regards the ​​tax exemptions and the possibility for increasing the tax base,</w:t>
      </w:r>
      <w:r>
        <w:rPr>
          <w:rFonts w:cs="Calibri"/>
          <w:lang w:val="en-US"/>
        </w:rPr>
        <w:t xml:space="preserve"> as well as the different alternatives for reassessment of the property value for tax purposes</w:t>
      </w:r>
      <w:r w:rsidRPr="008C761D">
        <w:rPr>
          <w:rFonts w:cs="Calibri"/>
          <w:lang w:val="en-US"/>
        </w:rPr>
        <w:t>;</w:t>
      </w:r>
    </w:p>
    <w:p w14:paraId="35FB5929" w14:textId="0645F266" w:rsidR="00DC61E5" w:rsidRDefault="00DC61E5" w:rsidP="00DC61E5">
      <w:pPr>
        <w:numPr>
          <w:ilvl w:val="0"/>
          <w:numId w:val="35"/>
        </w:numPr>
        <w:ind w:left="450"/>
        <w:rPr>
          <w:rFonts w:cs="Calibri"/>
          <w:lang w:val="en-US"/>
        </w:rPr>
      </w:pPr>
      <w:r w:rsidRPr="008C761D">
        <w:rPr>
          <w:rFonts w:cs="Calibri"/>
          <w:lang w:val="en-US"/>
        </w:rPr>
        <w:t>Revi</w:t>
      </w:r>
      <w:r>
        <w:rPr>
          <w:rFonts w:cs="Calibri"/>
          <w:lang w:val="en-US"/>
        </w:rPr>
        <w:t xml:space="preserve">sion of the exiting </w:t>
      </w:r>
      <w:r w:rsidRPr="008C761D">
        <w:rPr>
          <w:rFonts w:cs="Calibri"/>
          <w:lang w:val="en-US"/>
        </w:rPr>
        <w:t xml:space="preserve">Law of communal fees </w:t>
      </w:r>
      <w:r>
        <w:rPr>
          <w:rFonts w:cs="Calibri"/>
          <w:lang w:val="en-US"/>
        </w:rPr>
        <w:t>with an aim to align the subject of taxation to new market trends and best available practices;</w:t>
      </w:r>
    </w:p>
    <w:p w14:paraId="0D430183" w14:textId="6742A029" w:rsidR="005C4562" w:rsidRPr="008C761D" w:rsidRDefault="00DC61E5" w:rsidP="008208F0">
      <w:pPr>
        <w:spacing w:after="120" w:line="240" w:lineRule="auto"/>
        <w:jc w:val="both"/>
        <w:rPr>
          <w:rFonts w:cs="Calibri"/>
          <w:lang w:val="en-US"/>
        </w:rPr>
      </w:pPr>
      <w:r>
        <w:rPr>
          <w:rFonts w:cs="Calibri"/>
          <w:lang w:val="en-US"/>
        </w:rPr>
        <w:t xml:space="preserve">  - </w:t>
      </w:r>
      <w:r w:rsidRPr="008C761D">
        <w:rPr>
          <w:rFonts w:cs="Calibri"/>
          <w:lang w:val="en-US"/>
        </w:rPr>
        <w:t>Analysis of other laws, regulating the own revenues of the municipalities and proposals for improving the legislation</w:t>
      </w:r>
      <w:r>
        <w:rPr>
          <w:rFonts w:cs="Calibri"/>
          <w:lang w:val="en-US"/>
        </w:rPr>
        <w:t>.</w:t>
      </w:r>
      <w:r w:rsidRPr="008C761D">
        <w:rPr>
          <w:rFonts w:cs="Calibri"/>
          <w:lang w:val="en-US"/>
        </w:rPr>
        <w:tab/>
      </w:r>
      <w:bookmarkEnd w:id="73"/>
      <w:r w:rsidR="005C4562" w:rsidRPr="008C761D">
        <w:rPr>
          <w:rFonts w:cs="Calibri"/>
          <w:lang w:val="en-US"/>
        </w:rPr>
        <w:tab/>
      </w:r>
    </w:p>
    <w:p w14:paraId="5E9DAE8B" w14:textId="002FB662" w:rsidR="005C4562" w:rsidRPr="00742767" w:rsidRDefault="005C4562" w:rsidP="00E84CD0">
      <w:pPr>
        <w:keepNext/>
        <w:keepLines/>
        <w:spacing w:before="240" w:after="60" w:line="240" w:lineRule="auto"/>
        <w:jc w:val="both"/>
        <w:outlineLvl w:val="3"/>
        <w:rPr>
          <w:rFonts w:eastAsia="MS PGothic" w:cs="Calibri"/>
          <w:b/>
          <w:bCs/>
          <w:iCs/>
          <w:color w:val="0070C0"/>
          <w:lang w:val="en-US" w:eastAsia="zh-CN"/>
        </w:rPr>
      </w:pPr>
      <w:bookmarkStart w:id="75" w:name="_Hlk87517205"/>
      <w:r w:rsidRPr="00742767">
        <w:rPr>
          <w:rFonts w:eastAsia="MS PGothic" w:cs="Calibri"/>
          <w:b/>
          <w:bCs/>
          <w:iCs/>
          <w:color w:val="0070C0"/>
          <w:lang w:val="en-US" w:eastAsia="zh-CN"/>
        </w:rPr>
        <w:t xml:space="preserve">Activity </w:t>
      </w:r>
      <w:r w:rsidR="004C665D" w:rsidRPr="00742767">
        <w:rPr>
          <w:rFonts w:eastAsia="MS PGothic" w:cs="Calibri"/>
          <w:b/>
          <w:bCs/>
          <w:iCs/>
          <w:color w:val="0070C0"/>
          <w:lang w:val="en-US" w:eastAsia="zh-CN"/>
        </w:rPr>
        <w:t>4</w:t>
      </w:r>
      <w:r w:rsidRPr="00742767">
        <w:rPr>
          <w:rFonts w:eastAsia="MS PGothic" w:cs="Calibri"/>
          <w:b/>
          <w:bCs/>
          <w:iCs/>
          <w:color w:val="0070C0"/>
          <w:lang w:val="en-US" w:eastAsia="zh-CN"/>
        </w:rPr>
        <w:t>:</w:t>
      </w:r>
      <w:bookmarkEnd w:id="75"/>
      <w:r w:rsidR="00742767">
        <w:rPr>
          <w:rFonts w:eastAsia="MS PGothic" w:cs="Calibri"/>
          <w:b/>
          <w:bCs/>
          <w:iCs/>
          <w:color w:val="0070C0"/>
          <w:lang w:eastAsia="zh-CN"/>
        </w:rPr>
        <w:t xml:space="preserve"> </w:t>
      </w:r>
      <w:r w:rsidRPr="00742767">
        <w:rPr>
          <w:rFonts w:eastAsia="MS PGothic" w:cs="Calibri"/>
          <w:b/>
          <w:bCs/>
          <w:iCs/>
          <w:color w:val="0070C0"/>
          <w:lang w:val="en-US" w:eastAsia="zh-CN"/>
        </w:rPr>
        <w:t xml:space="preserve">Revision of the criteria for distribution of block and earmarked grants and determination of criteria for distribution of capital grants </w:t>
      </w:r>
    </w:p>
    <w:tbl>
      <w:tblPr>
        <w:tblW w:w="9214" w:type="dxa"/>
        <w:tblLook w:val="01E0" w:firstRow="1" w:lastRow="1" w:firstColumn="1" w:lastColumn="1" w:noHBand="0" w:noVBand="0"/>
      </w:tblPr>
      <w:tblGrid>
        <w:gridCol w:w="9214"/>
      </w:tblGrid>
      <w:tr w:rsidR="005C4562" w:rsidRPr="008C761D" w14:paraId="325AB6A0" w14:textId="77777777" w:rsidTr="00BA5E44">
        <w:tc>
          <w:tcPr>
            <w:tcW w:w="9214" w:type="dxa"/>
            <w:shd w:val="clear" w:color="auto" w:fill="auto"/>
          </w:tcPr>
          <w:p w14:paraId="623DEDED" w14:textId="2C0CD1E8" w:rsidR="004C665D" w:rsidRPr="008C761D" w:rsidRDefault="004C665D" w:rsidP="00330707">
            <w:pPr>
              <w:spacing w:line="240" w:lineRule="auto"/>
              <w:jc w:val="both"/>
              <w:rPr>
                <w:rFonts w:cs="Calibri"/>
                <w:bCs/>
                <w:lang w:val="en-US"/>
              </w:rPr>
            </w:pPr>
            <w:r w:rsidRPr="008C761D">
              <w:rPr>
                <w:rFonts w:cs="Calibri"/>
                <w:bCs/>
                <w:lang w:val="en-US"/>
              </w:rPr>
              <w:t>Grants from the Budget of the Republic of North Macedonia, as well as the budgets of the Funds provide additional revenues in the municipal budget for financing its competencies determined by law. Under the Budget of the Republic of North Macedonia, the following is distributed: block grants for the transferred competencies in the field of primary and secondary educati</w:t>
            </w:r>
            <w:r w:rsidR="00FD1416">
              <w:rPr>
                <w:rFonts w:cs="Calibri"/>
                <w:bCs/>
                <w:lang w:val="en-US"/>
              </w:rPr>
              <w:t xml:space="preserve">on, culture, kindergartens and </w:t>
            </w:r>
            <w:r w:rsidRPr="008C761D">
              <w:rPr>
                <w:rFonts w:cs="Calibri"/>
                <w:bCs/>
                <w:lang w:val="en-US"/>
              </w:rPr>
              <w:t xml:space="preserve">elderly homes, earmarked grant for firefighting, as well as capital grants from the Central Budget. </w:t>
            </w:r>
          </w:p>
          <w:p w14:paraId="7CDD785B" w14:textId="77777777" w:rsidR="004C665D" w:rsidRPr="008C761D" w:rsidRDefault="004C665D" w:rsidP="00330707">
            <w:pPr>
              <w:spacing w:line="240" w:lineRule="auto"/>
              <w:jc w:val="both"/>
              <w:rPr>
                <w:rFonts w:cs="Calibri"/>
                <w:bCs/>
                <w:lang w:val="en-US"/>
              </w:rPr>
            </w:pPr>
            <w:r w:rsidRPr="008C761D">
              <w:rPr>
                <w:rFonts w:cs="Calibri"/>
                <w:bCs/>
                <w:lang w:val="en-US"/>
              </w:rPr>
              <w:t xml:space="preserve">Competent Ministries and Funds develop a methodology for determining the criteria for distribution of the block grants, which is based on a formula using appropriate indicators of the needs for each program. Government of the Republic of North Macedonia adopts a Decree on the Methodology for Determining the Criteria for Distribution of Block Grants upon proposal by the competent ministry upon prior consent by the Ministry of Finance and the Committee for Monitoring the Development of the Municipal Financing System. In the past period, certain difficulties have been identified with respect to certain transferred competencies, especially insufficient amount of funds from block grants that would cover all operating costs. For the purpose of more equal distribution of grants by municipalities, it is necessary to make a comprehensive analysis of the criteria and to determine a new model of distribution of funds as per the needs, which will offer higher quality services. </w:t>
            </w:r>
          </w:p>
          <w:p w14:paraId="575F4467" w14:textId="77777777" w:rsidR="004C665D" w:rsidRPr="008C761D" w:rsidRDefault="004C665D" w:rsidP="00330707">
            <w:pPr>
              <w:spacing w:after="0" w:line="240" w:lineRule="auto"/>
              <w:jc w:val="both"/>
              <w:rPr>
                <w:rFonts w:cs="Calibri"/>
                <w:bCs/>
                <w:lang w:val="en-US"/>
              </w:rPr>
            </w:pPr>
            <w:r w:rsidRPr="008C761D">
              <w:rPr>
                <w:rFonts w:cs="Calibri"/>
                <w:bCs/>
                <w:lang w:val="en-US"/>
              </w:rPr>
              <w:t xml:space="preserve">Through the competent ministries and other state institutions, funds are distributed to the municipalities in the form of capital grants for the implementation of capital infrastructure projects in the municipalities. Distribution is carried out in accordance with the Program, which upon proposal by the competent ministry, is adopted thus, there are generally no criteria for the distribution of capital grants that would be previously adopted by the Government. This imposes the need to establish criteria for the distribution of capital grants by municipalities. Therefore, there is a need for: </w:t>
            </w:r>
          </w:p>
          <w:p w14:paraId="7CCFFB4E" w14:textId="77777777" w:rsidR="004C665D" w:rsidRPr="008C761D" w:rsidRDefault="004C665D" w:rsidP="00330707">
            <w:pPr>
              <w:numPr>
                <w:ilvl w:val="0"/>
                <w:numId w:val="12"/>
              </w:numPr>
              <w:spacing w:after="120" w:line="240" w:lineRule="auto"/>
              <w:ind w:left="714" w:hanging="357"/>
              <w:jc w:val="both"/>
              <w:rPr>
                <w:rFonts w:cs="Calibri"/>
                <w:bCs/>
                <w:lang w:val="en-US"/>
              </w:rPr>
            </w:pPr>
            <w:r w:rsidRPr="008C761D">
              <w:rPr>
                <w:rFonts w:cs="Calibri"/>
                <w:bCs/>
                <w:lang w:val="en-US"/>
              </w:rPr>
              <w:t>Analyzing the existing criteria for block and earmarked grants in cooperation with the competent ministries;</w:t>
            </w:r>
          </w:p>
          <w:p w14:paraId="51E8E203" w14:textId="77777777" w:rsidR="004C665D" w:rsidRPr="008C761D" w:rsidRDefault="004C665D" w:rsidP="00330707">
            <w:pPr>
              <w:numPr>
                <w:ilvl w:val="0"/>
                <w:numId w:val="12"/>
              </w:numPr>
              <w:spacing w:after="120" w:line="240" w:lineRule="auto"/>
              <w:ind w:left="714" w:hanging="357"/>
              <w:jc w:val="both"/>
              <w:rPr>
                <w:rFonts w:cs="Calibri"/>
                <w:bCs/>
                <w:lang w:val="en-US"/>
              </w:rPr>
            </w:pPr>
            <w:r w:rsidRPr="008C761D">
              <w:rPr>
                <w:rFonts w:cs="Calibri"/>
                <w:bCs/>
                <w:lang w:val="en-US"/>
              </w:rPr>
              <w:t>Analysis of capital grants to LGUs that are transferred by the competent ministries and institutions to the municipalities;</w:t>
            </w:r>
          </w:p>
          <w:p w14:paraId="6E335E89" w14:textId="77777777" w:rsidR="004C665D" w:rsidRPr="008C761D" w:rsidRDefault="004C665D" w:rsidP="00330707">
            <w:pPr>
              <w:numPr>
                <w:ilvl w:val="0"/>
                <w:numId w:val="12"/>
              </w:numPr>
              <w:spacing w:after="120" w:line="240" w:lineRule="auto"/>
              <w:ind w:left="714" w:hanging="357"/>
              <w:jc w:val="both"/>
              <w:rPr>
                <w:rFonts w:cs="Calibri"/>
                <w:bCs/>
                <w:lang w:val="en-US"/>
              </w:rPr>
            </w:pPr>
            <w:r w:rsidRPr="008C761D">
              <w:rPr>
                <w:rFonts w:cs="Calibri"/>
                <w:bCs/>
                <w:lang w:val="en-US"/>
              </w:rPr>
              <w:t>Redefining existing Decrees for block and earmarked grants;</w:t>
            </w:r>
          </w:p>
          <w:p w14:paraId="43BE989E" w14:textId="41E30E52" w:rsidR="004C665D" w:rsidRDefault="004C665D" w:rsidP="00330707">
            <w:pPr>
              <w:numPr>
                <w:ilvl w:val="0"/>
                <w:numId w:val="12"/>
              </w:numPr>
              <w:spacing w:after="120" w:line="240" w:lineRule="auto"/>
              <w:ind w:left="714" w:hanging="357"/>
              <w:jc w:val="both"/>
              <w:rPr>
                <w:rFonts w:cs="Calibri"/>
                <w:bCs/>
                <w:lang w:val="en-US"/>
              </w:rPr>
            </w:pPr>
            <w:r w:rsidRPr="008C761D">
              <w:rPr>
                <w:rFonts w:cs="Calibri"/>
                <w:bCs/>
                <w:lang w:val="en-US"/>
              </w:rPr>
              <w:t xml:space="preserve">Preparation and adoption of Decrees by the competent ministries for distribution of capital grants. </w:t>
            </w:r>
          </w:p>
          <w:p w14:paraId="5ADCC0DB" w14:textId="0186957D" w:rsidR="008F131B" w:rsidRPr="008C761D" w:rsidRDefault="008F131B" w:rsidP="008F131B">
            <w:pPr>
              <w:spacing w:after="120" w:line="240" w:lineRule="auto"/>
              <w:jc w:val="both"/>
              <w:rPr>
                <w:rFonts w:cs="Calibri"/>
                <w:bCs/>
                <w:lang w:val="en-US"/>
              </w:rPr>
            </w:pPr>
          </w:p>
          <w:p w14:paraId="2D46D288" w14:textId="77777777" w:rsidR="005C4562" w:rsidRPr="008C761D" w:rsidRDefault="005C4562" w:rsidP="00330707">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ook w:val="0080" w:firstRow="0" w:lastRow="0" w:firstColumn="1" w:lastColumn="0" w:noHBand="0" w:noVBand="0"/>
            </w:tblPr>
            <w:tblGrid>
              <w:gridCol w:w="2518"/>
              <w:gridCol w:w="6246"/>
            </w:tblGrid>
            <w:tr w:rsidR="005C4562" w:rsidRPr="008C761D" w14:paraId="6B66EAE4" w14:textId="77777777" w:rsidTr="00BA5E44">
              <w:tc>
                <w:tcPr>
                  <w:tcW w:w="2518" w:type="dxa"/>
                  <w:tcBorders>
                    <w:top w:val="nil"/>
                    <w:bottom w:val="single" w:sz="4" w:space="0" w:color="FFFFFF"/>
                  </w:tcBorders>
                  <w:shd w:val="clear" w:color="auto" w:fill="2F5496"/>
                </w:tcPr>
                <w:p w14:paraId="11077729" w14:textId="77777777" w:rsidR="005C4562" w:rsidRPr="008C761D" w:rsidRDefault="005C4562" w:rsidP="00330707">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66732BDF" w14:textId="7460E2EB" w:rsidR="005C4562" w:rsidRPr="008C761D" w:rsidRDefault="004C665D" w:rsidP="00330707">
                  <w:pPr>
                    <w:spacing w:line="240" w:lineRule="auto"/>
                    <w:jc w:val="both"/>
                    <w:rPr>
                      <w:rFonts w:cs="Calibri"/>
                      <w:sz w:val="20"/>
                      <w:szCs w:val="20"/>
                      <w:lang w:val="en-US"/>
                    </w:rPr>
                  </w:pPr>
                  <w:r w:rsidRPr="008C761D">
                    <w:rPr>
                      <w:rFonts w:cs="Calibri"/>
                      <w:sz w:val="20"/>
                      <w:szCs w:val="20"/>
                      <w:lang w:val="en-US"/>
                    </w:rPr>
                    <w:t>2027</w:t>
                  </w:r>
                </w:p>
              </w:tc>
            </w:tr>
            <w:tr w:rsidR="005C4562" w:rsidRPr="008C761D" w14:paraId="19381AD0" w14:textId="77777777" w:rsidTr="00BA5E44">
              <w:tc>
                <w:tcPr>
                  <w:tcW w:w="2518" w:type="dxa"/>
                  <w:tcBorders>
                    <w:top w:val="single" w:sz="4" w:space="0" w:color="FFFFFF"/>
                    <w:bottom w:val="single" w:sz="4" w:space="0" w:color="FFFFFF"/>
                  </w:tcBorders>
                  <w:shd w:val="clear" w:color="auto" w:fill="2F5496"/>
                </w:tcPr>
                <w:p w14:paraId="664E27B5" w14:textId="77777777" w:rsidR="005C4562" w:rsidRPr="008C761D" w:rsidRDefault="005C4562" w:rsidP="00330707">
                  <w:pPr>
                    <w:spacing w:line="240" w:lineRule="auto"/>
                    <w:jc w:val="both"/>
                    <w:rPr>
                      <w:rFonts w:cs="Calibri"/>
                      <w:b/>
                      <w:color w:val="FFFFFF"/>
                      <w:sz w:val="20"/>
                      <w:szCs w:val="20"/>
                      <w:lang w:val="en-US"/>
                    </w:rPr>
                  </w:pPr>
                  <w:r w:rsidRPr="008C761D">
                    <w:rPr>
                      <w:rFonts w:cs="Calibri"/>
                      <w:b/>
                      <w:color w:val="FFFFFF"/>
                      <w:sz w:val="20"/>
                      <w:szCs w:val="20"/>
                      <w:lang w:val="en-US"/>
                    </w:rPr>
                    <w:lastRenderedPageBreak/>
                    <w:t>Deliverables:</w:t>
                  </w:r>
                </w:p>
              </w:tc>
              <w:tc>
                <w:tcPr>
                  <w:tcW w:w="6246" w:type="dxa"/>
                  <w:tcBorders>
                    <w:top w:val="single" w:sz="4" w:space="0" w:color="FFFFFF"/>
                    <w:bottom w:val="single" w:sz="4" w:space="0" w:color="FFFFFF"/>
                  </w:tcBorders>
                  <w:shd w:val="clear" w:color="auto" w:fill="D9E2F3"/>
                </w:tcPr>
                <w:p w14:paraId="5F5646C2" w14:textId="77777777" w:rsidR="005C4562" w:rsidRPr="008C761D" w:rsidRDefault="005C4562"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New Law on Financing Local Government Units;</w:t>
                  </w:r>
                </w:p>
                <w:p w14:paraId="7C501E5B" w14:textId="539FC9BB" w:rsidR="003C20E4" w:rsidRPr="008C761D" w:rsidRDefault="004C665D"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By-laws of new Law on Financing Local Government Units:</w:t>
                  </w:r>
                </w:p>
                <w:p w14:paraId="28A98F08" w14:textId="48D8D16A" w:rsidR="005C4562" w:rsidRPr="008C761D" w:rsidRDefault="005C4562"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 xml:space="preserve">Revised </w:t>
                  </w:r>
                  <w:r w:rsidR="00FD1416" w:rsidRPr="008C761D">
                    <w:rPr>
                      <w:rFonts w:cs="Calibri"/>
                      <w:sz w:val="20"/>
                      <w:szCs w:val="20"/>
                      <w:lang w:val="en-US"/>
                    </w:rPr>
                    <w:t>Decrees on</w:t>
                  </w:r>
                  <w:r w:rsidRPr="008C761D">
                    <w:rPr>
                      <w:rFonts w:cs="Calibri"/>
                      <w:sz w:val="20"/>
                      <w:szCs w:val="20"/>
                      <w:lang w:val="en-US"/>
                    </w:rPr>
                    <w:t xml:space="preserve"> Block and Earmarked Grants; </w:t>
                  </w:r>
                </w:p>
                <w:p w14:paraId="0BE0F70F" w14:textId="5FE51857" w:rsidR="005C4562" w:rsidRPr="008C761D" w:rsidRDefault="005C4562"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 xml:space="preserve">Decree on Distribution of Capital </w:t>
                  </w:r>
                  <w:r w:rsidR="00FD1416" w:rsidRPr="008C761D">
                    <w:rPr>
                      <w:rFonts w:cs="Calibri"/>
                      <w:sz w:val="20"/>
                      <w:szCs w:val="20"/>
                      <w:lang w:val="en-US"/>
                    </w:rPr>
                    <w:t>Grants;</w:t>
                  </w:r>
                </w:p>
                <w:p w14:paraId="5072A30F" w14:textId="77777777" w:rsidR="004C665D" w:rsidRPr="008C761D" w:rsidRDefault="004C665D"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 xml:space="preserve">Revised law on property taxes </w:t>
                  </w:r>
                </w:p>
                <w:p w14:paraId="58E66185" w14:textId="77777777" w:rsidR="004C665D" w:rsidRPr="008C761D" w:rsidRDefault="004C665D"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Revised law on utility fees</w:t>
                  </w:r>
                </w:p>
              </w:tc>
            </w:tr>
            <w:tr w:rsidR="005C4562" w:rsidRPr="008C761D" w14:paraId="716B1FFA" w14:textId="77777777" w:rsidTr="00BA5E44">
              <w:tc>
                <w:tcPr>
                  <w:tcW w:w="2518" w:type="dxa"/>
                  <w:tcBorders>
                    <w:top w:val="single" w:sz="4" w:space="0" w:color="FFFFFF"/>
                    <w:bottom w:val="single" w:sz="4" w:space="0" w:color="FFFFFF"/>
                  </w:tcBorders>
                  <w:shd w:val="clear" w:color="auto" w:fill="2F5496"/>
                </w:tcPr>
                <w:p w14:paraId="18695BD5" w14:textId="77777777" w:rsidR="005C4562" w:rsidRPr="008C761D" w:rsidRDefault="005C4562" w:rsidP="00330707">
                  <w:pPr>
                    <w:spacing w:line="240" w:lineRule="auto"/>
                    <w:jc w:val="both"/>
                    <w:rPr>
                      <w:rFonts w:cs="Calibri"/>
                      <w:b/>
                      <w:color w:val="FFFFFF"/>
                      <w:sz w:val="20"/>
                      <w:szCs w:val="20"/>
                      <w:lang w:val="en-US"/>
                    </w:rPr>
                  </w:pPr>
                  <w:r w:rsidRPr="008C761D">
                    <w:rPr>
                      <w:rFonts w:cs="Calibri"/>
                      <w:b/>
                      <w:color w:val="FFFFFF"/>
                      <w:sz w:val="20"/>
                      <w:szCs w:val="20"/>
                      <w:lang w:val="en-US"/>
                    </w:rPr>
                    <w:t>Costs:</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1CF4ABAF" w14:textId="77777777" w:rsidR="005C4562" w:rsidRPr="008C761D" w:rsidRDefault="005C4562" w:rsidP="00742767">
                  <w:pPr>
                    <w:spacing w:line="240" w:lineRule="auto"/>
                    <w:ind w:left="250" w:hanging="183"/>
                    <w:jc w:val="both"/>
                    <w:rPr>
                      <w:rFonts w:cs="Calibri"/>
                      <w:sz w:val="20"/>
                      <w:szCs w:val="20"/>
                      <w:lang w:val="en-US"/>
                    </w:rPr>
                  </w:pPr>
                  <w:r w:rsidRPr="008C761D">
                    <w:rPr>
                      <w:rFonts w:cs="Calibri"/>
                      <w:sz w:val="20"/>
                      <w:szCs w:val="20"/>
                      <w:lang w:val="en-US"/>
                    </w:rPr>
                    <w:t xml:space="preserve">EUR </w:t>
                  </w:r>
                  <w:r w:rsidR="004C665D" w:rsidRPr="008C761D">
                    <w:rPr>
                      <w:rFonts w:cs="Calibri"/>
                      <w:sz w:val="20"/>
                      <w:szCs w:val="20"/>
                      <w:lang w:val="en-US"/>
                    </w:rPr>
                    <w:t>60,000</w:t>
                  </w:r>
                </w:p>
              </w:tc>
            </w:tr>
            <w:tr w:rsidR="005C4562" w:rsidRPr="008C761D" w14:paraId="26B0F5CB" w14:textId="77777777" w:rsidTr="00BA5E44">
              <w:tc>
                <w:tcPr>
                  <w:tcW w:w="2518" w:type="dxa"/>
                  <w:tcBorders>
                    <w:top w:val="single" w:sz="4" w:space="0" w:color="FFFFFF"/>
                    <w:bottom w:val="single" w:sz="4" w:space="0" w:color="FFFFFF"/>
                  </w:tcBorders>
                  <w:shd w:val="clear" w:color="auto" w:fill="2F5496"/>
                </w:tcPr>
                <w:p w14:paraId="35B6BDFF" w14:textId="77777777" w:rsidR="005C4562" w:rsidRPr="008C761D" w:rsidRDefault="005C4562" w:rsidP="00330707">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3EA3A2FF" w14:textId="77777777" w:rsidR="005C4562" w:rsidRPr="008C761D" w:rsidRDefault="005C4562" w:rsidP="00742767">
                  <w:pPr>
                    <w:spacing w:line="240" w:lineRule="auto"/>
                    <w:ind w:left="250" w:hanging="183"/>
                    <w:jc w:val="both"/>
                    <w:rPr>
                      <w:rFonts w:cs="Calibri"/>
                      <w:sz w:val="20"/>
                      <w:szCs w:val="20"/>
                      <w:lang w:val="en-US"/>
                    </w:rPr>
                  </w:pPr>
                  <w:r w:rsidRPr="008C761D">
                    <w:rPr>
                      <w:rFonts w:cs="Calibri"/>
                      <w:sz w:val="20"/>
                      <w:szCs w:val="20"/>
                      <w:lang w:val="en-US"/>
                    </w:rPr>
                    <w:t>Budget and Funds Department; Tax and Customs Policy Department</w:t>
                  </w:r>
                </w:p>
              </w:tc>
            </w:tr>
            <w:tr w:rsidR="005C4562" w:rsidRPr="008C761D" w14:paraId="543C657B" w14:textId="77777777" w:rsidTr="00BA5E44">
              <w:tc>
                <w:tcPr>
                  <w:tcW w:w="2518" w:type="dxa"/>
                  <w:tcBorders>
                    <w:top w:val="single" w:sz="4" w:space="0" w:color="FFFFFF"/>
                    <w:bottom w:val="nil"/>
                  </w:tcBorders>
                  <w:shd w:val="clear" w:color="auto" w:fill="2F5496"/>
                </w:tcPr>
                <w:p w14:paraId="6DD22876" w14:textId="77777777" w:rsidR="005C4562" w:rsidRPr="008C761D" w:rsidRDefault="005C4562" w:rsidP="00330707">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32672E27" w14:textId="26A5CFC9" w:rsidR="00BD26CB" w:rsidRPr="008C761D" w:rsidRDefault="00BD26CB"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Insufficient human capacity to implement the planned activities</w:t>
                  </w:r>
                </w:p>
                <w:p w14:paraId="028AC0FC" w14:textId="7A320557" w:rsidR="00330707" w:rsidRPr="008C761D" w:rsidRDefault="00BD26CB"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Delay in the adoption of laws and by-laws</w:t>
                  </w:r>
                </w:p>
                <w:p w14:paraId="7C8EC9C8" w14:textId="4E4E99EE" w:rsidR="00330707" w:rsidRPr="008C761D" w:rsidRDefault="00BD26CB"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Political risks - untimely constitution of the Government and the Assembly of the RNM</w:t>
                  </w:r>
                </w:p>
                <w:p w14:paraId="289416D3" w14:textId="44A583C5" w:rsidR="005C4562" w:rsidRPr="008C761D" w:rsidRDefault="00BD26CB" w:rsidP="00742767">
                  <w:pPr>
                    <w:pStyle w:val="ListParagraph"/>
                    <w:numPr>
                      <w:ilvl w:val="0"/>
                      <w:numId w:val="110"/>
                    </w:numPr>
                    <w:spacing w:line="240" w:lineRule="auto"/>
                    <w:ind w:left="250" w:hanging="183"/>
                    <w:rPr>
                      <w:rFonts w:cs="Calibri"/>
                      <w:sz w:val="20"/>
                      <w:szCs w:val="20"/>
                      <w:lang w:val="en-US"/>
                    </w:rPr>
                  </w:pPr>
                  <w:r w:rsidRPr="008C761D">
                    <w:rPr>
                      <w:rFonts w:cs="Calibri"/>
                      <w:sz w:val="20"/>
                      <w:szCs w:val="20"/>
                      <w:lang w:val="en-US"/>
                    </w:rPr>
                    <w:t>Departure or reduced interest among donors to support activities</w:t>
                  </w:r>
                  <w:r w:rsidR="005C4562" w:rsidRPr="008C761D">
                    <w:rPr>
                      <w:rFonts w:cs="Calibri"/>
                      <w:sz w:val="20"/>
                      <w:szCs w:val="20"/>
                      <w:lang w:val="en-US"/>
                    </w:rPr>
                    <w:t>.</w:t>
                  </w:r>
                </w:p>
              </w:tc>
            </w:tr>
          </w:tbl>
          <w:p w14:paraId="2C0E0ECE" w14:textId="77777777" w:rsidR="005C4562" w:rsidRPr="008C761D" w:rsidRDefault="005C4562" w:rsidP="00330707">
            <w:pPr>
              <w:spacing w:line="240" w:lineRule="auto"/>
              <w:jc w:val="both"/>
              <w:rPr>
                <w:rFonts w:cs="Calibri"/>
                <w:bCs/>
                <w:lang w:val="en-US"/>
              </w:rPr>
            </w:pPr>
          </w:p>
        </w:tc>
      </w:tr>
      <w:tr w:rsidR="005C4562" w:rsidRPr="008C761D" w14:paraId="1550DBE5" w14:textId="77777777" w:rsidTr="00BA5E44">
        <w:tc>
          <w:tcPr>
            <w:tcW w:w="9214" w:type="dxa"/>
            <w:shd w:val="clear" w:color="auto" w:fill="auto"/>
          </w:tcPr>
          <w:p w14:paraId="31DC4281" w14:textId="77777777" w:rsidR="008F131B" w:rsidRDefault="008F131B" w:rsidP="00E84CD0">
            <w:pPr>
              <w:spacing w:line="240" w:lineRule="auto"/>
              <w:jc w:val="both"/>
              <w:rPr>
                <w:rFonts w:cs="Calibri"/>
                <w:b/>
                <w:color w:val="0070C0"/>
                <w:sz w:val="24"/>
                <w:szCs w:val="24"/>
                <w:lang w:val="en-US"/>
              </w:rPr>
            </w:pPr>
          </w:p>
          <w:p w14:paraId="377EC4CE" w14:textId="0F9DC005" w:rsidR="005C4562" w:rsidRPr="00742767" w:rsidRDefault="005C4562" w:rsidP="00E84CD0">
            <w:pPr>
              <w:spacing w:line="240" w:lineRule="auto"/>
              <w:jc w:val="both"/>
              <w:rPr>
                <w:rFonts w:cs="Calibri"/>
                <w:bCs/>
                <w:color w:val="0070C0"/>
                <w:lang w:val="en-US"/>
              </w:rPr>
            </w:pPr>
            <w:r w:rsidRPr="00742767">
              <w:rPr>
                <w:rFonts w:cs="Calibri"/>
                <w:b/>
                <w:color w:val="0070C0"/>
                <w:sz w:val="24"/>
                <w:szCs w:val="24"/>
                <w:lang w:val="en-US"/>
              </w:rPr>
              <w:t>Measure 2: Regional and local development</w:t>
            </w:r>
          </w:p>
        </w:tc>
      </w:tr>
    </w:tbl>
    <w:p w14:paraId="5A10977D"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49907232" w14:textId="77777777" w:rsidR="004C665D" w:rsidRPr="008C761D" w:rsidRDefault="004C665D" w:rsidP="004C665D">
      <w:pPr>
        <w:spacing w:line="240" w:lineRule="auto"/>
        <w:jc w:val="both"/>
        <w:rPr>
          <w:rFonts w:cs="Calibri"/>
          <w:lang w:val="en-US"/>
        </w:rPr>
      </w:pPr>
      <w:r w:rsidRPr="008C761D">
        <w:rPr>
          <w:rFonts w:cs="Calibri"/>
          <w:lang w:val="en-US"/>
        </w:rPr>
        <w:t>The activities for the establishment of an Agency for Regional and Local Development, which would have broader competences than those of the Bureau for Regional Development, are underway, especially in terms of providing additional financial resources for financing capital investments. The work is coordinated by the Ministry of Local Self-Government, and the established working group in which representatives from the Ministry of Justice, the Ministry of Local Self-Government, the Ministry of Finance, the Cabinet of the Vice Prime Minister for Economic Affairs, the Ministry of Political System and Relations with Communities, the Ministry of Information Society participate and administration, the Bureau for balanced regional development and the association of local self-government units of the Republic of North Macedonia is considering the legal possibilities for the transformation of the Bureau for Regional Development into an Agency.</w:t>
      </w:r>
    </w:p>
    <w:p w14:paraId="4579D58F" w14:textId="77777777" w:rsidR="004C665D" w:rsidRPr="008C761D" w:rsidRDefault="004C665D" w:rsidP="004C665D">
      <w:pPr>
        <w:spacing w:line="240" w:lineRule="auto"/>
        <w:jc w:val="both"/>
        <w:rPr>
          <w:rFonts w:cs="Calibri"/>
          <w:lang w:val="en-US"/>
        </w:rPr>
      </w:pPr>
      <w:r w:rsidRPr="008C761D">
        <w:rPr>
          <w:rFonts w:cs="Calibri"/>
          <w:lang w:val="en-US"/>
        </w:rPr>
        <w:t>In the coming period, the Ministry of Local Self-Government will undertake the necessary activities for the establishment of the Agency and the start of work. The effort is through this agency and easier access to financial resources was provided to the municipalities in order to realize Investment Projects.</w:t>
      </w:r>
    </w:p>
    <w:p w14:paraId="6E02B047" w14:textId="15839811" w:rsidR="004C665D" w:rsidRPr="008C761D" w:rsidRDefault="00FD1416" w:rsidP="004C665D">
      <w:pPr>
        <w:spacing w:line="240" w:lineRule="auto"/>
        <w:jc w:val="both"/>
        <w:rPr>
          <w:rFonts w:cs="Calibri"/>
          <w:bCs/>
          <w:iCs/>
          <w:lang w:val="en-US"/>
        </w:rPr>
      </w:pPr>
      <w:r>
        <w:rPr>
          <w:rFonts w:cs="Calibri"/>
          <w:bCs/>
          <w:iCs/>
          <w:lang w:val="en-US"/>
        </w:rPr>
        <w:t>Established</w:t>
      </w:r>
      <w:r w:rsidR="004C665D" w:rsidRPr="008C761D">
        <w:rPr>
          <w:rFonts w:cs="Calibri"/>
          <w:bCs/>
          <w:iCs/>
          <w:lang w:val="en-US"/>
        </w:rPr>
        <w:t xml:space="preserve"> Municipal Developme</w:t>
      </w:r>
      <w:r>
        <w:rPr>
          <w:rFonts w:cs="Calibri"/>
          <w:bCs/>
          <w:iCs/>
          <w:lang w:val="en-US"/>
        </w:rPr>
        <w:t>nt Index (MDI) which will offer</w:t>
      </w:r>
      <w:r w:rsidR="004C665D" w:rsidRPr="008C761D">
        <w:rPr>
          <w:rFonts w:cs="Calibri"/>
          <w:bCs/>
          <w:iCs/>
          <w:lang w:val="en-US"/>
        </w:rPr>
        <w:t xml:space="preserve"> valuable insights into the overall development of municipalities by providing a comprehensive assessment of key indicators, promoting sustainable and inclusive municipal development.</w:t>
      </w:r>
    </w:p>
    <w:p w14:paraId="20BF92B2"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706B6BA3" w14:textId="77777777" w:rsidR="004C665D" w:rsidRPr="008C761D" w:rsidRDefault="004C665D" w:rsidP="004C665D">
      <w:pPr>
        <w:spacing w:line="240" w:lineRule="auto"/>
        <w:jc w:val="both"/>
        <w:rPr>
          <w:rFonts w:cs="Calibri"/>
          <w:lang w:val="en-US"/>
        </w:rPr>
      </w:pPr>
      <w:r w:rsidRPr="008C761D">
        <w:rPr>
          <w:rFonts w:cs="Calibri"/>
          <w:lang w:val="en-US"/>
        </w:rPr>
        <w:t>Municipalities receive a large portion of the funds intended for local and regional development from the State Budget through the Line Ministries, receive donations from various sources, resources from IPA Funds and credit lines for financing infrastructure projects. Therefore, the municipalities do not always have insight into the possibilities for financing capital infrastructure projects, and at the same time, due to the limited staff capacities, they are not able to provide financial resources for realization of capital investments in the municipality. By establishing this Agency, the funds that would be provided from different sources, and are intended for regional and local development, would be distributed in line with the established criteria, as well as in accordance with the needs of the municipalities and the region.</w:t>
      </w:r>
    </w:p>
    <w:p w14:paraId="69E3BD1A" w14:textId="77777777" w:rsidR="005C4562" w:rsidRPr="00742767" w:rsidRDefault="005C4562" w:rsidP="00E84CD0">
      <w:pPr>
        <w:spacing w:line="240" w:lineRule="auto"/>
        <w:jc w:val="both"/>
        <w:rPr>
          <w:rFonts w:cs="Calibri"/>
          <w:b/>
          <w:bCs/>
          <w:iCs/>
          <w:color w:val="0070C0"/>
          <w:lang w:val="en-US"/>
        </w:rPr>
      </w:pPr>
      <w:r w:rsidRPr="00742767">
        <w:rPr>
          <w:rFonts w:cs="Calibri"/>
          <w:b/>
          <w:bCs/>
          <w:iCs/>
          <w:color w:val="0070C0"/>
          <w:lang w:val="en-US"/>
        </w:rPr>
        <w:t xml:space="preserve">Activity 1: Establishment of the Agency for Regional and Local Development and achieving balanced regional development </w:t>
      </w:r>
    </w:p>
    <w:p w14:paraId="60DA7219" w14:textId="77777777" w:rsidR="004C665D" w:rsidRPr="008C761D" w:rsidRDefault="004C665D" w:rsidP="004C665D">
      <w:pPr>
        <w:spacing w:line="240" w:lineRule="auto"/>
        <w:jc w:val="both"/>
        <w:rPr>
          <w:rFonts w:cs="Calibri"/>
          <w:lang w:val="en-US"/>
        </w:rPr>
      </w:pPr>
      <w:r w:rsidRPr="008C761D">
        <w:rPr>
          <w:rFonts w:cs="Calibri"/>
          <w:lang w:val="en-US"/>
        </w:rPr>
        <w:lastRenderedPageBreak/>
        <w:t>By establishing the Agency for Regional and Local Development, which would have broader competencies than the previous ones of the Bureau for Regional Development, the municipalities will be given the opportunity to provide additional funding from various sources for financing capital investments, which will improve the local and the regional development. The work of the Agency will be coordinated by the Ministry of Local Government, and the legal solutions for its establishment would result from a working group that would include representatives of Ministry of Justice, Ministry of Local Government, Ministry of Finance, Bureau for Balanced Regional Development and Association of t Local Government Units/ZELS/ of the Republic of North Macedonia.</w:t>
      </w:r>
    </w:p>
    <w:p w14:paraId="37581940" w14:textId="77777777" w:rsidR="004C665D" w:rsidRPr="008C761D" w:rsidRDefault="004C665D" w:rsidP="004C665D">
      <w:pPr>
        <w:spacing w:line="240" w:lineRule="auto"/>
        <w:jc w:val="both"/>
        <w:rPr>
          <w:rFonts w:cs="Calibri"/>
          <w:lang w:val="en-US"/>
        </w:rPr>
      </w:pPr>
      <w:r w:rsidRPr="008C761D">
        <w:rPr>
          <w:rFonts w:cs="Calibri"/>
          <w:lang w:val="en-US"/>
        </w:rPr>
        <w:t>The establishment of the Agency for Regional and Local Development requires:</w:t>
      </w:r>
    </w:p>
    <w:p w14:paraId="49CD82DE" w14:textId="77777777" w:rsidR="004C665D" w:rsidRPr="008C761D" w:rsidRDefault="004C665D" w:rsidP="003A338C">
      <w:pPr>
        <w:numPr>
          <w:ilvl w:val="0"/>
          <w:numId w:val="37"/>
        </w:numPr>
        <w:spacing w:after="120" w:line="240" w:lineRule="auto"/>
        <w:ind w:left="714" w:hanging="357"/>
        <w:jc w:val="both"/>
        <w:rPr>
          <w:rFonts w:cs="Calibri"/>
          <w:bCs/>
          <w:iCs/>
          <w:lang w:val="en-US"/>
        </w:rPr>
      </w:pPr>
      <w:r w:rsidRPr="008C761D">
        <w:rPr>
          <w:rFonts w:cs="Calibri"/>
          <w:bCs/>
          <w:iCs/>
          <w:lang w:val="en-US"/>
        </w:rPr>
        <w:t>Determining the competencies of the Agency;</w:t>
      </w:r>
    </w:p>
    <w:p w14:paraId="6C225796" w14:textId="545981CA" w:rsidR="004C665D" w:rsidRDefault="004C665D" w:rsidP="003A338C">
      <w:pPr>
        <w:numPr>
          <w:ilvl w:val="0"/>
          <w:numId w:val="37"/>
        </w:numPr>
        <w:spacing w:after="120" w:line="240" w:lineRule="auto"/>
        <w:ind w:left="714" w:hanging="357"/>
        <w:jc w:val="both"/>
        <w:rPr>
          <w:rFonts w:cs="Calibri"/>
          <w:bCs/>
          <w:iCs/>
          <w:lang w:val="en-US"/>
        </w:rPr>
      </w:pPr>
      <w:r w:rsidRPr="008C761D">
        <w:rPr>
          <w:rFonts w:cs="Calibri"/>
          <w:bCs/>
          <w:iCs/>
          <w:lang w:val="en-US"/>
        </w:rPr>
        <w:t>Preparation of legal and operational solutions for the establishment of an Agency</w:t>
      </w:r>
      <w:r w:rsidRPr="008C761D">
        <w:rPr>
          <w:rFonts w:cs="Calibri"/>
          <w:lang w:val="en-US"/>
        </w:rPr>
        <w:t>,</w:t>
      </w:r>
      <w:r w:rsidRPr="008C761D">
        <w:rPr>
          <w:rFonts w:cs="Calibri"/>
          <w:bCs/>
          <w:iCs/>
          <w:lang w:val="en-US"/>
        </w:rPr>
        <w:t xml:space="preserve"> which as a result of further decentralization of </w:t>
      </w:r>
      <w:r w:rsidRPr="008C761D">
        <w:rPr>
          <w:rFonts w:cs="Calibri"/>
          <w:lang w:val="en-US"/>
        </w:rPr>
        <w:t xml:space="preserve">the </w:t>
      </w:r>
      <w:r w:rsidRPr="008C761D">
        <w:rPr>
          <w:rFonts w:cs="Calibri"/>
          <w:bCs/>
          <w:iCs/>
          <w:lang w:val="en-US"/>
        </w:rPr>
        <w:t>government</w:t>
      </w:r>
      <w:r w:rsidRPr="008C761D">
        <w:rPr>
          <w:rFonts w:cs="Calibri"/>
          <w:lang w:val="en-US"/>
        </w:rPr>
        <w:t>,</w:t>
      </w:r>
      <w:r w:rsidRPr="008C761D">
        <w:rPr>
          <w:rFonts w:cs="Calibri"/>
          <w:bCs/>
          <w:iCs/>
          <w:lang w:val="en-US"/>
        </w:rPr>
        <w:t xml:space="preserve"> will aim to provide additional funds for financing capital investments that will directly contribute to accelerated local and regional growth and development of the country, better</w:t>
      </w:r>
      <w:r w:rsidRPr="008C761D">
        <w:rPr>
          <w:rFonts w:cs="Calibri"/>
          <w:lang w:val="en-US"/>
        </w:rPr>
        <w:t>-quality</w:t>
      </w:r>
      <w:r w:rsidRPr="008C761D">
        <w:rPr>
          <w:rFonts w:cs="Calibri"/>
          <w:bCs/>
          <w:iCs/>
          <w:lang w:val="en-US"/>
        </w:rPr>
        <w:t xml:space="preserve"> services to</w:t>
      </w:r>
      <w:r w:rsidRPr="008C761D">
        <w:rPr>
          <w:rFonts w:cs="Calibri"/>
          <w:lang w:val="en-US"/>
        </w:rPr>
        <w:t xml:space="preserve"> the</w:t>
      </w:r>
      <w:r w:rsidRPr="008C761D">
        <w:rPr>
          <w:rFonts w:cs="Calibri"/>
          <w:bCs/>
          <w:iCs/>
          <w:lang w:val="en-US"/>
        </w:rPr>
        <w:t xml:space="preserve"> population and better quality of life in all local areas. This activity will be realized with the </w:t>
      </w:r>
      <w:r w:rsidRPr="008C761D">
        <w:rPr>
          <w:rFonts w:cs="Calibri"/>
          <w:lang w:val="en-US"/>
        </w:rPr>
        <w:t xml:space="preserve">USAID </w:t>
      </w:r>
      <w:r w:rsidRPr="008C761D">
        <w:rPr>
          <w:rFonts w:cs="Calibri"/>
          <w:bCs/>
          <w:iCs/>
          <w:lang w:val="en-US"/>
        </w:rPr>
        <w:t>technical assistance;</w:t>
      </w:r>
    </w:p>
    <w:p w14:paraId="7C8706A1" w14:textId="35B5C4C4" w:rsidR="003C20E4" w:rsidRDefault="004C665D" w:rsidP="003E0DC8">
      <w:pPr>
        <w:numPr>
          <w:ilvl w:val="0"/>
          <w:numId w:val="37"/>
        </w:numPr>
        <w:spacing w:after="120" w:line="240" w:lineRule="auto"/>
        <w:ind w:left="714" w:hanging="357"/>
        <w:jc w:val="both"/>
        <w:rPr>
          <w:rFonts w:cs="Calibri"/>
          <w:bCs/>
          <w:iCs/>
          <w:lang w:val="en-US"/>
        </w:rPr>
      </w:pPr>
      <w:r w:rsidRPr="003E0DC8">
        <w:rPr>
          <w:rFonts w:cs="Calibri"/>
          <w:bCs/>
          <w:iCs/>
          <w:lang w:val="en-US"/>
        </w:rPr>
        <w:t>Beginning to function of the Agency for Regional and Local Development.</w:t>
      </w:r>
    </w:p>
    <w:p w14:paraId="194A5511" w14:textId="77777777" w:rsidR="003E0DC8" w:rsidRPr="003E0DC8" w:rsidRDefault="003E0DC8" w:rsidP="003E0DC8">
      <w:pPr>
        <w:spacing w:after="120" w:line="240" w:lineRule="auto"/>
        <w:ind w:left="714"/>
        <w:jc w:val="both"/>
        <w:rPr>
          <w:rFonts w:cs="Calibri"/>
          <w:bCs/>
          <w:iCs/>
          <w:lang w:val="en-US"/>
        </w:rPr>
      </w:pPr>
    </w:p>
    <w:p w14:paraId="6316597A" w14:textId="77777777" w:rsidR="003C20E4" w:rsidRPr="00742767" w:rsidRDefault="006A55CA" w:rsidP="00330707">
      <w:pPr>
        <w:spacing w:after="120" w:line="240" w:lineRule="auto"/>
        <w:jc w:val="both"/>
        <w:rPr>
          <w:rFonts w:cs="Calibri"/>
          <w:bCs/>
          <w:iCs/>
          <w:color w:val="0070C0"/>
          <w:lang w:val="en-US"/>
        </w:rPr>
      </w:pPr>
      <w:r w:rsidRPr="00742767">
        <w:rPr>
          <w:rFonts w:cs="Calibri"/>
          <w:b/>
          <w:bCs/>
          <w:iCs/>
          <w:color w:val="0070C0"/>
          <w:lang w:val="en-US"/>
        </w:rPr>
        <w:t>Activity 2: Determination of municipal development index</w:t>
      </w:r>
    </w:p>
    <w:p w14:paraId="6B739B6C" w14:textId="23FD59CC" w:rsidR="003C20E4" w:rsidRPr="008C761D" w:rsidRDefault="004C665D" w:rsidP="00330707">
      <w:pPr>
        <w:spacing w:after="120" w:line="240" w:lineRule="auto"/>
        <w:jc w:val="both"/>
        <w:rPr>
          <w:rFonts w:cs="Calibri"/>
          <w:bCs/>
          <w:iCs/>
          <w:lang w:val="en-US"/>
        </w:rPr>
      </w:pPr>
      <w:r w:rsidRPr="008C761D">
        <w:rPr>
          <w:rFonts w:cs="Calibri"/>
          <w:bCs/>
          <w:iCs/>
          <w:lang w:val="en-US"/>
        </w:rPr>
        <w:t xml:space="preserve">Due to have an overview of the development of the municipalities., there need to be established a municipal development index. The index will have main 11 </w:t>
      </w:r>
      <w:r w:rsidR="00FD1416" w:rsidRPr="008C761D">
        <w:rPr>
          <w:rFonts w:cs="Calibri"/>
          <w:bCs/>
          <w:iCs/>
          <w:lang w:val="en-US"/>
        </w:rPr>
        <w:t>pillars</w:t>
      </w:r>
      <w:r w:rsidRPr="008C761D">
        <w:rPr>
          <w:rFonts w:cs="Calibri"/>
          <w:bCs/>
          <w:iCs/>
          <w:lang w:val="en-US"/>
        </w:rPr>
        <w:t xml:space="preserve"> with 44 indicators for measuring development, which will be used on further planning of delivering funds from the central budget due to </w:t>
      </w:r>
      <w:proofErr w:type="gramStart"/>
      <w:r w:rsidRPr="008C761D">
        <w:rPr>
          <w:rFonts w:cs="Calibri"/>
          <w:bCs/>
          <w:iCs/>
          <w:lang w:val="en-US"/>
        </w:rPr>
        <w:t>those index</w:t>
      </w:r>
      <w:proofErr w:type="gramEnd"/>
      <w:r w:rsidRPr="008C761D">
        <w:rPr>
          <w:rFonts w:cs="Calibri"/>
          <w:bCs/>
          <w:iCs/>
          <w:lang w:val="en-US"/>
        </w:rPr>
        <w:t xml:space="preserve"> which has information about the development for every single </w:t>
      </w:r>
      <w:r w:rsidR="00FD1416" w:rsidRPr="008C761D">
        <w:rPr>
          <w:rFonts w:cs="Calibri"/>
          <w:bCs/>
          <w:iCs/>
          <w:lang w:val="en-US"/>
        </w:rPr>
        <w:t>municipality</w:t>
      </w:r>
      <w:r w:rsidRPr="008C761D">
        <w:rPr>
          <w:rFonts w:cs="Calibri"/>
          <w:bCs/>
          <w:iCs/>
          <w:lang w:val="en-US"/>
        </w:rPr>
        <w:t>.</w:t>
      </w:r>
    </w:p>
    <w:p w14:paraId="4D1E72F9" w14:textId="77777777" w:rsidR="003C20E4" w:rsidRPr="008C761D" w:rsidRDefault="004C665D" w:rsidP="00330707">
      <w:pPr>
        <w:spacing w:after="120" w:line="240" w:lineRule="auto"/>
        <w:jc w:val="both"/>
        <w:rPr>
          <w:rFonts w:cs="Calibri"/>
          <w:bCs/>
          <w:iCs/>
          <w:lang w:val="en-US"/>
        </w:rPr>
      </w:pPr>
      <w:r w:rsidRPr="008C761D">
        <w:rPr>
          <w:rFonts w:cs="Calibri"/>
          <w:bCs/>
          <w:iCs/>
          <w:lang w:val="en-US"/>
        </w:rPr>
        <w:t>The Municipal Development Index (MDI) offers valuable insights into the overall development of municipalities by providing a comprehensive assessment of key indicators, promoting sustainable and inclusive municipal development.</w:t>
      </w:r>
    </w:p>
    <w:p w14:paraId="58432389" w14:textId="77777777" w:rsidR="004C665D" w:rsidRPr="008C761D" w:rsidRDefault="004C665D" w:rsidP="00330707">
      <w:pPr>
        <w:spacing w:after="120" w:line="240" w:lineRule="auto"/>
        <w:ind w:left="714"/>
        <w:jc w:val="both"/>
        <w:rPr>
          <w:rFonts w:cs="Calibri"/>
          <w:bCs/>
          <w:iCs/>
          <w:lang w:val="en-US"/>
        </w:rPr>
      </w:pPr>
    </w:p>
    <w:p w14:paraId="22B735AF"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C4562" w:rsidRPr="008C761D" w14:paraId="27382552" w14:textId="77777777" w:rsidTr="00BA5E44">
        <w:tc>
          <w:tcPr>
            <w:tcW w:w="2518" w:type="dxa"/>
            <w:tcBorders>
              <w:top w:val="nil"/>
              <w:bottom w:val="single" w:sz="4" w:space="0" w:color="FFFFFF"/>
            </w:tcBorders>
            <w:shd w:val="clear" w:color="auto" w:fill="2F5496"/>
          </w:tcPr>
          <w:p w14:paraId="6993382A" w14:textId="77777777" w:rsidR="005C4562" w:rsidRPr="008C761D" w:rsidRDefault="005C4562"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246" w:type="dxa"/>
            <w:tcBorders>
              <w:top w:val="nil"/>
              <w:bottom w:val="single" w:sz="4" w:space="0" w:color="FFFFFF"/>
            </w:tcBorders>
            <w:shd w:val="clear" w:color="auto" w:fill="D9E2F3"/>
          </w:tcPr>
          <w:p w14:paraId="4FDE88EF" w14:textId="5CB3AE09" w:rsidR="005C4562" w:rsidRPr="008C761D" w:rsidRDefault="002E3378" w:rsidP="00E84CD0">
            <w:pPr>
              <w:spacing w:line="240" w:lineRule="auto"/>
              <w:jc w:val="both"/>
              <w:rPr>
                <w:rFonts w:cs="Calibri"/>
                <w:sz w:val="20"/>
                <w:szCs w:val="20"/>
                <w:lang w:val="en-US"/>
              </w:rPr>
            </w:pPr>
            <w:r w:rsidRPr="008C761D">
              <w:rPr>
                <w:rFonts w:cs="Calibri"/>
                <w:sz w:val="20"/>
                <w:szCs w:val="20"/>
                <w:lang w:val="en-US"/>
              </w:rPr>
              <w:t>202</w:t>
            </w:r>
            <w:r w:rsidR="004C665D" w:rsidRPr="008C761D">
              <w:rPr>
                <w:rFonts w:cs="Calibri"/>
                <w:sz w:val="20"/>
                <w:szCs w:val="20"/>
                <w:lang w:val="en-US"/>
              </w:rPr>
              <w:t>7</w:t>
            </w:r>
          </w:p>
        </w:tc>
      </w:tr>
      <w:tr w:rsidR="005C4562" w:rsidRPr="008C761D" w14:paraId="414F6C5E" w14:textId="77777777" w:rsidTr="00BA5E44">
        <w:tc>
          <w:tcPr>
            <w:tcW w:w="2518" w:type="dxa"/>
            <w:tcBorders>
              <w:top w:val="single" w:sz="4" w:space="0" w:color="FFFFFF"/>
              <w:bottom w:val="single" w:sz="4" w:space="0" w:color="FFFFFF"/>
            </w:tcBorders>
            <w:shd w:val="clear" w:color="auto" w:fill="2F5496"/>
          </w:tcPr>
          <w:p w14:paraId="2FFC953B"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246" w:type="dxa"/>
            <w:tcBorders>
              <w:top w:val="single" w:sz="4" w:space="0" w:color="FFFFFF"/>
              <w:bottom w:val="single" w:sz="4" w:space="0" w:color="FFFFFF"/>
            </w:tcBorders>
            <w:shd w:val="clear" w:color="auto" w:fill="D9E2F3"/>
          </w:tcPr>
          <w:p w14:paraId="07F5B521" w14:textId="4F0B37FC" w:rsidR="005C4562" w:rsidRPr="00742767" w:rsidRDefault="005C4562" w:rsidP="00742767">
            <w:pPr>
              <w:pStyle w:val="ListParagraph"/>
              <w:numPr>
                <w:ilvl w:val="0"/>
                <w:numId w:val="37"/>
              </w:numPr>
              <w:spacing w:line="240" w:lineRule="auto"/>
              <w:ind w:left="183" w:hanging="180"/>
              <w:rPr>
                <w:rFonts w:cs="Calibri"/>
                <w:sz w:val="20"/>
                <w:szCs w:val="20"/>
                <w:lang w:val="en-US"/>
              </w:rPr>
            </w:pPr>
            <w:r w:rsidRPr="00742767">
              <w:rPr>
                <w:rFonts w:cs="Calibri"/>
                <w:sz w:val="20"/>
                <w:szCs w:val="20"/>
                <w:lang w:val="en-US"/>
              </w:rPr>
              <w:t>Established Agency for Regional and Local Development</w:t>
            </w:r>
          </w:p>
          <w:p w14:paraId="78326B68" w14:textId="011E5A5B" w:rsidR="004C665D" w:rsidRPr="00742767" w:rsidRDefault="004C665D" w:rsidP="00742767">
            <w:pPr>
              <w:pStyle w:val="ListParagraph"/>
              <w:numPr>
                <w:ilvl w:val="0"/>
                <w:numId w:val="37"/>
              </w:numPr>
              <w:spacing w:line="240" w:lineRule="auto"/>
              <w:ind w:left="183" w:hanging="180"/>
              <w:rPr>
                <w:rFonts w:cs="Calibri"/>
                <w:sz w:val="20"/>
                <w:szCs w:val="20"/>
                <w:lang w:val="en-US"/>
              </w:rPr>
            </w:pPr>
            <w:r w:rsidRPr="00742767">
              <w:rPr>
                <w:rFonts w:cs="Calibri"/>
                <w:sz w:val="20"/>
                <w:szCs w:val="20"/>
                <w:lang w:val="en-US"/>
              </w:rPr>
              <w:t>Established municipal development index</w:t>
            </w:r>
          </w:p>
        </w:tc>
      </w:tr>
      <w:tr w:rsidR="005C4562" w:rsidRPr="008C761D" w14:paraId="708B5D34" w14:textId="77777777" w:rsidTr="00BA5E44">
        <w:tc>
          <w:tcPr>
            <w:tcW w:w="2518" w:type="dxa"/>
            <w:tcBorders>
              <w:top w:val="single" w:sz="4" w:space="0" w:color="FFFFFF"/>
              <w:bottom w:val="single" w:sz="4" w:space="0" w:color="FFFFFF"/>
            </w:tcBorders>
            <w:shd w:val="clear" w:color="auto" w:fill="2F5496"/>
          </w:tcPr>
          <w:p w14:paraId="1EFD2818" w14:textId="04E152DE"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8D2563">
              <w:rPr>
                <w:rFonts w:cs="Calibri"/>
                <w:b/>
                <w:color w:val="FFFFFF"/>
                <w:sz w:val="20"/>
                <w:szCs w:val="20"/>
              </w:rPr>
              <w:t xml:space="preserve"> </w:t>
            </w:r>
            <w:r w:rsidR="008D2563">
              <w:rPr>
                <w:rFonts w:cs="Calibri"/>
                <w:b/>
                <w:color w:val="FFFFFF"/>
                <w:sz w:val="20"/>
                <w:szCs w:val="20"/>
                <w:lang w:val="en-US"/>
              </w:rPr>
              <w:t>implications</w:t>
            </w:r>
            <w:r w:rsidRPr="008C761D">
              <w:rPr>
                <w:rFonts w:cs="Calibri"/>
                <w:b/>
                <w:color w:val="FFFFFF"/>
                <w:sz w:val="20"/>
                <w:szCs w:val="20"/>
                <w:lang w:val="en-US"/>
              </w:rPr>
              <w:t>:</w:t>
            </w:r>
            <w:r w:rsidRPr="008C761D">
              <w:rPr>
                <w:rFonts w:cs="Calibri"/>
                <w:color w:val="FFFFFF"/>
                <w:sz w:val="20"/>
                <w:szCs w:val="20"/>
                <w:lang w:val="en-US"/>
              </w:rPr>
              <w:tab/>
            </w:r>
          </w:p>
        </w:tc>
        <w:tc>
          <w:tcPr>
            <w:tcW w:w="6246" w:type="dxa"/>
            <w:tcBorders>
              <w:top w:val="single" w:sz="4" w:space="0" w:color="FFFFFF"/>
              <w:bottom w:val="single" w:sz="4" w:space="0" w:color="FFFFFF"/>
            </w:tcBorders>
            <w:shd w:val="clear" w:color="auto" w:fill="D9E2F3"/>
          </w:tcPr>
          <w:p w14:paraId="70F7E14E" w14:textId="74287DA3" w:rsidR="005C4562" w:rsidRPr="008C761D" w:rsidRDefault="005C4562" w:rsidP="004C665D">
            <w:pPr>
              <w:spacing w:line="240" w:lineRule="auto"/>
              <w:jc w:val="both"/>
              <w:rPr>
                <w:rFonts w:cs="Calibri"/>
                <w:sz w:val="20"/>
                <w:szCs w:val="20"/>
                <w:lang w:val="en-US"/>
              </w:rPr>
            </w:pPr>
            <w:r w:rsidRPr="008C761D">
              <w:rPr>
                <w:rFonts w:cs="Calibri"/>
                <w:sz w:val="20"/>
                <w:szCs w:val="20"/>
                <w:lang w:val="en-US"/>
              </w:rPr>
              <w:t xml:space="preserve">EUR </w:t>
            </w:r>
            <w:r w:rsidR="004C665D" w:rsidRPr="008C761D">
              <w:rPr>
                <w:rFonts w:cs="Calibri"/>
                <w:sz w:val="20"/>
                <w:szCs w:val="20"/>
                <w:lang w:val="en-US"/>
              </w:rPr>
              <w:t>100,000</w:t>
            </w:r>
          </w:p>
        </w:tc>
      </w:tr>
      <w:tr w:rsidR="005C4562" w:rsidRPr="008C761D" w14:paraId="56852CDA" w14:textId="77777777" w:rsidTr="00BA5E44">
        <w:tc>
          <w:tcPr>
            <w:tcW w:w="2518" w:type="dxa"/>
            <w:tcBorders>
              <w:top w:val="single" w:sz="4" w:space="0" w:color="FFFFFF"/>
              <w:bottom w:val="single" w:sz="4" w:space="0" w:color="FFFFFF"/>
            </w:tcBorders>
            <w:shd w:val="clear" w:color="auto" w:fill="2F5496"/>
          </w:tcPr>
          <w:p w14:paraId="2D837513"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Responsible entity:</w:t>
            </w:r>
          </w:p>
        </w:tc>
        <w:tc>
          <w:tcPr>
            <w:tcW w:w="6246" w:type="dxa"/>
            <w:tcBorders>
              <w:top w:val="single" w:sz="4" w:space="0" w:color="FFFFFF"/>
              <w:bottom w:val="single" w:sz="4" w:space="0" w:color="FFFFFF"/>
            </w:tcBorders>
            <w:shd w:val="clear" w:color="auto" w:fill="D9E2F3"/>
          </w:tcPr>
          <w:p w14:paraId="272F2402" w14:textId="77777777" w:rsidR="005C4562" w:rsidRPr="008C761D" w:rsidRDefault="005C4562" w:rsidP="00E84CD0">
            <w:pPr>
              <w:spacing w:line="240" w:lineRule="auto"/>
              <w:jc w:val="both"/>
              <w:rPr>
                <w:rFonts w:cs="Calibri"/>
                <w:sz w:val="20"/>
                <w:szCs w:val="20"/>
                <w:lang w:val="en-US"/>
              </w:rPr>
            </w:pPr>
            <w:r w:rsidRPr="008C761D">
              <w:rPr>
                <w:rFonts w:cs="Calibri"/>
                <w:sz w:val="20"/>
                <w:szCs w:val="20"/>
                <w:lang w:val="en-US"/>
              </w:rPr>
              <w:t>Ministry of Local Government</w:t>
            </w:r>
            <w:r w:rsidR="004C665D" w:rsidRPr="008C761D">
              <w:rPr>
                <w:rFonts w:cs="Calibri"/>
                <w:sz w:val="20"/>
                <w:szCs w:val="20"/>
                <w:lang w:val="en-US"/>
              </w:rPr>
              <w:t>, ZELS, State statistic office, MF, etc</w:t>
            </w:r>
          </w:p>
        </w:tc>
      </w:tr>
      <w:tr w:rsidR="005C4562" w:rsidRPr="008C761D" w14:paraId="2C29D55E" w14:textId="77777777" w:rsidTr="00BA5E44">
        <w:tc>
          <w:tcPr>
            <w:tcW w:w="2518" w:type="dxa"/>
            <w:tcBorders>
              <w:top w:val="single" w:sz="4" w:space="0" w:color="FFFFFF"/>
              <w:bottom w:val="nil"/>
            </w:tcBorders>
            <w:shd w:val="clear" w:color="auto" w:fill="2F5496"/>
          </w:tcPr>
          <w:p w14:paraId="4E169604"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246" w:type="dxa"/>
            <w:tcBorders>
              <w:top w:val="single" w:sz="4" w:space="0" w:color="FFFFFF"/>
              <w:bottom w:val="nil"/>
            </w:tcBorders>
            <w:shd w:val="clear" w:color="auto" w:fill="D9E2F3"/>
          </w:tcPr>
          <w:p w14:paraId="5385E3BB" w14:textId="77777777" w:rsidR="00BD26CB" w:rsidRPr="008C761D" w:rsidRDefault="00BD26CB" w:rsidP="00742767">
            <w:pPr>
              <w:numPr>
                <w:ilvl w:val="0"/>
                <w:numId w:val="62"/>
              </w:numPr>
              <w:spacing w:after="0" w:line="240" w:lineRule="auto"/>
              <w:ind w:left="183" w:hanging="180"/>
              <w:jc w:val="both"/>
              <w:rPr>
                <w:rFonts w:cs="Calibri"/>
                <w:sz w:val="20"/>
                <w:szCs w:val="20"/>
                <w:lang w:val="en-US"/>
              </w:rPr>
            </w:pPr>
            <w:r w:rsidRPr="008C761D">
              <w:rPr>
                <w:rFonts w:cs="Calibri"/>
                <w:sz w:val="20"/>
                <w:szCs w:val="20"/>
                <w:lang w:val="en-US"/>
              </w:rPr>
              <w:t xml:space="preserve">Insufficient interest of the top management, </w:t>
            </w:r>
          </w:p>
          <w:p w14:paraId="527E5353" w14:textId="77777777" w:rsidR="00BD26CB" w:rsidRPr="008C761D" w:rsidRDefault="00BD26CB" w:rsidP="00742767">
            <w:pPr>
              <w:numPr>
                <w:ilvl w:val="0"/>
                <w:numId w:val="62"/>
              </w:numPr>
              <w:spacing w:after="0" w:line="240" w:lineRule="auto"/>
              <w:ind w:left="183" w:hanging="180"/>
              <w:jc w:val="both"/>
              <w:rPr>
                <w:rFonts w:cs="Calibri"/>
                <w:sz w:val="20"/>
                <w:szCs w:val="20"/>
                <w:lang w:val="en-US"/>
              </w:rPr>
            </w:pPr>
            <w:r w:rsidRPr="008C761D">
              <w:rPr>
                <w:rFonts w:cs="Calibri"/>
                <w:sz w:val="20"/>
                <w:szCs w:val="20"/>
                <w:lang w:val="en-US"/>
              </w:rPr>
              <w:t>Political risks - untimely constitution of the Government and the Assembly of the RNM</w:t>
            </w:r>
          </w:p>
          <w:p w14:paraId="534F818D" w14:textId="2142E5AA" w:rsidR="005C4562" w:rsidRPr="008C761D" w:rsidRDefault="00BD26CB" w:rsidP="00742767">
            <w:pPr>
              <w:numPr>
                <w:ilvl w:val="0"/>
                <w:numId w:val="62"/>
              </w:numPr>
              <w:spacing w:after="0" w:line="240" w:lineRule="auto"/>
              <w:ind w:left="183" w:hanging="180"/>
              <w:jc w:val="both"/>
              <w:rPr>
                <w:rFonts w:cs="Calibri"/>
                <w:sz w:val="20"/>
                <w:szCs w:val="20"/>
                <w:lang w:val="en-US"/>
              </w:rPr>
            </w:pPr>
            <w:r w:rsidRPr="008C761D">
              <w:rPr>
                <w:rFonts w:cs="Calibri"/>
                <w:sz w:val="20"/>
                <w:szCs w:val="20"/>
                <w:lang w:val="en-US"/>
              </w:rPr>
              <w:t>Insufficient human capacity to implement the planned activities</w:t>
            </w:r>
          </w:p>
        </w:tc>
      </w:tr>
    </w:tbl>
    <w:p w14:paraId="693C1D5F" w14:textId="77777777" w:rsidR="005C4562" w:rsidRPr="008C761D" w:rsidRDefault="005C4562" w:rsidP="00E84CD0">
      <w:pPr>
        <w:spacing w:line="240" w:lineRule="auto"/>
        <w:jc w:val="both"/>
        <w:rPr>
          <w:rFonts w:cs="Calibri"/>
          <w:lang w:val="en-US"/>
        </w:rPr>
      </w:pPr>
    </w:p>
    <w:p w14:paraId="423FAC9D" w14:textId="77777777" w:rsidR="005C4562" w:rsidRPr="00742767" w:rsidRDefault="005C4562" w:rsidP="00B24B05">
      <w:pPr>
        <w:pStyle w:val="Heading1"/>
        <w:rPr>
          <w:rFonts w:ascii="Calibri" w:eastAsia="MS PGothic" w:hAnsi="Calibri" w:cs="Calibri"/>
          <w:color w:val="2F5496"/>
          <w:sz w:val="28"/>
          <w:szCs w:val="28"/>
          <w:lang w:val="en-US"/>
        </w:rPr>
      </w:pPr>
      <w:r w:rsidRPr="008C761D">
        <w:rPr>
          <w:rFonts w:eastAsia="MS PGothic"/>
          <w:lang w:val="en-US"/>
        </w:rPr>
        <w:br w:type="page"/>
      </w:r>
      <w:bookmarkStart w:id="76" w:name="_Toc160611835"/>
      <w:r w:rsidRPr="00742767">
        <w:rPr>
          <w:rFonts w:ascii="Calibri" w:eastAsia="MS PGothic" w:hAnsi="Calibri" w:cs="Calibri"/>
          <w:color w:val="2F5496"/>
          <w:sz w:val="28"/>
          <w:szCs w:val="28"/>
          <w:lang w:val="en-US"/>
        </w:rPr>
        <w:lastRenderedPageBreak/>
        <w:t>Priority 2: Financial discipline, transparency and accountability on local level</w:t>
      </w:r>
      <w:bookmarkEnd w:id="76"/>
    </w:p>
    <w:p w14:paraId="1FCDDA7B"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Objective</w:t>
      </w:r>
    </w:p>
    <w:p w14:paraId="37435330" w14:textId="77777777" w:rsidR="005C4562" w:rsidRPr="008C761D" w:rsidRDefault="005C4562" w:rsidP="00E84CD0">
      <w:pPr>
        <w:spacing w:line="240" w:lineRule="auto"/>
        <w:jc w:val="both"/>
        <w:rPr>
          <w:rFonts w:cs="Calibri"/>
          <w:lang w:val="en-US"/>
        </w:rPr>
      </w:pPr>
      <w:r w:rsidRPr="008C761D">
        <w:rPr>
          <w:rFonts w:cs="Calibri"/>
          <w:lang w:val="en-US"/>
        </w:rPr>
        <w:t>Strengthened financial discipline, greater transparency and accountability of local government.</w:t>
      </w:r>
    </w:p>
    <w:p w14:paraId="2CDB1C40" w14:textId="77777777" w:rsidR="005C4562" w:rsidRPr="008C761D" w:rsidRDefault="005C4562" w:rsidP="00E84CD0">
      <w:pPr>
        <w:spacing w:line="240" w:lineRule="auto"/>
        <w:jc w:val="both"/>
        <w:rPr>
          <w:rFonts w:cs="Calibri"/>
          <w:lang w:val="en-US"/>
        </w:rPr>
      </w:pPr>
      <w:r w:rsidRPr="008C761D">
        <w:rPr>
          <w:rFonts w:cs="Calibri"/>
          <w:lang w:val="en-US"/>
        </w:rPr>
        <w:t>Objective of this priority will be achieved through the following measures and activities:</w:t>
      </w:r>
    </w:p>
    <w:tbl>
      <w:tblPr>
        <w:tblW w:w="8207" w:type="dxa"/>
        <w:tblInd w:w="548" w:type="dxa"/>
        <w:tblLook w:val="01E0" w:firstRow="1" w:lastRow="1" w:firstColumn="1" w:lastColumn="1" w:noHBand="0" w:noVBand="0"/>
      </w:tblPr>
      <w:tblGrid>
        <w:gridCol w:w="1714"/>
        <w:gridCol w:w="6426"/>
        <w:gridCol w:w="67"/>
      </w:tblGrid>
      <w:tr w:rsidR="005C4562" w:rsidRPr="008C761D" w14:paraId="709D9372" w14:textId="77777777" w:rsidTr="00BA5E44">
        <w:trPr>
          <w:gridAfter w:val="1"/>
          <w:wAfter w:w="67" w:type="dxa"/>
        </w:trPr>
        <w:tc>
          <w:tcPr>
            <w:tcW w:w="1714" w:type="dxa"/>
            <w:shd w:val="clear" w:color="auto" w:fill="auto"/>
          </w:tcPr>
          <w:p w14:paraId="6CD7857C" w14:textId="77777777" w:rsidR="005C4562" w:rsidRPr="008C761D" w:rsidRDefault="005C4562" w:rsidP="00E84CD0">
            <w:pPr>
              <w:spacing w:line="240" w:lineRule="auto"/>
              <w:jc w:val="both"/>
              <w:rPr>
                <w:rFonts w:cs="Calibri"/>
                <w:b/>
                <w:lang w:val="en-US"/>
              </w:rPr>
            </w:pPr>
            <w:r w:rsidRPr="008C761D">
              <w:rPr>
                <w:rFonts w:cs="Calibri"/>
                <w:b/>
                <w:lang w:val="en-US"/>
              </w:rPr>
              <w:t>Measure 1:</w:t>
            </w:r>
          </w:p>
        </w:tc>
        <w:tc>
          <w:tcPr>
            <w:tcW w:w="6426" w:type="dxa"/>
            <w:shd w:val="clear" w:color="auto" w:fill="auto"/>
          </w:tcPr>
          <w:p w14:paraId="2328D5C4" w14:textId="77777777" w:rsidR="005C4562" w:rsidRPr="008C761D" w:rsidRDefault="005C4562" w:rsidP="00E84CD0">
            <w:pPr>
              <w:spacing w:line="240" w:lineRule="auto"/>
              <w:jc w:val="both"/>
              <w:rPr>
                <w:rFonts w:cs="Calibri"/>
                <w:b/>
                <w:lang w:val="en-US"/>
              </w:rPr>
            </w:pPr>
            <w:r w:rsidRPr="008C761D">
              <w:rPr>
                <w:rFonts w:cs="Calibri"/>
                <w:b/>
                <w:lang w:val="en-US"/>
              </w:rPr>
              <w:t>Increasing the financial discipline</w:t>
            </w:r>
            <w:r w:rsidRPr="008C761D">
              <w:rPr>
                <w:rFonts w:cs="Calibri"/>
                <w:b/>
                <w:lang w:val="en-US"/>
              </w:rPr>
              <w:tab/>
            </w:r>
          </w:p>
        </w:tc>
      </w:tr>
      <w:tr w:rsidR="005C4562" w:rsidRPr="008C761D" w14:paraId="027503B8" w14:textId="77777777" w:rsidTr="00BA5E44">
        <w:trPr>
          <w:trHeight w:val="368"/>
        </w:trPr>
        <w:tc>
          <w:tcPr>
            <w:tcW w:w="1714" w:type="dxa"/>
            <w:shd w:val="clear" w:color="auto" w:fill="auto"/>
          </w:tcPr>
          <w:p w14:paraId="682E750C" w14:textId="77777777" w:rsidR="005C4562" w:rsidRPr="008C761D" w:rsidRDefault="005C4562" w:rsidP="00E84CD0">
            <w:pPr>
              <w:spacing w:line="240" w:lineRule="auto"/>
              <w:jc w:val="both"/>
              <w:rPr>
                <w:rFonts w:cs="Calibri"/>
                <w:lang w:val="en-US"/>
              </w:rPr>
            </w:pPr>
            <w:r w:rsidRPr="008C761D">
              <w:rPr>
                <w:rFonts w:cs="Calibri"/>
                <w:lang w:val="en-US"/>
              </w:rPr>
              <w:t>Activity 1:</w:t>
            </w:r>
          </w:p>
        </w:tc>
        <w:tc>
          <w:tcPr>
            <w:tcW w:w="6493" w:type="dxa"/>
            <w:gridSpan w:val="2"/>
            <w:shd w:val="clear" w:color="auto" w:fill="auto"/>
          </w:tcPr>
          <w:p w14:paraId="594D3848" w14:textId="1E71704B" w:rsidR="005C4562" w:rsidRPr="008C761D" w:rsidRDefault="004C665D" w:rsidP="00E84CD0">
            <w:pPr>
              <w:spacing w:line="240" w:lineRule="auto"/>
              <w:jc w:val="both"/>
              <w:rPr>
                <w:rFonts w:cs="Calibri"/>
                <w:lang w:val="en-US"/>
              </w:rPr>
            </w:pPr>
            <w:r w:rsidRPr="008C761D">
              <w:rPr>
                <w:rFonts w:cs="Calibri"/>
                <w:lang w:val="en-US"/>
              </w:rPr>
              <w:t>Trainings for strengthening the capacities of the employees in the municipalities for realistic planning of the revenues and expenses of the municipalities</w:t>
            </w:r>
            <w:r w:rsidR="005C4562" w:rsidRPr="008C761D">
              <w:rPr>
                <w:rFonts w:cs="Calibri"/>
                <w:lang w:val="en-US"/>
              </w:rPr>
              <w:t xml:space="preserve">; </w:t>
            </w:r>
          </w:p>
        </w:tc>
      </w:tr>
      <w:tr w:rsidR="005C4562" w:rsidRPr="008C761D" w14:paraId="4236BB78" w14:textId="77777777" w:rsidTr="00BA5E44">
        <w:tc>
          <w:tcPr>
            <w:tcW w:w="1714" w:type="dxa"/>
            <w:shd w:val="clear" w:color="auto" w:fill="auto"/>
          </w:tcPr>
          <w:p w14:paraId="5E1C49FD" w14:textId="77777777" w:rsidR="005C4562" w:rsidRPr="008C761D" w:rsidRDefault="005C4562" w:rsidP="00E84CD0">
            <w:pPr>
              <w:spacing w:line="240" w:lineRule="auto"/>
              <w:jc w:val="both"/>
              <w:rPr>
                <w:rFonts w:cs="Calibri"/>
                <w:lang w:val="en-US"/>
              </w:rPr>
            </w:pPr>
            <w:r w:rsidRPr="008C761D">
              <w:rPr>
                <w:rFonts w:cs="Calibri"/>
                <w:lang w:val="en-US"/>
              </w:rPr>
              <w:t>Activity 2:</w:t>
            </w:r>
          </w:p>
        </w:tc>
        <w:tc>
          <w:tcPr>
            <w:tcW w:w="6493" w:type="dxa"/>
            <w:gridSpan w:val="2"/>
            <w:shd w:val="clear" w:color="auto" w:fill="auto"/>
          </w:tcPr>
          <w:p w14:paraId="7E4F45D3" w14:textId="00EDB64E" w:rsidR="005C4562" w:rsidRPr="008C761D" w:rsidRDefault="004C665D" w:rsidP="00E84CD0">
            <w:pPr>
              <w:spacing w:line="240" w:lineRule="auto"/>
              <w:jc w:val="both"/>
              <w:rPr>
                <w:rFonts w:cs="Calibri"/>
                <w:lang w:val="en-US"/>
              </w:rPr>
            </w:pPr>
            <w:r w:rsidRPr="008C761D">
              <w:rPr>
                <w:rFonts w:cs="Calibri"/>
                <w:lang w:val="en-US"/>
              </w:rPr>
              <w:t>Strengthening the capacity of employees in the budget department of the local self-government unit</w:t>
            </w:r>
            <w:r w:rsidR="005C4562" w:rsidRPr="008C761D">
              <w:rPr>
                <w:rFonts w:cs="Calibri"/>
                <w:lang w:val="en-US"/>
              </w:rPr>
              <w:t xml:space="preserve">; </w:t>
            </w:r>
          </w:p>
        </w:tc>
      </w:tr>
      <w:tr w:rsidR="005C4562" w:rsidRPr="008C761D" w14:paraId="6BE42616" w14:textId="77777777" w:rsidTr="00BA5E44">
        <w:tc>
          <w:tcPr>
            <w:tcW w:w="1714" w:type="dxa"/>
            <w:shd w:val="clear" w:color="auto" w:fill="auto"/>
          </w:tcPr>
          <w:p w14:paraId="48C2C256" w14:textId="77777777" w:rsidR="005C4562" w:rsidRPr="008C761D" w:rsidRDefault="005C4562" w:rsidP="00E84CD0">
            <w:pPr>
              <w:spacing w:line="240" w:lineRule="auto"/>
              <w:jc w:val="both"/>
              <w:rPr>
                <w:rFonts w:cs="Calibri"/>
                <w:lang w:val="en-US"/>
              </w:rPr>
            </w:pPr>
            <w:r w:rsidRPr="008C761D">
              <w:rPr>
                <w:rFonts w:cs="Calibri"/>
                <w:lang w:val="en-US"/>
              </w:rPr>
              <w:t>Activity 3:</w:t>
            </w:r>
          </w:p>
        </w:tc>
        <w:tc>
          <w:tcPr>
            <w:tcW w:w="6493" w:type="dxa"/>
            <w:gridSpan w:val="2"/>
            <w:shd w:val="clear" w:color="auto" w:fill="auto"/>
          </w:tcPr>
          <w:p w14:paraId="72A62B9D" w14:textId="5801006E" w:rsidR="005C4562" w:rsidRPr="008C761D" w:rsidRDefault="004C665D" w:rsidP="00E84CD0">
            <w:pPr>
              <w:spacing w:line="240" w:lineRule="auto"/>
              <w:jc w:val="both"/>
              <w:rPr>
                <w:rFonts w:cs="Calibri"/>
                <w:lang w:val="en-US"/>
              </w:rPr>
            </w:pPr>
            <w:r w:rsidRPr="008C761D">
              <w:rPr>
                <w:rFonts w:cs="Calibri"/>
                <w:lang w:val="en-US"/>
              </w:rPr>
              <w:t xml:space="preserve">Decreasing current expenses and increasing capital expenses in the structure of total expenses by establishing performance </w:t>
            </w:r>
            <w:r w:rsidR="00FD1416" w:rsidRPr="008C761D">
              <w:rPr>
                <w:rFonts w:cs="Calibri"/>
                <w:lang w:val="en-US"/>
              </w:rPr>
              <w:t>indicators;</w:t>
            </w:r>
            <w:r w:rsidR="005C4562" w:rsidRPr="008C761D">
              <w:rPr>
                <w:rFonts w:cs="Calibri"/>
                <w:lang w:val="en-US"/>
              </w:rPr>
              <w:t xml:space="preserve"> </w:t>
            </w:r>
          </w:p>
        </w:tc>
      </w:tr>
      <w:tr w:rsidR="004C665D" w:rsidRPr="008C761D" w14:paraId="77794C25" w14:textId="77777777" w:rsidTr="00BA5E44">
        <w:tc>
          <w:tcPr>
            <w:tcW w:w="1714" w:type="dxa"/>
            <w:shd w:val="clear" w:color="auto" w:fill="auto"/>
          </w:tcPr>
          <w:p w14:paraId="2A96042B" w14:textId="77777777" w:rsidR="004C665D" w:rsidRPr="008C761D" w:rsidRDefault="004C665D" w:rsidP="00E84CD0">
            <w:pPr>
              <w:spacing w:line="240" w:lineRule="auto"/>
              <w:jc w:val="both"/>
              <w:rPr>
                <w:rFonts w:cs="Calibri"/>
                <w:lang w:val="en-US"/>
              </w:rPr>
            </w:pPr>
            <w:r w:rsidRPr="008C761D">
              <w:rPr>
                <w:rFonts w:cs="Calibri"/>
                <w:lang w:val="en-US"/>
              </w:rPr>
              <w:t>Activity 4:</w:t>
            </w:r>
          </w:p>
        </w:tc>
        <w:tc>
          <w:tcPr>
            <w:tcW w:w="6493" w:type="dxa"/>
            <w:gridSpan w:val="2"/>
            <w:shd w:val="clear" w:color="auto" w:fill="auto"/>
          </w:tcPr>
          <w:p w14:paraId="582AA7EE" w14:textId="77777777" w:rsidR="004C665D" w:rsidRPr="008C761D" w:rsidRDefault="004C665D" w:rsidP="00E84CD0">
            <w:pPr>
              <w:spacing w:line="240" w:lineRule="auto"/>
              <w:jc w:val="both"/>
              <w:rPr>
                <w:rFonts w:cs="Calibri"/>
                <w:lang w:val="en-US"/>
              </w:rPr>
            </w:pPr>
            <w:r w:rsidRPr="008C761D">
              <w:rPr>
                <w:rFonts w:cs="Calibri"/>
                <w:lang w:val="en-US"/>
              </w:rPr>
              <w:t>New Law on unpaid obligations of the municipalities</w:t>
            </w:r>
          </w:p>
        </w:tc>
      </w:tr>
      <w:tr w:rsidR="005C4562" w:rsidRPr="008C761D" w14:paraId="66BDCE0A" w14:textId="77777777" w:rsidTr="00BA5E44">
        <w:tc>
          <w:tcPr>
            <w:tcW w:w="1714" w:type="dxa"/>
            <w:shd w:val="clear" w:color="auto" w:fill="auto"/>
          </w:tcPr>
          <w:p w14:paraId="036B1CDC" w14:textId="77777777" w:rsidR="005C4562" w:rsidRPr="008C761D" w:rsidRDefault="005C4562" w:rsidP="00E84CD0">
            <w:pPr>
              <w:spacing w:line="240" w:lineRule="auto"/>
              <w:jc w:val="both"/>
              <w:rPr>
                <w:rFonts w:cs="Calibri"/>
                <w:b/>
                <w:lang w:val="en-US"/>
              </w:rPr>
            </w:pPr>
            <w:r w:rsidRPr="008C761D">
              <w:rPr>
                <w:rFonts w:cs="Calibri"/>
                <w:b/>
                <w:lang w:val="en-US"/>
              </w:rPr>
              <w:t>Measure 2:</w:t>
            </w:r>
          </w:p>
        </w:tc>
        <w:tc>
          <w:tcPr>
            <w:tcW w:w="6493" w:type="dxa"/>
            <w:gridSpan w:val="2"/>
            <w:shd w:val="clear" w:color="auto" w:fill="auto"/>
          </w:tcPr>
          <w:p w14:paraId="3F3EC950" w14:textId="77777777" w:rsidR="005C4562" w:rsidRPr="008C761D" w:rsidRDefault="005C4562" w:rsidP="00E84CD0">
            <w:pPr>
              <w:spacing w:line="240" w:lineRule="auto"/>
              <w:jc w:val="both"/>
              <w:rPr>
                <w:rFonts w:cs="Calibri"/>
                <w:b/>
                <w:lang w:val="en-US"/>
              </w:rPr>
            </w:pPr>
            <w:r w:rsidRPr="008C761D">
              <w:rPr>
                <w:rFonts w:cs="Calibri"/>
                <w:b/>
                <w:lang w:val="en-US"/>
              </w:rPr>
              <w:t>Increasing the transparency and accountability throughout the operations of the municipalities</w:t>
            </w:r>
          </w:p>
        </w:tc>
      </w:tr>
      <w:tr w:rsidR="005C4562" w:rsidRPr="008C761D" w14:paraId="5CEE0999" w14:textId="77777777" w:rsidTr="00BA5E44">
        <w:trPr>
          <w:trHeight w:val="407"/>
        </w:trPr>
        <w:tc>
          <w:tcPr>
            <w:tcW w:w="1714" w:type="dxa"/>
            <w:shd w:val="clear" w:color="auto" w:fill="auto"/>
          </w:tcPr>
          <w:p w14:paraId="1A963685" w14:textId="77777777" w:rsidR="005C4562" w:rsidRPr="008C761D" w:rsidRDefault="005C4562" w:rsidP="00E84CD0">
            <w:pPr>
              <w:spacing w:line="240" w:lineRule="auto"/>
              <w:jc w:val="both"/>
              <w:rPr>
                <w:rFonts w:cs="Calibri"/>
                <w:lang w:val="en-US"/>
              </w:rPr>
            </w:pPr>
            <w:r w:rsidRPr="008C761D">
              <w:rPr>
                <w:rFonts w:cs="Calibri"/>
                <w:lang w:val="en-US"/>
              </w:rPr>
              <w:t>Activity 1:</w:t>
            </w:r>
          </w:p>
        </w:tc>
        <w:tc>
          <w:tcPr>
            <w:tcW w:w="6493" w:type="dxa"/>
            <w:gridSpan w:val="2"/>
            <w:shd w:val="clear" w:color="auto" w:fill="auto"/>
          </w:tcPr>
          <w:p w14:paraId="0FB63A7A" w14:textId="370AE792" w:rsidR="005C4562" w:rsidRPr="008C761D" w:rsidRDefault="00DC61E5" w:rsidP="008208F0">
            <w:pPr>
              <w:spacing w:line="240" w:lineRule="auto"/>
              <w:jc w:val="both"/>
              <w:rPr>
                <w:rFonts w:cs="Calibri"/>
                <w:lang w:val="en-US"/>
              </w:rPr>
            </w:pPr>
            <w:r w:rsidRPr="0018024A">
              <w:rPr>
                <w:rFonts w:cs="Calibri"/>
                <w:lang w:val="en"/>
              </w:rPr>
              <w:t xml:space="preserve">Increasing the </w:t>
            </w:r>
            <w:r>
              <w:rPr>
                <w:rFonts w:cs="Calibri"/>
                <w:lang w:val="en-US"/>
              </w:rPr>
              <w:t>oversight</w:t>
            </w:r>
            <w:r w:rsidRPr="0018024A">
              <w:rPr>
                <w:rFonts w:cs="Calibri"/>
                <w:lang w:val="en"/>
              </w:rPr>
              <w:t xml:space="preserve"> of municipalities for the purposeful spending of</w:t>
            </w:r>
            <w:r>
              <w:rPr>
                <w:rFonts w:cs="Calibri"/>
                <w:lang w:val="en"/>
              </w:rPr>
              <w:t xml:space="preserve"> </w:t>
            </w:r>
            <w:r w:rsidRPr="00987043">
              <w:rPr>
                <w:rFonts w:cs="Calibri"/>
                <w:lang w:val="en"/>
              </w:rPr>
              <w:t>earmarked</w:t>
            </w:r>
            <w:r>
              <w:rPr>
                <w:rFonts w:cs="Calibri"/>
                <w:lang w:val="en"/>
              </w:rPr>
              <w:t>,</w:t>
            </w:r>
            <w:r w:rsidRPr="00987043">
              <w:rPr>
                <w:rFonts w:cs="Calibri"/>
                <w:lang w:val="en"/>
              </w:rPr>
              <w:t xml:space="preserve"> </w:t>
            </w:r>
            <w:r w:rsidRPr="0018024A">
              <w:rPr>
                <w:rFonts w:cs="Calibri"/>
                <w:lang w:val="en"/>
              </w:rPr>
              <w:t>block and capital grants by the competent ministries and institutions</w:t>
            </w:r>
            <w:r w:rsidR="005C4562" w:rsidRPr="008C761D">
              <w:rPr>
                <w:rFonts w:cs="Calibri"/>
                <w:lang w:val="en-US"/>
              </w:rPr>
              <w:t>;</w:t>
            </w:r>
          </w:p>
        </w:tc>
      </w:tr>
      <w:tr w:rsidR="004C665D" w:rsidRPr="008C761D" w14:paraId="580D553A" w14:textId="77777777" w:rsidTr="00BA5E44">
        <w:trPr>
          <w:trHeight w:val="407"/>
        </w:trPr>
        <w:tc>
          <w:tcPr>
            <w:tcW w:w="1714" w:type="dxa"/>
            <w:shd w:val="clear" w:color="auto" w:fill="auto"/>
          </w:tcPr>
          <w:p w14:paraId="32F32406" w14:textId="77777777" w:rsidR="004C665D" w:rsidRPr="008C761D" w:rsidRDefault="004C665D" w:rsidP="00E84CD0">
            <w:pPr>
              <w:spacing w:line="240" w:lineRule="auto"/>
              <w:jc w:val="both"/>
              <w:rPr>
                <w:rFonts w:cs="Calibri"/>
                <w:lang w:val="en-US"/>
              </w:rPr>
            </w:pPr>
            <w:r w:rsidRPr="008C761D">
              <w:rPr>
                <w:rFonts w:cs="Calibri"/>
                <w:lang w:val="en-US"/>
              </w:rPr>
              <w:t>Activity 2:</w:t>
            </w:r>
          </w:p>
        </w:tc>
        <w:tc>
          <w:tcPr>
            <w:tcW w:w="6493" w:type="dxa"/>
            <w:gridSpan w:val="2"/>
            <w:shd w:val="clear" w:color="auto" w:fill="auto"/>
          </w:tcPr>
          <w:p w14:paraId="34B9D42B" w14:textId="77777777" w:rsidR="004C665D" w:rsidRPr="008C761D" w:rsidRDefault="004C665D" w:rsidP="00E84CD0">
            <w:pPr>
              <w:spacing w:line="240" w:lineRule="auto"/>
              <w:jc w:val="both"/>
              <w:rPr>
                <w:rFonts w:cs="Calibri"/>
                <w:lang w:val="en-US"/>
              </w:rPr>
            </w:pPr>
            <w:r w:rsidRPr="008C761D">
              <w:rPr>
                <w:rFonts w:cs="Calibri"/>
                <w:lang w:val="en-US"/>
              </w:rPr>
              <w:t>Monitoring the transparency of the municipalities in order to timely inform the general public;</w:t>
            </w:r>
          </w:p>
        </w:tc>
      </w:tr>
      <w:tr w:rsidR="005C4562" w:rsidRPr="008C761D" w14:paraId="78BA1884" w14:textId="77777777" w:rsidTr="00BA5E44">
        <w:tc>
          <w:tcPr>
            <w:tcW w:w="1714" w:type="dxa"/>
            <w:shd w:val="clear" w:color="auto" w:fill="auto"/>
          </w:tcPr>
          <w:p w14:paraId="128B8996" w14:textId="5AB72D13" w:rsidR="005C4562" w:rsidRPr="008C761D" w:rsidRDefault="005C4562" w:rsidP="004C665D">
            <w:pPr>
              <w:spacing w:line="240" w:lineRule="auto"/>
              <w:jc w:val="both"/>
              <w:rPr>
                <w:rFonts w:cs="Calibri"/>
                <w:lang w:val="en-US"/>
              </w:rPr>
            </w:pPr>
            <w:r w:rsidRPr="008C761D">
              <w:rPr>
                <w:rFonts w:cs="Calibri"/>
                <w:lang w:val="en-US"/>
              </w:rPr>
              <w:t xml:space="preserve">Activity </w:t>
            </w:r>
            <w:r w:rsidR="004C665D" w:rsidRPr="008C761D">
              <w:rPr>
                <w:rFonts w:cs="Calibri"/>
                <w:lang w:val="en-US"/>
              </w:rPr>
              <w:t>3</w:t>
            </w:r>
            <w:r w:rsidRPr="008C761D">
              <w:rPr>
                <w:rFonts w:cs="Calibri"/>
                <w:lang w:val="en-US"/>
              </w:rPr>
              <w:t>:</w:t>
            </w:r>
          </w:p>
        </w:tc>
        <w:tc>
          <w:tcPr>
            <w:tcW w:w="6493" w:type="dxa"/>
            <w:gridSpan w:val="2"/>
            <w:shd w:val="clear" w:color="auto" w:fill="auto"/>
          </w:tcPr>
          <w:p w14:paraId="0E29E81B" w14:textId="4D402A9A" w:rsidR="005C4562" w:rsidRPr="008C761D" w:rsidRDefault="005C4562" w:rsidP="004C665D">
            <w:pPr>
              <w:spacing w:line="240" w:lineRule="auto"/>
              <w:jc w:val="both"/>
              <w:rPr>
                <w:rFonts w:cs="Calibri"/>
                <w:lang w:val="en-US"/>
              </w:rPr>
            </w:pPr>
            <w:r w:rsidRPr="008C761D">
              <w:rPr>
                <w:rFonts w:cs="Calibri"/>
                <w:lang w:val="en-US"/>
              </w:rPr>
              <w:t xml:space="preserve">Improving the transparency </w:t>
            </w:r>
            <w:r w:rsidR="004C665D" w:rsidRPr="008C761D">
              <w:rPr>
                <w:rFonts w:cs="Calibri"/>
                <w:lang w:val="en-US"/>
              </w:rPr>
              <w:t xml:space="preserve">of the Ministry of Finance for the financial </w:t>
            </w:r>
            <w:r w:rsidRPr="008C761D">
              <w:rPr>
                <w:rFonts w:cs="Calibri"/>
                <w:lang w:val="en-US"/>
              </w:rPr>
              <w:t>operations of the municipality</w:t>
            </w:r>
            <w:r w:rsidR="004C665D" w:rsidRPr="008C761D">
              <w:rPr>
                <w:rFonts w:cs="Calibri"/>
                <w:lang w:val="en-US"/>
              </w:rPr>
              <w:t>;</w:t>
            </w:r>
          </w:p>
        </w:tc>
      </w:tr>
      <w:tr w:rsidR="004C665D" w:rsidRPr="008C761D" w14:paraId="63441F2A" w14:textId="77777777" w:rsidTr="00BA5E44">
        <w:tc>
          <w:tcPr>
            <w:tcW w:w="1714" w:type="dxa"/>
            <w:shd w:val="clear" w:color="auto" w:fill="auto"/>
          </w:tcPr>
          <w:p w14:paraId="164B6F73" w14:textId="77777777" w:rsidR="004C665D" w:rsidRPr="008C761D" w:rsidRDefault="004C665D" w:rsidP="00E84CD0">
            <w:pPr>
              <w:spacing w:line="240" w:lineRule="auto"/>
              <w:jc w:val="both"/>
              <w:rPr>
                <w:rFonts w:cs="Calibri"/>
                <w:lang w:val="en-US"/>
              </w:rPr>
            </w:pPr>
            <w:r w:rsidRPr="008C761D">
              <w:rPr>
                <w:rFonts w:cs="Calibri"/>
                <w:lang w:val="en-US"/>
              </w:rPr>
              <w:t>Activity 4:</w:t>
            </w:r>
          </w:p>
        </w:tc>
        <w:tc>
          <w:tcPr>
            <w:tcW w:w="6493" w:type="dxa"/>
            <w:gridSpan w:val="2"/>
            <w:shd w:val="clear" w:color="auto" w:fill="auto"/>
          </w:tcPr>
          <w:p w14:paraId="6B3B76A9" w14:textId="2238C010" w:rsidR="004C665D" w:rsidRPr="008C761D" w:rsidRDefault="004C665D" w:rsidP="00E84CD0">
            <w:pPr>
              <w:spacing w:line="240" w:lineRule="auto"/>
              <w:jc w:val="both"/>
              <w:rPr>
                <w:rFonts w:cs="Calibri"/>
                <w:lang w:val="en-US"/>
              </w:rPr>
            </w:pPr>
            <w:r w:rsidRPr="008C761D">
              <w:rPr>
                <w:rFonts w:cs="Calibri"/>
                <w:lang w:val="en-US"/>
              </w:rPr>
              <w:t xml:space="preserve">Participation of citizens in policy decision making and </w:t>
            </w:r>
            <w:r w:rsidR="00FD1416" w:rsidRPr="008C761D">
              <w:rPr>
                <w:rFonts w:cs="Calibri"/>
                <w:lang w:val="en-US"/>
              </w:rPr>
              <w:t>monitoring</w:t>
            </w:r>
            <w:r w:rsidRPr="008C761D">
              <w:rPr>
                <w:rFonts w:cs="Calibri"/>
                <w:lang w:val="en-US"/>
              </w:rPr>
              <w:t xml:space="preserve"> results. </w:t>
            </w:r>
          </w:p>
        </w:tc>
      </w:tr>
    </w:tbl>
    <w:p w14:paraId="476C6C25"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Outcome</w:t>
      </w:r>
    </w:p>
    <w:p w14:paraId="257D91C6" w14:textId="77777777" w:rsidR="005C4562" w:rsidRPr="008C761D" w:rsidRDefault="005C4562" w:rsidP="00E84CD0">
      <w:pPr>
        <w:spacing w:line="240" w:lineRule="auto"/>
        <w:ind w:left="284"/>
        <w:jc w:val="both"/>
        <w:rPr>
          <w:rFonts w:cs="Calibri"/>
          <w:color w:val="000000"/>
          <w:lang w:val="en-US"/>
        </w:rPr>
      </w:pPr>
      <w:r w:rsidRPr="008C761D">
        <w:rPr>
          <w:rFonts w:cs="Calibri"/>
          <w:color w:val="000000"/>
          <w:lang w:val="en-US"/>
        </w:rPr>
        <w:t>1) Increased financial discipline;</w:t>
      </w:r>
    </w:p>
    <w:p w14:paraId="5D4E1399" w14:textId="77777777" w:rsidR="005C4562" w:rsidRPr="008C761D" w:rsidRDefault="005C4562" w:rsidP="00E84CD0">
      <w:pPr>
        <w:spacing w:line="240" w:lineRule="auto"/>
        <w:ind w:left="284"/>
        <w:jc w:val="both"/>
        <w:rPr>
          <w:rFonts w:cs="Calibri"/>
          <w:color w:val="000000"/>
          <w:lang w:val="en-US"/>
        </w:rPr>
      </w:pPr>
      <w:r w:rsidRPr="008C761D">
        <w:rPr>
          <w:rFonts w:cs="Calibri"/>
          <w:color w:val="000000"/>
          <w:lang w:val="en-US"/>
        </w:rPr>
        <w:t>2) Increased transparency and accountability of municipalities.</w:t>
      </w:r>
    </w:p>
    <w:p w14:paraId="1752B70A"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Outcome indicators</w:t>
      </w:r>
    </w:p>
    <w:p w14:paraId="5B44C808" w14:textId="31AF25D2" w:rsidR="005C4562" w:rsidRPr="008C761D" w:rsidRDefault="005C4562" w:rsidP="003A338C">
      <w:pPr>
        <w:numPr>
          <w:ilvl w:val="0"/>
          <w:numId w:val="88"/>
        </w:numPr>
        <w:spacing w:line="240" w:lineRule="auto"/>
        <w:jc w:val="both"/>
        <w:rPr>
          <w:rFonts w:cs="Calibri"/>
          <w:color w:val="000000"/>
          <w:lang w:val="en-US"/>
        </w:rPr>
      </w:pPr>
      <w:r w:rsidRPr="008C761D">
        <w:rPr>
          <w:rFonts w:cs="Calibri"/>
          <w:color w:val="000000"/>
          <w:lang w:val="en-US"/>
        </w:rPr>
        <w:t>Percentage of reduction of the amount of due unpaid liabilities in the current year compared to 202</w:t>
      </w:r>
      <w:r w:rsidR="00322B19" w:rsidRPr="008C761D">
        <w:rPr>
          <w:rFonts w:cs="Calibri"/>
          <w:color w:val="000000"/>
          <w:lang w:val="en-US"/>
        </w:rPr>
        <w:t>2</w:t>
      </w:r>
      <w:r w:rsidRPr="008C761D">
        <w:rPr>
          <w:rFonts w:cs="Calibr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0CC2E862" w14:textId="77777777" w:rsidTr="002B77A4">
        <w:trPr>
          <w:trHeight w:val="395"/>
        </w:trPr>
        <w:tc>
          <w:tcPr>
            <w:tcW w:w="4608" w:type="dxa"/>
            <w:shd w:val="clear" w:color="auto" w:fill="E8E8E8"/>
          </w:tcPr>
          <w:p w14:paraId="78BACD18"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315B0B07" w14:textId="77777777" w:rsidR="00460ED3" w:rsidRPr="008C761D" w:rsidRDefault="00460ED3" w:rsidP="002B77A4">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04E2CEA1" w14:textId="77777777" w:rsidTr="002B77A4">
        <w:trPr>
          <w:trHeight w:val="278"/>
        </w:trPr>
        <w:tc>
          <w:tcPr>
            <w:tcW w:w="4608" w:type="dxa"/>
            <w:shd w:val="clear" w:color="auto" w:fill="E8E8E8"/>
          </w:tcPr>
          <w:p w14:paraId="2C59AD1A"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Denar 3,698 million</w:t>
            </w:r>
          </w:p>
        </w:tc>
        <w:tc>
          <w:tcPr>
            <w:tcW w:w="4608" w:type="dxa"/>
            <w:shd w:val="clear" w:color="auto" w:fill="E8E8E8"/>
          </w:tcPr>
          <w:p w14:paraId="07528C73" w14:textId="77777777" w:rsidR="00460ED3" w:rsidRPr="008C761D" w:rsidRDefault="003C1602" w:rsidP="002B77A4">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40%</w:t>
            </w:r>
          </w:p>
        </w:tc>
      </w:tr>
    </w:tbl>
    <w:p w14:paraId="0C1DA878" w14:textId="77777777" w:rsidR="00460ED3" w:rsidRPr="008C761D" w:rsidRDefault="00460ED3" w:rsidP="00460ED3">
      <w:pPr>
        <w:spacing w:line="240" w:lineRule="auto"/>
        <w:ind w:left="644"/>
        <w:jc w:val="both"/>
        <w:rPr>
          <w:rFonts w:cs="Calibri"/>
          <w:color w:val="000000"/>
          <w:lang w:val="en-US"/>
        </w:rPr>
      </w:pPr>
    </w:p>
    <w:p w14:paraId="68D4BCFD" w14:textId="274AB4E5" w:rsidR="005C4562" w:rsidRPr="008C761D" w:rsidRDefault="005C4562" w:rsidP="00330707">
      <w:pPr>
        <w:numPr>
          <w:ilvl w:val="0"/>
          <w:numId w:val="88"/>
        </w:numPr>
        <w:spacing w:line="240" w:lineRule="auto"/>
        <w:jc w:val="both"/>
        <w:rPr>
          <w:rFonts w:cs="Calibri"/>
          <w:color w:val="000000"/>
          <w:lang w:val="en-US"/>
        </w:rPr>
      </w:pPr>
      <w:r w:rsidRPr="008C761D">
        <w:rPr>
          <w:rFonts w:cs="Calibri"/>
          <w:color w:val="000000"/>
          <w:lang w:val="en-US"/>
        </w:rPr>
        <w:t>Reduction of the number of municipalities with blocked account in the current year compared to 202</w:t>
      </w:r>
      <w:r w:rsidR="00322B19" w:rsidRPr="008C761D">
        <w:rPr>
          <w:rFonts w:cs="Calibri"/>
          <w:color w:val="000000"/>
          <w:lang w:val="en-US"/>
        </w:rPr>
        <w:t>2</w:t>
      </w:r>
      <w:r w:rsidRPr="008C761D">
        <w:rPr>
          <w:rFonts w:cs="Calibr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51BD9EF8" w14:textId="77777777" w:rsidTr="002B77A4">
        <w:trPr>
          <w:trHeight w:val="395"/>
        </w:trPr>
        <w:tc>
          <w:tcPr>
            <w:tcW w:w="4608" w:type="dxa"/>
            <w:shd w:val="clear" w:color="auto" w:fill="E8E8E8"/>
          </w:tcPr>
          <w:p w14:paraId="446314FF" w14:textId="77777777" w:rsidR="00460ED3" w:rsidRPr="008C761D" w:rsidRDefault="00460ED3" w:rsidP="00330707">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lastRenderedPageBreak/>
              <w:t>Baseline 2022</w:t>
            </w:r>
          </w:p>
        </w:tc>
        <w:tc>
          <w:tcPr>
            <w:tcW w:w="4608" w:type="dxa"/>
            <w:shd w:val="clear" w:color="auto" w:fill="E8E8E8"/>
          </w:tcPr>
          <w:p w14:paraId="2829415F" w14:textId="77777777" w:rsidR="00460ED3" w:rsidRPr="008C761D" w:rsidRDefault="00460ED3" w:rsidP="00330707">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2D18D548" w14:textId="77777777" w:rsidTr="002B77A4">
        <w:trPr>
          <w:trHeight w:val="278"/>
        </w:trPr>
        <w:tc>
          <w:tcPr>
            <w:tcW w:w="4608" w:type="dxa"/>
            <w:shd w:val="clear" w:color="auto" w:fill="E8E8E8"/>
          </w:tcPr>
          <w:p w14:paraId="7288788B" w14:textId="0208CD7C" w:rsidR="00460ED3" w:rsidRPr="008C761D" w:rsidRDefault="00C75160" w:rsidP="00330707">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13 municipalities (average of the number of municipalities with blocked accounts by months, in 2022)</w:t>
            </w:r>
          </w:p>
        </w:tc>
        <w:tc>
          <w:tcPr>
            <w:tcW w:w="4608" w:type="dxa"/>
            <w:shd w:val="clear" w:color="auto" w:fill="E8E8E8"/>
          </w:tcPr>
          <w:p w14:paraId="78854E46" w14:textId="77777777" w:rsidR="00460ED3" w:rsidRPr="008C761D" w:rsidRDefault="003C1602" w:rsidP="00330707">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5</w:t>
            </w:r>
          </w:p>
        </w:tc>
      </w:tr>
    </w:tbl>
    <w:p w14:paraId="2CBAFCC1" w14:textId="77777777" w:rsidR="00460ED3" w:rsidRPr="008C761D" w:rsidRDefault="00460ED3" w:rsidP="00330707">
      <w:pPr>
        <w:spacing w:line="240" w:lineRule="auto"/>
        <w:ind w:left="644"/>
        <w:jc w:val="both"/>
        <w:rPr>
          <w:rFonts w:cs="Calibri"/>
          <w:color w:val="000000"/>
          <w:lang w:val="en-US"/>
        </w:rPr>
      </w:pPr>
    </w:p>
    <w:p w14:paraId="1C7F4A89" w14:textId="77777777" w:rsidR="005C4562" w:rsidRPr="008C761D" w:rsidRDefault="005C4562" w:rsidP="00330707">
      <w:pPr>
        <w:numPr>
          <w:ilvl w:val="0"/>
          <w:numId w:val="88"/>
        </w:numPr>
        <w:spacing w:line="240" w:lineRule="auto"/>
        <w:jc w:val="both"/>
        <w:rPr>
          <w:rFonts w:cs="Calibri"/>
          <w:color w:val="000000"/>
          <w:lang w:val="en-US"/>
        </w:rPr>
      </w:pPr>
      <w:r w:rsidRPr="008C761D">
        <w:rPr>
          <w:rFonts w:cs="Calibri"/>
          <w:color w:val="000000"/>
          <w:lang w:val="en-US"/>
        </w:rPr>
        <w:t>Percentage of municipalities out of the total number of municipalities (81) that have published financial documents (annual, semi-annual and quarterly reports) on their websites.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460ED3" w:rsidRPr="008C761D" w14:paraId="268C1972" w14:textId="77777777" w:rsidTr="002B77A4">
        <w:trPr>
          <w:trHeight w:val="395"/>
        </w:trPr>
        <w:tc>
          <w:tcPr>
            <w:tcW w:w="4608" w:type="dxa"/>
            <w:shd w:val="clear" w:color="auto" w:fill="E8E8E8"/>
          </w:tcPr>
          <w:p w14:paraId="791E1646" w14:textId="77777777" w:rsidR="00460ED3" w:rsidRPr="008C761D" w:rsidRDefault="00460ED3" w:rsidP="00330707">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Baseline 2022</w:t>
            </w:r>
          </w:p>
        </w:tc>
        <w:tc>
          <w:tcPr>
            <w:tcW w:w="4608" w:type="dxa"/>
            <w:shd w:val="clear" w:color="auto" w:fill="E8E8E8"/>
          </w:tcPr>
          <w:p w14:paraId="1249714C" w14:textId="77777777" w:rsidR="00460ED3" w:rsidRPr="008C761D" w:rsidRDefault="00460ED3" w:rsidP="00330707">
            <w:pPr>
              <w:spacing w:line="240" w:lineRule="auto"/>
              <w:jc w:val="both"/>
              <w:rPr>
                <w:rFonts w:eastAsia="Times New Roman" w:cs="Calibri"/>
                <w:b/>
                <w:bCs/>
                <w:i/>
                <w:iCs/>
                <w:color w:val="202124"/>
                <w:sz w:val="20"/>
                <w:szCs w:val="20"/>
                <w:lang w:val="en-US"/>
              </w:rPr>
            </w:pPr>
            <w:r w:rsidRPr="008C761D">
              <w:rPr>
                <w:rFonts w:eastAsia="Times New Roman" w:cs="Calibri"/>
                <w:b/>
                <w:bCs/>
                <w:i/>
                <w:iCs/>
                <w:color w:val="202124"/>
                <w:sz w:val="20"/>
                <w:szCs w:val="20"/>
                <w:lang w:val="en-US"/>
              </w:rPr>
              <w:t>Target 2027</w:t>
            </w:r>
          </w:p>
        </w:tc>
      </w:tr>
      <w:tr w:rsidR="00460ED3" w:rsidRPr="008C761D" w14:paraId="04E8A33E" w14:textId="77777777" w:rsidTr="00330707">
        <w:trPr>
          <w:trHeight w:val="307"/>
        </w:trPr>
        <w:tc>
          <w:tcPr>
            <w:tcW w:w="4608" w:type="dxa"/>
            <w:shd w:val="clear" w:color="auto" w:fill="E8E8E8"/>
          </w:tcPr>
          <w:p w14:paraId="67B90407" w14:textId="70A44CCB" w:rsidR="00460ED3" w:rsidRPr="008C761D" w:rsidRDefault="004C665D" w:rsidP="00330707">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75%</w:t>
            </w:r>
          </w:p>
        </w:tc>
        <w:tc>
          <w:tcPr>
            <w:tcW w:w="4608" w:type="dxa"/>
            <w:shd w:val="clear" w:color="auto" w:fill="E8E8E8"/>
          </w:tcPr>
          <w:p w14:paraId="3FDC63AC" w14:textId="6A22EB66" w:rsidR="00460ED3" w:rsidRPr="008C761D" w:rsidRDefault="004C665D" w:rsidP="00330707">
            <w:pPr>
              <w:spacing w:line="240" w:lineRule="auto"/>
              <w:jc w:val="both"/>
              <w:rPr>
                <w:rFonts w:eastAsia="Times New Roman" w:cs="Calibri"/>
                <w:color w:val="202124"/>
                <w:sz w:val="20"/>
                <w:szCs w:val="20"/>
                <w:lang w:val="en-US"/>
              </w:rPr>
            </w:pPr>
            <w:r w:rsidRPr="008C761D">
              <w:rPr>
                <w:rFonts w:eastAsia="Times New Roman" w:cs="Calibri"/>
                <w:color w:val="202124"/>
                <w:sz w:val="20"/>
                <w:szCs w:val="20"/>
                <w:lang w:val="en-US"/>
              </w:rPr>
              <w:t>90</w:t>
            </w:r>
            <w:r w:rsidR="003C1602" w:rsidRPr="008C761D">
              <w:rPr>
                <w:rFonts w:eastAsia="Times New Roman" w:cs="Calibri"/>
                <w:color w:val="202124"/>
                <w:sz w:val="20"/>
                <w:szCs w:val="20"/>
                <w:lang w:val="en-US"/>
              </w:rPr>
              <w:t>%</w:t>
            </w:r>
          </w:p>
        </w:tc>
      </w:tr>
    </w:tbl>
    <w:p w14:paraId="6BCB2842" w14:textId="77777777" w:rsidR="00460ED3" w:rsidRPr="008C761D" w:rsidRDefault="00460ED3" w:rsidP="00460ED3">
      <w:pPr>
        <w:spacing w:line="240" w:lineRule="auto"/>
        <w:ind w:left="644"/>
        <w:jc w:val="both"/>
        <w:rPr>
          <w:rFonts w:cs="Calibri"/>
          <w:color w:val="000000"/>
          <w:lang w:val="en-US"/>
        </w:rPr>
      </w:pPr>
    </w:p>
    <w:p w14:paraId="6BD468A8" w14:textId="77777777" w:rsidR="005C4562" w:rsidRPr="00742767" w:rsidRDefault="005C4562" w:rsidP="00E84CD0">
      <w:pPr>
        <w:spacing w:line="240" w:lineRule="auto"/>
        <w:jc w:val="both"/>
        <w:rPr>
          <w:rFonts w:cs="Calibri"/>
          <w:b/>
          <w:color w:val="0070C0"/>
          <w:sz w:val="24"/>
          <w:szCs w:val="24"/>
          <w:lang w:val="en-US"/>
        </w:rPr>
      </w:pPr>
      <w:r w:rsidRPr="00742767">
        <w:rPr>
          <w:rFonts w:cs="Calibri"/>
          <w:b/>
          <w:color w:val="0070C0"/>
          <w:sz w:val="24"/>
          <w:szCs w:val="24"/>
          <w:lang w:val="en-US"/>
        </w:rPr>
        <w:t>Measure 1: Increasing the financial discipline</w:t>
      </w:r>
    </w:p>
    <w:p w14:paraId="4EBFD876"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30E00235" w14:textId="77777777" w:rsidR="004C665D" w:rsidRPr="008C761D" w:rsidRDefault="004C665D" w:rsidP="004C665D">
      <w:pPr>
        <w:spacing w:line="240" w:lineRule="auto"/>
        <w:jc w:val="both"/>
        <w:rPr>
          <w:rFonts w:cs="Calibri"/>
          <w:lang w:val="en-US"/>
        </w:rPr>
      </w:pPr>
      <w:r w:rsidRPr="008C761D">
        <w:rPr>
          <w:rFonts w:cs="Calibri"/>
          <w:lang w:val="en-US"/>
        </w:rPr>
        <w:t>Realistic planning of revenues and expenditures of municipalities, rationalization of operations and reduction of unnecessary expenditures, regular servicing of liabilities, greater financial discipline, procedures for declaring financial instability, issuance of financing instruments to overcome the financial instability of municipalities and analysis of existing liabilities of municipalities and public enterprises.</w:t>
      </w:r>
    </w:p>
    <w:p w14:paraId="152E88DA"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8003"/>
      </w:tblGrid>
      <w:tr w:rsidR="005C4562" w:rsidRPr="008C761D" w14:paraId="359D1E90" w14:textId="77777777" w:rsidTr="00330707">
        <w:tc>
          <w:tcPr>
            <w:tcW w:w="1240" w:type="dxa"/>
            <w:shd w:val="clear" w:color="auto" w:fill="DDDDDD"/>
          </w:tcPr>
          <w:p w14:paraId="3544C2B3" w14:textId="77777777" w:rsidR="005C4562" w:rsidRPr="00742767" w:rsidRDefault="005C4562" w:rsidP="00E84CD0">
            <w:pPr>
              <w:spacing w:line="240" w:lineRule="auto"/>
              <w:jc w:val="both"/>
              <w:rPr>
                <w:rFonts w:cs="Calibri"/>
                <w:b/>
                <w:sz w:val="20"/>
                <w:szCs w:val="20"/>
                <w:lang w:val="en-US"/>
              </w:rPr>
            </w:pPr>
            <w:r w:rsidRPr="00742767">
              <w:rPr>
                <w:rFonts w:cs="Calibri"/>
                <w:b/>
                <w:sz w:val="20"/>
                <w:szCs w:val="20"/>
                <w:lang w:val="en-US"/>
              </w:rPr>
              <w:t>WB:</w:t>
            </w:r>
          </w:p>
        </w:tc>
        <w:tc>
          <w:tcPr>
            <w:tcW w:w="8003" w:type="dxa"/>
            <w:shd w:val="clear" w:color="auto" w:fill="DDDDDD"/>
          </w:tcPr>
          <w:p w14:paraId="29EE2D03" w14:textId="77777777" w:rsidR="005C4562" w:rsidRPr="008C761D" w:rsidRDefault="005C4562" w:rsidP="00E84CD0">
            <w:pPr>
              <w:spacing w:line="240" w:lineRule="auto"/>
              <w:jc w:val="both"/>
              <w:rPr>
                <w:rFonts w:cs="Calibri"/>
                <w:b/>
                <w:sz w:val="20"/>
                <w:szCs w:val="20"/>
                <w:lang w:val="en-US"/>
              </w:rPr>
            </w:pPr>
            <w:r w:rsidRPr="008C761D">
              <w:rPr>
                <w:rFonts w:cs="Calibri"/>
                <w:b/>
                <w:sz w:val="20"/>
                <w:szCs w:val="20"/>
                <w:lang w:val="en-US"/>
              </w:rPr>
              <w:t>WORLD BANK - Republic of North Macedonia Overview of Public Finance - Sowing the seeds of a sustainable future - March 2019</w:t>
            </w:r>
          </w:p>
          <w:p w14:paraId="314199B7" w14:textId="77777777" w:rsidR="005C4562" w:rsidRPr="00742767" w:rsidRDefault="005C4562" w:rsidP="00E84CD0">
            <w:pPr>
              <w:spacing w:line="240" w:lineRule="auto"/>
              <w:jc w:val="both"/>
              <w:rPr>
                <w:rFonts w:cs="Calibri"/>
                <w:b/>
                <w:sz w:val="20"/>
                <w:szCs w:val="20"/>
                <w:lang w:val="en-US"/>
              </w:rPr>
            </w:pPr>
            <w:r w:rsidRPr="00742767">
              <w:rPr>
                <w:rFonts w:cs="Calibri"/>
                <w:b/>
                <w:sz w:val="20"/>
                <w:szCs w:val="20"/>
                <w:lang w:val="en-US"/>
              </w:rPr>
              <w:t>Chapter 3: Fiscal Decentralization and Service Delivery</w:t>
            </w:r>
          </w:p>
          <w:p w14:paraId="3CB2E237" w14:textId="77777777" w:rsidR="005C4562" w:rsidRPr="008C761D" w:rsidRDefault="005C4562" w:rsidP="00E84CD0">
            <w:pPr>
              <w:spacing w:line="240" w:lineRule="auto"/>
              <w:jc w:val="both"/>
              <w:rPr>
                <w:rFonts w:cs="Calibri"/>
                <w:sz w:val="20"/>
                <w:szCs w:val="20"/>
                <w:lang w:val="en-US"/>
              </w:rPr>
            </w:pPr>
            <w:r w:rsidRPr="008C761D">
              <w:rPr>
                <w:rFonts w:cs="Calibri"/>
                <w:sz w:val="20"/>
                <w:szCs w:val="20"/>
                <w:lang w:val="en-US"/>
              </w:rPr>
              <w:t>Although North Macedonia has made progress in many aspects of intergovernmental finance, its 81 local self governments still have difficulties providing adequate and efficient coverage of social services. Municipalities are responsible for many public services, including primary education, but their spending as a share of GDP accounts for modest 5% thereof. Practice of delegated functions influenced incentives for LGUs to spend their own resources on services; Ambiguous spending tasks have undermined the accountability, and since there is still no effective methodology for calculating spending needs, certain communities do not receive sufficient services. Municipal revenues are insufficient, whereby LGUs fail to fully utilize the small autonomy of the revenues at their disposal. Lack of revenue autonomy leads to vertical imbalance and dependence on transfers, thus reducing the efficiency of spending and accountability of municipal authorities. Differences in the quality of basic services are still present. While VAT transfers provide certain degree of equalization between municipalities, their role may increase. However, current inequalities cannot be resolved by transfers and increased revenue autonomy alone. Balanced actions are needed in several dimensions, such as capacity building of LGUs for absorption and use of funds, as well as cooperation for virtual consolidation of municipalities.</w:t>
            </w:r>
          </w:p>
        </w:tc>
      </w:tr>
    </w:tbl>
    <w:p w14:paraId="67AA5832" w14:textId="77777777" w:rsidR="005C4562" w:rsidRPr="008C761D" w:rsidRDefault="005C4562" w:rsidP="00E84CD0">
      <w:pPr>
        <w:spacing w:line="240" w:lineRule="auto"/>
        <w:jc w:val="both"/>
        <w:rPr>
          <w:rFonts w:eastAsia="MS PGothic" w:cs="Calibri"/>
          <w:b/>
          <w:bCs/>
          <w:i/>
          <w:iCs/>
          <w:color w:val="4F81BD"/>
          <w:lang w:val="en-US" w:eastAsia="zh-CN"/>
        </w:rPr>
      </w:pPr>
    </w:p>
    <w:p w14:paraId="0D0666DC"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Context/Background</w:t>
      </w:r>
    </w:p>
    <w:p w14:paraId="49A4C097" w14:textId="77777777" w:rsidR="004C665D" w:rsidRPr="008C761D" w:rsidRDefault="004C665D" w:rsidP="004C665D">
      <w:pPr>
        <w:spacing w:line="240" w:lineRule="auto"/>
        <w:jc w:val="both"/>
        <w:rPr>
          <w:rFonts w:cs="Calibri"/>
          <w:lang w:val="en-US"/>
        </w:rPr>
      </w:pPr>
      <w:bookmarkStart w:id="77" w:name="_Hlk87515950"/>
      <w:r w:rsidRPr="008C761D">
        <w:rPr>
          <w:rFonts w:cs="Calibri"/>
          <w:lang w:val="en-US"/>
        </w:rPr>
        <w:t xml:space="preserve">The Ministry of Finance states that the unrealistic planning of the budgets of the local self-government units, that is, the over-optimistic planning of the revenues, is one of the reasons why the local self-government units created outstanding obligations in previous years. With the latest </w:t>
      </w:r>
      <w:r w:rsidRPr="008C761D">
        <w:rPr>
          <w:rFonts w:cs="Calibri"/>
          <w:lang w:val="en-US"/>
        </w:rPr>
        <w:lastRenderedPageBreak/>
        <w:t>changes in the Law on financing the local self-government units, the revenues of the municipalities in the basic budget will be able to be planned with an increase of 10% of the average of the realized revenues of the last three years. In the event that the municipality, as of the third quarter, realizes 75% of the planned own revenues in the basic budget, it will be able to further increase the revenues by another 20%. This rule will be applied from 2025, and in 2023 revenues are planned to increase by 20% and an additional 10% after the third quarter, and in 2024 it will be 15% and an additional 15% after the third quarter.</w:t>
      </w:r>
    </w:p>
    <w:p w14:paraId="708C2176" w14:textId="77777777" w:rsidR="004C665D" w:rsidRPr="00742767" w:rsidRDefault="004C665D" w:rsidP="004C665D">
      <w:pPr>
        <w:spacing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1: Trainings for strengthening the capacities of the employees in the municipalities for realistic planning of the revenues and expenses of the municipalities</w:t>
      </w:r>
    </w:p>
    <w:p w14:paraId="4AEC9E0F" w14:textId="77777777" w:rsidR="004C665D" w:rsidRPr="008C761D" w:rsidRDefault="004C665D" w:rsidP="004C665D">
      <w:pPr>
        <w:spacing w:line="240" w:lineRule="auto"/>
        <w:jc w:val="both"/>
        <w:rPr>
          <w:rFonts w:cs="Calibri"/>
          <w:lang w:val="en-US"/>
        </w:rPr>
      </w:pPr>
      <w:r w:rsidRPr="008C761D">
        <w:rPr>
          <w:rFonts w:cs="Calibri"/>
          <w:lang w:val="en-US"/>
        </w:rPr>
        <w:t>Bearing in mind that in the coming period, the implementation of the new law on budgets and the adoption of a new law on the financing of local self-government units will begin, it is necessary to strengthen the capacities of municipal employees through training on legal amendments and the preparation of municipal and municipal budgets, budgets of budget users, medium-term budget planning and identifying performance indicators.in order to strengthen the capacities of the employees in the Department for budgets of the local self-government units, procedures for the operation of the department will be developed.</w:t>
      </w:r>
    </w:p>
    <w:p w14:paraId="72787864" w14:textId="77777777" w:rsidR="004C665D" w:rsidRPr="00742767" w:rsidRDefault="004C665D" w:rsidP="004C665D">
      <w:pPr>
        <w:spacing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2: Strengthening the capacity of employees in the budget department of the local self-government unit</w:t>
      </w:r>
    </w:p>
    <w:p w14:paraId="12AF9775" w14:textId="77777777" w:rsidR="004C665D" w:rsidRPr="008C761D" w:rsidRDefault="004C665D" w:rsidP="004C665D">
      <w:pPr>
        <w:spacing w:line="240" w:lineRule="auto"/>
        <w:jc w:val="both"/>
        <w:rPr>
          <w:rFonts w:cs="Calibri"/>
          <w:lang w:val="en-US"/>
        </w:rPr>
      </w:pPr>
      <w:r w:rsidRPr="008C761D">
        <w:rPr>
          <w:rFonts w:cs="Calibri"/>
          <w:lang w:val="en-US"/>
        </w:rPr>
        <w:t>In order to strengthen the capacities of the employees in the local self-government units, it is planned to conduct trainings through the Public Finance Academy, related to the implementation of the new Law on Budgets and the new Law on Financing of Local Self-Government Units. Through the trainings, better planning of income and expenses will be ensured, correct distribution of the municipality's expenses according to programs and subprograms, and at the same time, through the real planning of the budget of the municipalities, a higher realization of income and expenses will be ensured.</w:t>
      </w:r>
    </w:p>
    <w:p w14:paraId="7552122E" w14:textId="77777777" w:rsidR="004C665D" w:rsidRPr="00742767" w:rsidRDefault="004C665D" w:rsidP="004C665D">
      <w:pPr>
        <w:spacing w:line="240" w:lineRule="auto"/>
        <w:jc w:val="both"/>
        <w:rPr>
          <w:rFonts w:eastAsia="MS PGothic" w:cs="Calibri"/>
          <w:b/>
          <w:bCs/>
          <w:iCs/>
          <w:color w:val="0070C0"/>
          <w:lang w:val="en-US" w:eastAsia="zh-CN"/>
        </w:rPr>
      </w:pPr>
      <w:bookmarkStart w:id="78" w:name="_Hlk154670907"/>
      <w:r w:rsidRPr="00742767">
        <w:rPr>
          <w:rFonts w:eastAsia="MS PGothic" w:cs="Calibri"/>
          <w:b/>
          <w:bCs/>
          <w:iCs/>
          <w:color w:val="0070C0"/>
          <w:lang w:val="en-US" w:eastAsia="zh-CN"/>
        </w:rPr>
        <w:t xml:space="preserve">Activity 3: </w:t>
      </w:r>
      <w:bookmarkEnd w:id="78"/>
      <w:r w:rsidRPr="00742767">
        <w:rPr>
          <w:rFonts w:eastAsia="MS PGothic" w:cs="Calibri"/>
          <w:b/>
          <w:bCs/>
          <w:iCs/>
          <w:color w:val="0070C0"/>
          <w:lang w:val="en-US" w:eastAsia="zh-CN"/>
        </w:rPr>
        <w:t>Decreasing current expenses and increasing capital expenses in the structure of total expenses by establishing performance indicators</w:t>
      </w:r>
    </w:p>
    <w:p w14:paraId="68907521" w14:textId="77777777" w:rsidR="004C665D" w:rsidRPr="008C761D" w:rsidRDefault="004C665D" w:rsidP="004C665D">
      <w:pPr>
        <w:spacing w:line="240" w:lineRule="auto"/>
        <w:jc w:val="both"/>
        <w:rPr>
          <w:rFonts w:cs="Calibri"/>
          <w:lang w:val="en-US"/>
        </w:rPr>
      </w:pPr>
      <w:r w:rsidRPr="008C761D">
        <w:rPr>
          <w:rFonts w:cs="Calibri"/>
          <w:lang w:val="en-US"/>
        </w:rPr>
        <w:t xml:space="preserve">In order to rationalize operations and reduce unnecessary expenditures, the Government of the Republic of North Macedonia adopted Fiscal Sustainability and Economic Growth Support Plan, which proposes measures and activities for fiscal consolidation and reduction of non-productive expenditures. </w:t>
      </w:r>
    </w:p>
    <w:p w14:paraId="08EA6E19" w14:textId="77777777" w:rsidR="004C665D" w:rsidRPr="008C761D" w:rsidRDefault="004C665D" w:rsidP="004C665D">
      <w:pPr>
        <w:spacing w:line="240" w:lineRule="auto"/>
        <w:jc w:val="both"/>
        <w:rPr>
          <w:rFonts w:cs="Calibri"/>
          <w:lang w:val="en-US"/>
        </w:rPr>
      </w:pPr>
      <w:r w:rsidRPr="008C761D">
        <w:rPr>
          <w:rFonts w:cs="Calibri"/>
          <w:lang w:val="en-US"/>
        </w:rPr>
        <w:t>In order to ensure the real distribution of expenses in the budgets of the municipalities, it is planned to establish indicators through which the planning and realization of the expenses will be monitored. At the same time, measures and activities will be undertaken with the aim of a more equitable distribution of expenditures according to program items and budgets through the establishment of standards and compliance with legal regulations when planning budgets.</w:t>
      </w:r>
    </w:p>
    <w:p w14:paraId="248E7945" w14:textId="77777777" w:rsidR="004C665D" w:rsidRPr="008C761D" w:rsidRDefault="004C665D" w:rsidP="004C665D">
      <w:pPr>
        <w:spacing w:line="240" w:lineRule="auto"/>
        <w:jc w:val="both"/>
        <w:rPr>
          <w:rFonts w:cs="Calibri"/>
          <w:lang w:val="en-US"/>
        </w:rPr>
      </w:pPr>
      <w:r w:rsidRPr="008C761D">
        <w:rPr>
          <w:rFonts w:cs="Calibri"/>
          <w:lang w:val="en-US"/>
        </w:rPr>
        <w:t>The fiscal consolidation of the expenditure side in the Municipal Budget would be achieved mainly through the policy of reducing current expenditures and increasing capital expenditures.</w:t>
      </w:r>
    </w:p>
    <w:p w14:paraId="08CF0AC9" w14:textId="77777777" w:rsidR="004C665D" w:rsidRPr="00742767" w:rsidRDefault="004C665D" w:rsidP="004C665D">
      <w:pPr>
        <w:spacing w:line="240" w:lineRule="auto"/>
        <w:jc w:val="both"/>
        <w:rPr>
          <w:rFonts w:eastAsia="MS PGothic" w:cs="Calibri"/>
          <w:b/>
          <w:bCs/>
          <w:iCs/>
          <w:color w:val="0070C0"/>
          <w:lang w:val="en-US" w:eastAsia="zh-CN"/>
        </w:rPr>
      </w:pPr>
      <w:r w:rsidRPr="00742767">
        <w:rPr>
          <w:rFonts w:eastAsia="MS PGothic" w:cs="Calibri"/>
          <w:b/>
          <w:bCs/>
          <w:iCs/>
          <w:color w:val="0070C0"/>
          <w:lang w:val="en-US" w:eastAsia="zh-CN"/>
        </w:rPr>
        <w:t>Activity 4: New Law on unpaid obligations of the municipalities</w:t>
      </w:r>
    </w:p>
    <w:p w14:paraId="09DD75C6" w14:textId="77777777" w:rsidR="004C665D" w:rsidRPr="008C761D" w:rsidRDefault="004C665D" w:rsidP="004C665D">
      <w:pPr>
        <w:spacing w:line="240" w:lineRule="auto"/>
        <w:jc w:val="both"/>
        <w:rPr>
          <w:rFonts w:cs="Calibri"/>
          <w:lang w:val="en-US"/>
        </w:rPr>
      </w:pPr>
      <w:r w:rsidRPr="008C761D">
        <w:rPr>
          <w:rFonts w:cs="Calibri"/>
          <w:lang w:val="en-US"/>
        </w:rPr>
        <w:t>In order to overcome the bad financial situation, the high amount of arrears, the blocking of the municipality's account, the adoption of a new Law on the management of unpaid obligations of the municipalities is planned.</w:t>
      </w:r>
    </w:p>
    <w:p w14:paraId="0FFBDB9D" w14:textId="77777777" w:rsidR="004C665D" w:rsidRPr="008C761D" w:rsidRDefault="004C665D" w:rsidP="004C665D">
      <w:pPr>
        <w:spacing w:line="240" w:lineRule="auto"/>
        <w:jc w:val="both"/>
        <w:rPr>
          <w:rFonts w:cs="Calibri"/>
          <w:lang w:val="en-US"/>
        </w:rPr>
      </w:pPr>
      <w:r w:rsidRPr="008C761D">
        <w:rPr>
          <w:rFonts w:cs="Calibri"/>
          <w:lang w:val="en-US"/>
        </w:rPr>
        <w:t xml:space="preserve">The law regulates the indicators of financial stability, the indicators of the risk of financial instability, the procedure for overcoming the risk of financial instability, the plan for overcoming the risk of </w:t>
      </w:r>
      <w:r w:rsidRPr="008C761D">
        <w:rPr>
          <w:rFonts w:cs="Calibri"/>
          <w:lang w:val="en-US"/>
        </w:rPr>
        <w:lastRenderedPageBreak/>
        <w:t>financial instability, the instruments for overcoming financial instability, the competences of the municipalities and the Ministry of Finance in overcoming the risks of financial instability and overcoming financial instability, as well as sanctions for non-compliance with the law.</w:t>
      </w:r>
    </w:p>
    <w:p w14:paraId="4C24CFBB" w14:textId="77777777" w:rsidR="004C665D" w:rsidRPr="008C761D" w:rsidRDefault="004C665D" w:rsidP="004C665D">
      <w:pPr>
        <w:spacing w:line="240" w:lineRule="auto"/>
        <w:jc w:val="both"/>
        <w:rPr>
          <w:rFonts w:cs="Calibri"/>
          <w:lang w:val="en-US"/>
        </w:rPr>
      </w:pPr>
      <w:r w:rsidRPr="008C761D">
        <w:rPr>
          <w:rFonts w:cs="Calibri"/>
          <w:lang w:val="en-US"/>
        </w:rPr>
        <w:t>Therefore, there is a need to:</w:t>
      </w:r>
    </w:p>
    <w:p w14:paraId="3B420D87" w14:textId="77777777" w:rsidR="004C665D" w:rsidRPr="008C761D" w:rsidRDefault="004C665D" w:rsidP="004C665D">
      <w:pPr>
        <w:spacing w:line="240" w:lineRule="auto"/>
        <w:jc w:val="both"/>
        <w:rPr>
          <w:rFonts w:cs="Calibri"/>
          <w:lang w:val="en-US"/>
        </w:rPr>
      </w:pPr>
      <w:r w:rsidRPr="008C761D">
        <w:rPr>
          <w:rFonts w:cs="Calibri"/>
          <w:lang w:val="en-US"/>
        </w:rPr>
        <w:t>- Consultations with municipalities, the Community of local self-government units, ministries, experts and the general public about the new law;</w:t>
      </w:r>
    </w:p>
    <w:p w14:paraId="700DD0A7" w14:textId="77777777" w:rsidR="004C665D" w:rsidRPr="008C761D" w:rsidRDefault="004C665D" w:rsidP="004C665D">
      <w:pPr>
        <w:spacing w:line="240" w:lineRule="auto"/>
        <w:jc w:val="both"/>
        <w:rPr>
          <w:rFonts w:cs="Calibri"/>
          <w:lang w:val="en-US"/>
        </w:rPr>
      </w:pPr>
      <w:r w:rsidRPr="008C761D">
        <w:rPr>
          <w:rFonts w:cs="Calibri"/>
          <w:lang w:val="en-US"/>
        </w:rPr>
        <w:t>- Preparation of the bill and submission to the assembly for adoption</w:t>
      </w:r>
    </w:p>
    <w:p w14:paraId="5D0A83FD" w14:textId="77777777" w:rsidR="004C665D" w:rsidRPr="008C761D" w:rsidRDefault="004C665D" w:rsidP="004C665D">
      <w:pPr>
        <w:spacing w:line="240" w:lineRule="auto"/>
        <w:jc w:val="both"/>
        <w:rPr>
          <w:rFonts w:cs="Calibri"/>
          <w:lang w:val="en-US"/>
        </w:rPr>
      </w:pPr>
      <w:r w:rsidRPr="008C761D">
        <w:rPr>
          <w:rFonts w:cs="Calibri"/>
          <w:lang w:val="en-US"/>
        </w:rPr>
        <w:t>- Preparation of by-laws arising from the Law</w:t>
      </w:r>
    </w:p>
    <w:p w14:paraId="77765B58" w14:textId="653D4951" w:rsidR="004C665D" w:rsidRPr="008C761D" w:rsidRDefault="004C665D" w:rsidP="004C665D">
      <w:pPr>
        <w:spacing w:line="240" w:lineRule="auto"/>
        <w:jc w:val="both"/>
        <w:rPr>
          <w:rFonts w:cs="Calibri"/>
          <w:lang w:val="en-US"/>
        </w:rPr>
      </w:pPr>
      <w:r w:rsidRPr="008C761D">
        <w:rPr>
          <w:rFonts w:cs="Calibri"/>
          <w:lang w:val="en-US"/>
        </w:rPr>
        <w:t xml:space="preserve">-Strengthening the capacities of the competent Departments in the Ministry of Finance, by increasing the number of employees and additional trainings for monitoring </w:t>
      </w:r>
      <w:r w:rsidR="00FD1416" w:rsidRPr="008C761D">
        <w:rPr>
          <w:rFonts w:cs="Calibri"/>
          <w:lang w:val="en-US"/>
        </w:rPr>
        <w:t>the municipal</w:t>
      </w:r>
      <w:r w:rsidRPr="008C761D">
        <w:rPr>
          <w:rFonts w:cs="Calibri"/>
          <w:lang w:val="en-US"/>
        </w:rPr>
        <w:t xml:space="preserve"> obligations;</w:t>
      </w:r>
    </w:p>
    <w:p w14:paraId="129B4864" w14:textId="77777777" w:rsidR="004C665D" w:rsidRPr="008C761D" w:rsidRDefault="004C665D" w:rsidP="004C665D">
      <w:pPr>
        <w:spacing w:line="240" w:lineRule="auto"/>
        <w:jc w:val="both"/>
        <w:rPr>
          <w:rFonts w:cs="Calibri"/>
          <w:lang w:val="en-US"/>
        </w:rPr>
      </w:pPr>
      <w:r w:rsidRPr="008C761D">
        <w:rPr>
          <w:rFonts w:cs="Calibri"/>
          <w:lang w:val="en-US"/>
        </w:rPr>
        <w:t xml:space="preserve">- Preparation of internal procedures for coordination between the departments for budget, public debt, treasury, collection of receivables, financial inspection, as regards the procedure for declaring financial instability, i.e. determining the competence of each department. </w:t>
      </w:r>
    </w:p>
    <w:bookmarkEnd w:id="77"/>
    <w:p w14:paraId="56F3809D"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838"/>
      </w:tblGrid>
      <w:tr w:rsidR="005C4562" w:rsidRPr="008C761D" w14:paraId="3283FB9B" w14:textId="77777777" w:rsidTr="00BA5E44">
        <w:tc>
          <w:tcPr>
            <w:tcW w:w="2518" w:type="dxa"/>
            <w:tcBorders>
              <w:top w:val="nil"/>
              <w:bottom w:val="single" w:sz="4" w:space="0" w:color="FFFFFF"/>
            </w:tcBorders>
            <w:shd w:val="clear" w:color="auto" w:fill="2F5496"/>
          </w:tcPr>
          <w:p w14:paraId="5699DACE"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Completed in year:</w:t>
            </w:r>
            <w:r w:rsidRPr="008C761D">
              <w:rPr>
                <w:rFonts w:cs="Calibri"/>
                <w:b/>
                <w:color w:val="FFFFFF"/>
                <w:sz w:val="20"/>
                <w:szCs w:val="20"/>
                <w:lang w:val="en-US"/>
              </w:rPr>
              <w:tab/>
            </w:r>
          </w:p>
        </w:tc>
        <w:tc>
          <w:tcPr>
            <w:tcW w:w="6838" w:type="dxa"/>
            <w:tcBorders>
              <w:top w:val="nil"/>
              <w:bottom w:val="single" w:sz="4" w:space="0" w:color="FFFFFF"/>
            </w:tcBorders>
            <w:shd w:val="clear" w:color="auto" w:fill="D9E2F3"/>
          </w:tcPr>
          <w:p w14:paraId="676BED85" w14:textId="5BE6DF7A" w:rsidR="005C4562" w:rsidRPr="008C761D" w:rsidRDefault="005C4562" w:rsidP="00E84CD0">
            <w:pPr>
              <w:spacing w:line="240" w:lineRule="auto"/>
              <w:jc w:val="both"/>
              <w:rPr>
                <w:rFonts w:cs="Calibri"/>
                <w:sz w:val="20"/>
                <w:szCs w:val="20"/>
                <w:lang w:val="en-US"/>
              </w:rPr>
            </w:pPr>
            <w:r w:rsidRPr="008C761D">
              <w:rPr>
                <w:rFonts w:cs="Calibri"/>
                <w:sz w:val="20"/>
                <w:szCs w:val="20"/>
                <w:lang w:val="en-US"/>
              </w:rPr>
              <w:t>202</w:t>
            </w:r>
            <w:r w:rsidR="004C665D" w:rsidRPr="008C761D">
              <w:rPr>
                <w:rFonts w:cs="Calibri"/>
                <w:sz w:val="20"/>
                <w:szCs w:val="20"/>
                <w:lang w:val="en-US"/>
              </w:rPr>
              <w:t>7</w:t>
            </w:r>
          </w:p>
        </w:tc>
      </w:tr>
      <w:tr w:rsidR="005C4562" w:rsidRPr="008C761D" w14:paraId="62B001EA" w14:textId="77777777" w:rsidTr="00BA5E44">
        <w:tc>
          <w:tcPr>
            <w:tcW w:w="2518" w:type="dxa"/>
            <w:tcBorders>
              <w:top w:val="single" w:sz="4" w:space="0" w:color="FFFFFF"/>
              <w:bottom w:val="single" w:sz="4" w:space="0" w:color="FFFFFF"/>
            </w:tcBorders>
            <w:shd w:val="clear" w:color="auto" w:fill="2F5496"/>
          </w:tcPr>
          <w:p w14:paraId="0C583F8E"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838" w:type="dxa"/>
            <w:tcBorders>
              <w:top w:val="single" w:sz="4" w:space="0" w:color="FFFFFF"/>
              <w:bottom w:val="single" w:sz="4" w:space="0" w:color="FFFFFF"/>
            </w:tcBorders>
            <w:shd w:val="clear" w:color="auto" w:fill="D9E2F3"/>
          </w:tcPr>
          <w:p w14:paraId="308AE0AF"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Number of trained employees in the LGU</w:t>
            </w:r>
          </w:p>
          <w:p w14:paraId="5ADA78F5"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Number of additional employments in the Unit for LGU Budgets</w:t>
            </w:r>
          </w:p>
          <w:p w14:paraId="0A5F319D"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Percentage of realized revenues in relation to the planned ones during the current year</w:t>
            </w:r>
          </w:p>
          <w:p w14:paraId="00FF0903"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Percentage of share of capital expenditures in relation to the total expenditures in the current year</w:t>
            </w:r>
          </w:p>
          <w:p w14:paraId="53097BAD"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New Law on unpaid obligations of the municipalities</w:t>
            </w:r>
          </w:p>
          <w:p w14:paraId="2DDA6F8C" w14:textId="77777777" w:rsidR="004C665D"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By-laws of a New Law on unpaid obligations of the municipalities</w:t>
            </w:r>
          </w:p>
          <w:p w14:paraId="32077213" w14:textId="64846BAC" w:rsidR="005C4562" w:rsidRPr="008C761D" w:rsidRDefault="004C665D" w:rsidP="00FB7CC0">
            <w:pPr>
              <w:numPr>
                <w:ilvl w:val="0"/>
                <w:numId w:val="38"/>
              </w:numPr>
              <w:spacing w:after="0" w:line="240" w:lineRule="auto"/>
              <w:ind w:left="183" w:hanging="180"/>
              <w:jc w:val="both"/>
              <w:rPr>
                <w:rFonts w:cs="Calibri"/>
                <w:sz w:val="20"/>
                <w:szCs w:val="20"/>
                <w:lang w:val="en-US"/>
              </w:rPr>
            </w:pPr>
            <w:r w:rsidRPr="008C761D">
              <w:rPr>
                <w:rFonts w:cs="Calibri"/>
                <w:sz w:val="20"/>
                <w:szCs w:val="20"/>
                <w:lang w:val="en-US"/>
              </w:rPr>
              <w:t>Internal procedures for declaring financial instability</w:t>
            </w:r>
          </w:p>
        </w:tc>
      </w:tr>
      <w:tr w:rsidR="005C4562" w:rsidRPr="008C761D" w14:paraId="55F412B8" w14:textId="77777777" w:rsidTr="00BA5E44">
        <w:tc>
          <w:tcPr>
            <w:tcW w:w="2518" w:type="dxa"/>
            <w:tcBorders>
              <w:top w:val="single" w:sz="4" w:space="0" w:color="FFFFFF"/>
              <w:bottom w:val="single" w:sz="4" w:space="0" w:color="FFFFFF"/>
            </w:tcBorders>
            <w:shd w:val="clear" w:color="auto" w:fill="2F5496"/>
          </w:tcPr>
          <w:p w14:paraId="154664FF"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Cost implications:</w:t>
            </w:r>
          </w:p>
        </w:tc>
        <w:tc>
          <w:tcPr>
            <w:tcW w:w="6838" w:type="dxa"/>
            <w:tcBorders>
              <w:top w:val="single" w:sz="4" w:space="0" w:color="FFFFFF"/>
              <w:bottom w:val="single" w:sz="4" w:space="0" w:color="FFFFFF"/>
            </w:tcBorders>
            <w:shd w:val="clear" w:color="auto" w:fill="D9E2F3"/>
          </w:tcPr>
          <w:p w14:paraId="489D4F32" w14:textId="1F3BB97C" w:rsidR="005C4562" w:rsidRPr="008C761D" w:rsidRDefault="005C4562" w:rsidP="00E84CD0">
            <w:pPr>
              <w:spacing w:line="240" w:lineRule="auto"/>
              <w:jc w:val="both"/>
              <w:rPr>
                <w:rFonts w:cs="Calibri"/>
                <w:sz w:val="20"/>
                <w:szCs w:val="20"/>
                <w:lang w:val="en-US"/>
              </w:rPr>
            </w:pPr>
            <w:r w:rsidRPr="008C761D">
              <w:rPr>
                <w:rFonts w:cs="Calibri"/>
                <w:sz w:val="20"/>
                <w:szCs w:val="20"/>
                <w:lang w:val="en-US"/>
              </w:rPr>
              <w:t xml:space="preserve">EUR </w:t>
            </w:r>
            <w:r w:rsidR="004C665D" w:rsidRPr="008C761D">
              <w:rPr>
                <w:rFonts w:cs="Calibri"/>
                <w:sz w:val="20"/>
                <w:szCs w:val="20"/>
                <w:lang w:val="en-US"/>
              </w:rPr>
              <w:t>117.8</w:t>
            </w:r>
            <w:r w:rsidR="00547D12" w:rsidRPr="008C761D">
              <w:rPr>
                <w:rFonts w:cs="Calibri"/>
                <w:sz w:val="20"/>
                <w:szCs w:val="20"/>
                <w:lang w:val="en-US"/>
              </w:rPr>
              <w:t>00</w:t>
            </w:r>
          </w:p>
        </w:tc>
      </w:tr>
      <w:tr w:rsidR="005C4562" w:rsidRPr="008C761D" w14:paraId="1E117F82" w14:textId="77777777" w:rsidTr="00BA5E44">
        <w:tc>
          <w:tcPr>
            <w:tcW w:w="2518" w:type="dxa"/>
            <w:tcBorders>
              <w:top w:val="single" w:sz="4" w:space="0" w:color="FFFFFF"/>
              <w:bottom w:val="single" w:sz="4" w:space="0" w:color="FFFFFF"/>
            </w:tcBorders>
            <w:shd w:val="clear" w:color="auto" w:fill="2F5496"/>
          </w:tcPr>
          <w:p w14:paraId="0F7F09B8"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6838" w:type="dxa"/>
            <w:tcBorders>
              <w:top w:val="single" w:sz="4" w:space="0" w:color="FFFFFF"/>
              <w:bottom w:val="single" w:sz="4" w:space="0" w:color="FFFFFF"/>
            </w:tcBorders>
            <w:shd w:val="clear" w:color="auto" w:fill="D9E2F3"/>
          </w:tcPr>
          <w:p w14:paraId="17A48866" w14:textId="4EE1EF4D" w:rsidR="005C4562" w:rsidRPr="008C761D" w:rsidRDefault="005C4562" w:rsidP="004C665D">
            <w:pPr>
              <w:spacing w:line="240" w:lineRule="auto"/>
              <w:jc w:val="both"/>
              <w:rPr>
                <w:rFonts w:cs="Calibri"/>
                <w:sz w:val="20"/>
                <w:szCs w:val="20"/>
                <w:lang w:val="en-US"/>
              </w:rPr>
            </w:pPr>
            <w:r w:rsidRPr="008C761D">
              <w:rPr>
                <w:rFonts w:cs="Calibri"/>
                <w:sz w:val="20"/>
                <w:szCs w:val="20"/>
                <w:lang w:val="en-US"/>
              </w:rPr>
              <w:t>Budget and Funds Department, Treasury Department, Public Debt Management Department</w:t>
            </w:r>
          </w:p>
        </w:tc>
      </w:tr>
      <w:tr w:rsidR="005C4562" w:rsidRPr="008C761D" w14:paraId="6D0A9121" w14:textId="77777777" w:rsidTr="00BA5E44">
        <w:tc>
          <w:tcPr>
            <w:tcW w:w="2518" w:type="dxa"/>
            <w:tcBorders>
              <w:top w:val="single" w:sz="4" w:space="0" w:color="FFFFFF"/>
              <w:bottom w:val="nil"/>
            </w:tcBorders>
            <w:shd w:val="clear" w:color="auto" w:fill="2F5496"/>
          </w:tcPr>
          <w:p w14:paraId="20555886"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838" w:type="dxa"/>
            <w:tcBorders>
              <w:top w:val="single" w:sz="4" w:space="0" w:color="FFFFFF"/>
              <w:bottom w:val="nil"/>
            </w:tcBorders>
            <w:shd w:val="clear" w:color="auto" w:fill="D9E2F3"/>
          </w:tcPr>
          <w:p w14:paraId="0531CC4C" w14:textId="0EF90AB1" w:rsidR="00BD26CB" w:rsidRPr="008C761D" w:rsidRDefault="00BD26CB" w:rsidP="00742767">
            <w:pPr>
              <w:spacing w:after="0" w:line="240" w:lineRule="auto"/>
              <w:jc w:val="both"/>
              <w:rPr>
                <w:rFonts w:cs="Calibri"/>
                <w:sz w:val="20"/>
                <w:szCs w:val="20"/>
                <w:lang w:val="en-US"/>
              </w:rPr>
            </w:pPr>
            <w:r w:rsidRPr="008C761D">
              <w:rPr>
                <w:rFonts w:cs="Calibri"/>
                <w:sz w:val="20"/>
                <w:szCs w:val="20"/>
                <w:lang w:val="en-US"/>
              </w:rPr>
              <w:t>-</w:t>
            </w:r>
            <w:r w:rsidR="00742767">
              <w:rPr>
                <w:rFonts w:cs="Calibri"/>
                <w:sz w:val="20"/>
                <w:szCs w:val="20"/>
              </w:rPr>
              <w:t xml:space="preserve"> </w:t>
            </w:r>
            <w:r w:rsidRPr="008C761D">
              <w:rPr>
                <w:rFonts w:cs="Calibri"/>
                <w:sz w:val="20"/>
                <w:szCs w:val="20"/>
                <w:lang w:val="en-US"/>
              </w:rPr>
              <w:t>Insufficient human capacity to implement the planned activities</w:t>
            </w:r>
          </w:p>
          <w:p w14:paraId="62773B40" w14:textId="031BE5E5" w:rsidR="00BD26CB" w:rsidRPr="008C761D" w:rsidRDefault="00BD26CB" w:rsidP="00742767">
            <w:pPr>
              <w:spacing w:after="0" w:line="240" w:lineRule="auto"/>
              <w:jc w:val="both"/>
              <w:rPr>
                <w:rFonts w:cs="Calibri"/>
                <w:sz w:val="20"/>
                <w:szCs w:val="20"/>
                <w:lang w:val="en-US"/>
              </w:rPr>
            </w:pPr>
            <w:r w:rsidRPr="008C761D">
              <w:rPr>
                <w:rFonts w:cs="Calibri"/>
                <w:sz w:val="20"/>
                <w:szCs w:val="20"/>
                <w:lang w:val="en-US"/>
              </w:rPr>
              <w:t>-</w:t>
            </w:r>
            <w:r w:rsidR="00742767">
              <w:rPr>
                <w:rFonts w:cs="Calibri"/>
                <w:sz w:val="20"/>
                <w:szCs w:val="20"/>
              </w:rPr>
              <w:t xml:space="preserve"> </w:t>
            </w:r>
            <w:r w:rsidRPr="008C761D">
              <w:rPr>
                <w:rFonts w:cs="Calibri"/>
                <w:sz w:val="20"/>
                <w:szCs w:val="20"/>
                <w:lang w:val="en-US"/>
              </w:rPr>
              <w:t>Delay in the adoption of laws and by-laws</w:t>
            </w:r>
          </w:p>
          <w:p w14:paraId="1328F692" w14:textId="5A724289" w:rsidR="00BD26CB" w:rsidRPr="008C761D" w:rsidRDefault="00BD26CB" w:rsidP="00742767">
            <w:pPr>
              <w:spacing w:after="0" w:line="240" w:lineRule="auto"/>
              <w:jc w:val="both"/>
              <w:rPr>
                <w:rFonts w:cs="Calibri"/>
                <w:sz w:val="20"/>
                <w:szCs w:val="20"/>
                <w:lang w:val="en-US"/>
              </w:rPr>
            </w:pPr>
            <w:r w:rsidRPr="008C761D">
              <w:rPr>
                <w:rFonts w:cs="Calibri"/>
                <w:sz w:val="20"/>
                <w:szCs w:val="20"/>
                <w:lang w:val="en-US"/>
              </w:rPr>
              <w:t>-</w:t>
            </w:r>
            <w:r w:rsidR="00742767">
              <w:rPr>
                <w:rFonts w:cs="Calibri"/>
                <w:sz w:val="20"/>
                <w:szCs w:val="20"/>
              </w:rPr>
              <w:t xml:space="preserve"> </w:t>
            </w:r>
            <w:r w:rsidRPr="008C761D">
              <w:rPr>
                <w:rFonts w:cs="Calibri"/>
                <w:sz w:val="20"/>
                <w:szCs w:val="20"/>
                <w:lang w:val="en-US"/>
              </w:rPr>
              <w:t xml:space="preserve">Political risks - untimely constitution of the Government and the Assembly of </w:t>
            </w:r>
            <w:r w:rsidR="00FB7CC0">
              <w:rPr>
                <w:rFonts w:cs="Calibri"/>
                <w:sz w:val="20"/>
                <w:szCs w:val="20"/>
              </w:rPr>
              <w:t xml:space="preserve">    </w:t>
            </w:r>
            <w:r w:rsidRPr="008C761D">
              <w:rPr>
                <w:rFonts w:cs="Calibri"/>
                <w:sz w:val="20"/>
                <w:szCs w:val="20"/>
                <w:lang w:val="en-US"/>
              </w:rPr>
              <w:t>the RNM</w:t>
            </w:r>
          </w:p>
          <w:p w14:paraId="2587FD3B" w14:textId="6623D846" w:rsidR="005C4562" w:rsidRPr="008C761D" w:rsidRDefault="00BD26CB" w:rsidP="00742767">
            <w:pPr>
              <w:spacing w:after="0" w:line="240" w:lineRule="auto"/>
              <w:jc w:val="both"/>
              <w:rPr>
                <w:rFonts w:cs="Calibri"/>
                <w:sz w:val="20"/>
                <w:szCs w:val="20"/>
                <w:lang w:val="en-US"/>
              </w:rPr>
            </w:pPr>
            <w:r w:rsidRPr="008C761D">
              <w:rPr>
                <w:rFonts w:cs="Calibri"/>
                <w:sz w:val="20"/>
                <w:szCs w:val="20"/>
                <w:lang w:val="en-US"/>
              </w:rPr>
              <w:t>-</w:t>
            </w:r>
            <w:r w:rsidR="00742767">
              <w:rPr>
                <w:rFonts w:cs="Calibri"/>
                <w:sz w:val="20"/>
                <w:szCs w:val="20"/>
              </w:rPr>
              <w:t xml:space="preserve"> </w:t>
            </w:r>
            <w:r w:rsidRPr="008C761D">
              <w:rPr>
                <w:rFonts w:cs="Calibri"/>
                <w:sz w:val="20"/>
                <w:szCs w:val="20"/>
                <w:lang w:val="en-US"/>
              </w:rPr>
              <w:t>Departure or reduced interest among donors to support activities</w:t>
            </w:r>
          </w:p>
        </w:tc>
      </w:tr>
    </w:tbl>
    <w:p w14:paraId="496E90E1" w14:textId="77777777" w:rsidR="005C4562" w:rsidRPr="008C761D" w:rsidRDefault="005C4562" w:rsidP="00E84CD0">
      <w:pPr>
        <w:spacing w:line="240" w:lineRule="auto"/>
        <w:jc w:val="both"/>
        <w:rPr>
          <w:rFonts w:cs="Calibri"/>
          <w:lang w:val="en-US"/>
        </w:rPr>
      </w:pPr>
    </w:p>
    <w:p w14:paraId="31B8E52D" w14:textId="77777777" w:rsidR="005C4562" w:rsidRPr="008C761D" w:rsidRDefault="005C4562" w:rsidP="00E84CD0">
      <w:pPr>
        <w:spacing w:line="240" w:lineRule="auto"/>
        <w:jc w:val="both"/>
        <w:rPr>
          <w:rFonts w:cs="Calibri"/>
          <w:b/>
          <w:color w:val="0070C0"/>
          <w:sz w:val="24"/>
          <w:szCs w:val="24"/>
          <w:lang w:val="en-US"/>
        </w:rPr>
      </w:pPr>
      <w:r w:rsidRPr="008C761D">
        <w:rPr>
          <w:rFonts w:cs="Calibri"/>
          <w:b/>
          <w:color w:val="0070C0"/>
          <w:sz w:val="24"/>
          <w:szCs w:val="24"/>
          <w:lang w:val="en-US"/>
        </w:rPr>
        <w:t>Measure 2: Increasing the transparency and accountability throughout the operations of the municipalities</w:t>
      </w:r>
    </w:p>
    <w:p w14:paraId="1D3CB63B"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Measure objective</w:t>
      </w:r>
    </w:p>
    <w:p w14:paraId="3D27C8D4" w14:textId="60A6D239" w:rsidR="000D084B" w:rsidRPr="008C761D" w:rsidRDefault="000D084B" w:rsidP="000D084B">
      <w:pPr>
        <w:spacing w:line="240" w:lineRule="auto"/>
        <w:jc w:val="both"/>
        <w:rPr>
          <w:rFonts w:cs="Calibri"/>
          <w:lang w:val="en-US"/>
        </w:rPr>
      </w:pPr>
      <w:r w:rsidRPr="008C761D">
        <w:rPr>
          <w:rFonts w:cs="Calibri"/>
          <w:lang w:val="en-US"/>
        </w:rPr>
        <w:t xml:space="preserve">Increased control by the state, in </w:t>
      </w:r>
      <w:r w:rsidR="00FD1416" w:rsidRPr="008C761D">
        <w:rPr>
          <w:rFonts w:cs="Calibri"/>
          <w:lang w:val="en-US"/>
        </w:rPr>
        <w:t>particular</w:t>
      </w:r>
      <w:r w:rsidRPr="008C761D">
        <w:rPr>
          <w:rFonts w:cs="Calibri"/>
          <w:lang w:val="en-US"/>
        </w:rPr>
        <w:t xml:space="preserve"> by the Department for Public Sector Financial Inspection in terms of compliance with the provisions of the Law on Reporting and Recording of Liabilities, the Law on Financial Discipline and the Law on Financing Local Government Units, increasing the transparency of municipalities by publishing financial statements in a transparent and understandable manner, as well as greater accountability for the use of budget funds. </w:t>
      </w:r>
    </w:p>
    <w:p w14:paraId="35AF663D"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lastRenderedPageBreak/>
        <w:t xml:space="preserve">Reference to the external </w:t>
      </w:r>
      <w:proofErr w:type="gramStart"/>
      <w:r w:rsidRPr="008C761D">
        <w:rPr>
          <w:rFonts w:eastAsia="MS PGothic" w:cs="Calibri"/>
          <w:b/>
          <w:bCs/>
          <w:i/>
          <w:iCs/>
          <w:color w:val="4F81BD"/>
          <w:lang w:val="en-US" w:eastAsia="zh-CN"/>
        </w:rPr>
        <w:t>assessments</w:t>
      </w:r>
      <w:proofErr w:type="gramEnd"/>
      <w:r w:rsidRPr="008C761D">
        <w:rPr>
          <w:rFonts w:eastAsia="MS PGothic" w:cs="Calibri"/>
          <w:b/>
          <w:bCs/>
          <w:i/>
          <w:iCs/>
          <w:color w:val="4F81BD"/>
          <w:lang w:val="en-US" w:eastAsia="zh-CN"/>
        </w:rPr>
        <w:t xml:space="preserve"> findings: </w:t>
      </w:r>
    </w:p>
    <w:tbl>
      <w:tblPr>
        <w:tblW w:w="8803"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00"/>
        <w:gridCol w:w="8003"/>
      </w:tblGrid>
      <w:tr w:rsidR="004C665D" w:rsidRPr="008F131B" w14:paraId="0CA7C6DC" w14:textId="77777777" w:rsidTr="00BA5E44">
        <w:tc>
          <w:tcPr>
            <w:tcW w:w="800" w:type="dxa"/>
            <w:shd w:val="clear" w:color="auto" w:fill="DDDDDD"/>
          </w:tcPr>
          <w:p w14:paraId="24F20688" w14:textId="77777777" w:rsidR="004C665D" w:rsidRPr="00FB7CC0" w:rsidRDefault="004C665D" w:rsidP="00E84CD0">
            <w:pPr>
              <w:spacing w:line="240" w:lineRule="auto"/>
              <w:jc w:val="both"/>
              <w:rPr>
                <w:rFonts w:cs="Calibri"/>
                <w:b/>
                <w:sz w:val="20"/>
                <w:szCs w:val="20"/>
                <w:lang w:val="en-US"/>
              </w:rPr>
            </w:pPr>
            <w:r w:rsidRPr="00FB7CC0">
              <w:rPr>
                <w:rFonts w:cs="Calibri"/>
                <w:b/>
                <w:sz w:val="20"/>
                <w:szCs w:val="20"/>
                <w:lang w:val="en-US"/>
              </w:rPr>
              <w:t>WB</w:t>
            </w:r>
          </w:p>
        </w:tc>
        <w:tc>
          <w:tcPr>
            <w:tcW w:w="8003" w:type="dxa"/>
            <w:shd w:val="clear" w:color="auto" w:fill="DDDDDD"/>
          </w:tcPr>
          <w:p w14:paraId="73F1571C" w14:textId="6F8FBAFA" w:rsidR="004C665D" w:rsidRPr="008F131B" w:rsidRDefault="004C665D" w:rsidP="00E84CD0">
            <w:pPr>
              <w:spacing w:after="0" w:line="240" w:lineRule="auto"/>
              <w:jc w:val="both"/>
              <w:rPr>
                <w:rFonts w:cs="Calibri"/>
                <w:sz w:val="20"/>
                <w:szCs w:val="20"/>
                <w:lang w:val="en-US"/>
              </w:rPr>
            </w:pPr>
            <w:r w:rsidRPr="008F131B">
              <w:rPr>
                <w:rFonts w:cs="Calibri"/>
                <w:sz w:val="20"/>
                <w:szCs w:val="20"/>
                <w:lang w:val="en-US"/>
              </w:rPr>
              <w:t xml:space="preserve"> Finally, municipal debt remains to be a concern, not because of excessive borrowing - in fact, borrowing is limited - but </w:t>
            </w:r>
            <w:r w:rsidR="00FD1416" w:rsidRPr="008F131B">
              <w:rPr>
                <w:rFonts w:cs="Calibri"/>
                <w:sz w:val="20"/>
                <w:szCs w:val="20"/>
                <w:lang w:val="en-US"/>
              </w:rPr>
              <w:t>rather</w:t>
            </w:r>
            <w:r w:rsidRPr="008F131B">
              <w:rPr>
                <w:rFonts w:cs="Calibri"/>
                <w:sz w:val="20"/>
                <w:szCs w:val="20"/>
                <w:lang w:val="en-US"/>
              </w:rPr>
              <w:t xml:space="preserve"> due to the lack of discipline regarding the unpaid liabilities, some of which have been transferred since the start of decentralization.</w:t>
            </w:r>
          </w:p>
        </w:tc>
      </w:tr>
    </w:tbl>
    <w:p w14:paraId="1B8498CD" w14:textId="77777777" w:rsidR="005C4562" w:rsidRPr="008C761D" w:rsidRDefault="005C4562" w:rsidP="00E84CD0">
      <w:pPr>
        <w:spacing w:line="240" w:lineRule="auto"/>
        <w:jc w:val="both"/>
        <w:rPr>
          <w:rFonts w:cs="Calibri"/>
          <w:b/>
          <w:bCs/>
          <w:i/>
          <w:iCs/>
          <w:color w:val="4F81BD"/>
          <w:lang w:val="en-US"/>
        </w:rPr>
      </w:pPr>
    </w:p>
    <w:p w14:paraId="48E6B0C3" w14:textId="77777777" w:rsidR="005C4562" w:rsidRPr="008C761D" w:rsidRDefault="005C4562" w:rsidP="00E84CD0">
      <w:pPr>
        <w:spacing w:line="240" w:lineRule="auto"/>
        <w:jc w:val="both"/>
        <w:rPr>
          <w:rFonts w:cs="Calibri"/>
          <w:b/>
          <w:bCs/>
          <w:i/>
          <w:iCs/>
          <w:color w:val="4F81BD"/>
          <w:lang w:val="en-US"/>
        </w:rPr>
      </w:pPr>
      <w:r w:rsidRPr="008C761D">
        <w:rPr>
          <w:rFonts w:cs="Calibri"/>
          <w:b/>
          <w:bCs/>
          <w:i/>
          <w:iCs/>
          <w:color w:val="4F81BD"/>
          <w:lang w:val="en-US"/>
        </w:rPr>
        <w:t>Context/Background</w:t>
      </w:r>
    </w:p>
    <w:p w14:paraId="5517FCD5" w14:textId="77777777" w:rsidR="000D084B" w:rsidRPr="008C761D" w:rsidRDefault="000D084B" w:rsidP="000D084B">
      <w:pPr>
        <w:spacing w:line="240" w:lineRule="auto"/>
        <w:jc w:val="both"/>
        <w:rPr>
          <w:rFonts w:cs="Calibri"/>
          <w:lang w:val="en-US"/>
        </w:rPr>
      </w:pPr>
      <w:r w:rsidRPr="008C761D">
        <w:rPr>
          <w:rFonts w:cs="Calibri"/>
          <w:lang w:val="en-US"/>
        </w:rPr>
        <w:t>In order to increase transparency and accountability, i.e. promote fiscal decentralization, measures will be adopted to increase transparency among municipalities through the publication of financial reports in a transparent and comprehensible manner, and activities will be undertaken for greater responsibility for use. of budget funds.</w:t>
      </w:r>
    </w:p>
    <w:p w14:paraId="144B68F9" w14:textId="77777777" w:rsidR="000D084B" w:rsidRPr="008C761D" w:rsidRDefault="000D084B" w:rsidP="000D084B">
      <w:pPr>
        <w:spacing w:line="240" w:lineRule="auto"/>
        <w:jc w:val="both"/>
        <w:rPr>
          <w:rFonts w:cs="Calibri"/>
          <w:lang w:val="en-US"/>
        </w:rPr>
      </w:pPr>
      <w:r w:rsidRPr="008C761D">
        <w:rPr>
          <w:rFonts w:cs="Calibri"/>
          <w:lang w:val="en-US"/>
        </w:rPr>
        <w:t>In some of the laws, there are provisions which oblige the municipalities to publish their financial reports in a transparent manner on the websites of the municipalities or in some other way. In the past period, some of the municipalities, despite the legal obligations, do not regularly publish data on the financial operations, which makes it impossible for the general public to get to know the operation of the municipality.</w:t>
      </w:r>
    </w:p>
    <w:p w14:paraId="48BE40B2" w14:textId="77777777" w:rsidR="00FF1EE0" w:rsidRPr="008208F0" w:rsidRDefault="00FF1EE0" w:rsidP="00FF1EE0">
      <w:pPr>
        <w:spacing w:line="240" w:lineRule="auto"/>
        <w:jc w:val="both"/>
        <w:rPr>
          <w:rFonts w:eastAsia="MS PGothic" w:cs="Calibri"/>
          <w:b/>
          <w:bCs/>
          <w:iCs/>
          <w:color w:val="0070C0"/>
          <w:lang w:val="en-US" w:eastAsia="zh-CN"/>
        </w:rPr>
      </w:pPr>
      <w:r w:rsidRPr="008208F0">
        <w:rPr>
          <w:rFonts w:eastAsia="MS PGothic" w:cs="Calibri"/>
          <w:b/>
          <w:bCs/>
          <w:iCs/>
          <w:color w:val="0070C0"/>
          <w:lang w:val="en-US" w:eastAsia="zh-CN"/>
        </w:rPr>
        <w:t>Activity 1. Increasing the oversight of municipalities for the purposeful spending of earmarked, block and capital grants by the competent ministries and institutions</w:t>
      </w:r>
    </w:p>
    <w:p w14:paraId="45C4D005" w14:textId="77777777" w:rsidR="00FF1EE0" w:rsidRPr="008208F0" w:rsidRDefault="00FF1EE0" w:rsidP="00FF1EE0">
      <w:pPr>
        <w:spacing w:line="240" w:lineRule="auto"/>
        <w:jc w:val="both"/>
        <w:rPr>
          <w:rFonts w:cs="Calibri"/>
          <w:lang w:val="en-US"/>
        </w:rPr>
      </w:pPr>
      <w:r w:rsidRPr="008208F0">
        <w:rPr>
          <w:rFonts w:cs="Calibri"/>
          <w:lang w:val="en-US"/>
        </w:rPr>
        <w:t>From the existing basis of the previous analysis in the area of ​​transparency and accountability in the financial operations of the municipalities, there arose a need to strengthen the oversight of spending the funds transferred by the Budget of RNM as earmarked, block and capital grants to the municipalities. The oversight needs to be carried out by the ministries and institutions that finance the transferred competences, as well as for the financing of capital projects in the municipalities. All ministries from which grants are transferred to the municipalities will be requested to report whether they have carried out a control on the purposeful spending of the same.</w:t>
      </w:r>
    </w:p>
    <w:p w14:paraId="096C1F32" w14:textId="77777777" w:rsidR="000D084B" w:rsidRPr="00FB7CC0" w:rsidRDefault="000D084B" w:rsidP="000D084B">
      <w:pPr>
        <w:spacing w:line="240" w:lineRule="auto"/>
        <w:jc w:val="both"/>
        <w:rPr>
          <w:rFonts w:eastAsia="MS PGothic" w:cs="Calibri"/>
          <w:b/>
          <w:bCs/>
          <w:iCs/>
          <w:color w:val="0070C0"/>
          <w:lang w:val="en-US" w:eastAsia="zh-CN"/>
        </w:rPr>
      </w:pPr>
      <w:bookmarkStart w:id="79" w:name="_Hlk155355801"/>
      <w:r w:rsidRPr="00FB7CC0">
        <w:rPr>
          <w:rFonts w:eastAsia="MS PGothic" w:cs="Calibri"/>
          <w:b/>
          <w:bCs/>
          <w:iCs/>
          <w:color w:val="0070C0"/>
          <w:lang w:val="en-US" w:eastAsia="zh-CN"/>
        </w:rPr>
        <w:t>Activity 2: Monitoring the transparency of the municipalities in order to timely inform the general public</w:t>
      </w:r>
    </w:p>
    <w:bookmarkEnd w:id="79"/>
    <w:p w14:paraId="13F567AE" w14:textId="77777777" w:rsidR="000D084B" w:rsidRPr="008C761D" w:rsidRDefault="000D084B" w:rsidP="000D084B">
      <w:pPr>
        <w:spacing w:line="240" w:lineRule="auto"/>
        <w:jc w:val="both"/>
        <w:rPr>
          <w:rFonts w:cs="Calibri"/>
          <w:lang w:val="en-US"/>
        </w:rPr>
      </w:pPr>
      <w:r w:rsidRPr="008C761D">
        <w:rPr>
          <w:rFonts w:cs="Calibri"/>
          <w:lang w:val="en-US"/>
        </w:rPr>
        <w:t>Increased transparency in the operation of municipalities is one of the prerequisites for ensuring the legal, purposeful and expedient use of public funds to achieve the goals for growth and development of municipalities, as well as efficient provision of services for citizens and improvement of quality. of life in the respective municipalities.</w:t>
      </w:r>
    </w:p>
    <w:p w14:paraId="48973FA0" w14:textId="77777777" w:rsidR="000D084B" w:rsidRPr="008C761D" w:rsidRDefault="000D084B" w:rsidP="000D084B">
      <w:pPr>
        <w:spacing w:line="240" w:lineRule="auto"/>
        <w:jc w:val="both"/>
        <w:rPr>
          <w:rFonts w:cs="Calibri"/>
          <w:lang w:val="en-US"/>
        </w:rPr>
      </w:pPr>
      <w:r w:rsidRPr="008C761D">
        <w:rPr>
          <w:rFonts w:cs="Calibri"/>
          <w:lang w:val="en-US"/>
        </w:rPr>
        <w:t>The increase in transparency during the operations of the municipalities primarily refers to strengthening the fiscal responsibility of the municipalities, timely involvement of the general public in the creation of municipal policies and informing about the work done. The implementation of this activity includes:</w:t>
      </w:r>
    </w:p>
    <w:p w14:paraId="6D70A68D" w14:textId="77777777" w:rsidR="000D084B" w:rsidRPr="008C761D" w:rsidRDefault="000D084B" w:rsidP="000D084B">
      <w:pPr>
        <w:spacing w:line="240" w:lineRule="auto"/>
        <w:jc w:val="both"/>
        <w:rPr>
          <w:rFonts w:cs="Calibri"/>
          <w:lang w:val="en-US"/>
        </w:rPr>
      </w:pPr>
      <w:r w:rsidRPr="008C761D">
        <w:rPr>
          <w:rFonts w:cs="Calibri"/>
          <w:lang w:val="en-US"/>
        </w:rPr>
        <w:t>- determination of financial data that the municipality is obliged to publish on its website</w:t>
      </w:r>
    </w:p>
    <w:p w14:paraId="15B26FBA" w14:textId="77777777" w:rsidR="000D084B" w:rsidRPr="008C761D" w:rsidRDefault="000D084B" w:rsidP="000D084B">
      <w:pPr>
        <w:spacing w:line="240" w:lineRule="auto"/>
        <w:jc w:val="both"/>
        <w:rPr>
          <w:rFonts w:cs="Calibri"/>
          <w:lang w:val="en-US"/>
        </w:rPr>
      </w:pPr>
      <w:r w:rsidRPr="008C761D">
        <w:rPr>
          <w:rFonts w:cs="Calibri"/>
          <w:lang w:val="en-US"/>
        </w:rPr>
        <w:t xml:space="preserve">- determination of the number of financial </w:t>
      </w:r>
      <w:proofErr w:type="gramStart"/>
      <w:r w:rsidRPr="008C761D">
        <w:rPr>
          <w:rFonts w:cs="Calibri"/>
          <w:lang w:val="en-US"/>
        </w:rPr>
        <w:t>data</w:t>
      </w:r>
      <w:proofErr w:type="gramEnd"/>
      <w:r w:rsidRPr="008C761D">
        <w:rPr>
          <w:rFonts w:cs="Calibri"/>
          <w:lang w:val="en-US"/>
        </w:rPr>
        <w:t xml:space="preserve"> that are published on the websites of the municipalities, timely and regular publication of the data,</w:t>
      </w:r>
    </w:p>
    <w:p w14:paraId="7974F9D3" w14:textId="682437D6" w:rsidR="000D084B" w:rsidRDefault="000D084B" w:rsidP="000D084B">
      <w:pPr>
        <w:spacing w:line="240" w:lineRule="auto"/>
        <w:jc w:val="both"/>
        <w:rPr>
          <w:rFonts w:cs="Calibri"/>
          <w:lang w:val="en-US"/>
        </w:rPr>
      </w:pPr>
      <w:r w:rsidRPr="008C761D">
        <w:rPr>
          <w:rFonts w:cs="Calibri"/>
          <w:lang w:val="en-US"/>
        </w:rPr>
        <w:t>- taking measures and activities in order to increase the transparency of the municipalities</w:t>
      </w:r>
    </w:p>
    <w:p w14:paraId="507EF1BF" w14:textId="310D0088" w:rsidR="00C932B9" w:rsidRDefault="00C932B9" w:rsidP="000D084B">
      <w:pPr>
        <w:spacing w:line="240" w:lineRule="auto"/>
        <w:jc w:val="both"/>
        <w:rPr>
          <w:rFonts w:cs="Calibri"/>
          <w:lang w:val="en-US"/>
        </w:rPr>
      </w:pPr>
    </w:p>
    <w:p w14:paraId="5ADA3A92" w14:textId="77777777" w:rsidR="00C932B9" w:rsidRPr="008C761D" w:rsidRDefault="00C932B9" w:rsidP="000D084B">
      <w:pPr>
        <w:spacing w:line="240" w:lineRule="auto"/>
        <w:jc w:val="both"/>
        <w:rPr>
          <w:rFonts w:cs="Calibri"/>
          <w:lang w:val="en-US"/>
        </w:rPr>
      </w:pPr>
    </w:p>
    <w:p w14:paraId="17A109E4" w14:textId="6C6F6C17" w:rsidR="000D084B" w:rsidRPr="00FB7CC0" w:rsidRDefault="000D084B" w:rsidP="000D084B">
      <w:pPr>
        <w:spacing w:line="240" w:lineRule="auto"/>
        <w:jc w:val="both"/>
        <w:rPr>
          <w:rFonts w:eastAsia="MS PGothic" w:cs="Calibri"/>
          <w:b/>
          <w:bCs/>
          <w:iCs/>
          <w:color w:val="0070C0"/>
          <w:lang w:val="en-US" w:eastAsia="zh-CN"/>
        </w:rPr>
      </w:pPr>
      <w:r w:rsidRPr="00FB7CC0">
        <w:rPr>
          <w:rFonts w:eastAsia="MS PGothic" w:cs="Calibri"/>
          <w:b/>
          <w:bCs/>
          <w:iCs/>
          <w:color w:val="0070C0"/>
          <w:lang w:val="en-US" w:eastAsia="zh-CN"/>
        </w:rPr>
        <w:lastRenderedPageBreak/>
        <w:t>Activity</w:t>
      </w:r>
      <w:r w:rsidR="00FB7CC0">
        <w:rPr>
          <w:rFonts w:eastAsia="MS PGothic" w:cs="Calibri"/>
          <w:b/>
          <w:bCs/>
          <w:iCs/>
          <w:color w:val="0070C0"/>
          <w:lang w:eastAsia="zh-CN"/>
        </w:rPr>
        <w:t xml:space="preserve"> </w:t>
      </w:r>
      <w:r w:rsidRPr="00FB7CC0">
        <w:rPr>
          <w:rFonts w:eastAsia="MS PGothic" w:cs="Calibri"/>
          <w:b/>
          <w:bCs/>
          <w:iCs/>
          <w:color w:val="0070C0"/>
          <w:lang w:val="en-US" w:eastAsia="zh-CN"/>
        </w:rPr>
        <w:t>3: Increasing the transparency of the Ministry of Finance for the financial operations of the municipalities</w:t>
      </w:r>
    </w:p>
    <w:p w14:paraId="18053B95" w14:textId="77777777" w:rsidR="000D084B" w:rsidRPr="008C761D" w:rsidRDefault="000D084B" w:rsidP="000D084B">
      <w:pPr>
        <w:spacing w:line="240" w:lineRule="auto"/>
        <w:jc w:val="both"/>
        <w:rPr>
          <w:rFonts w:cs="Calibri"/>
          <w:lang w:val="en-US"/>
        </w:rPr>
      </w:pPr>
      <w:r w:rsidRPr="008C761D">
        <w:rPr>
          <w:rFonts w:cs="Calibri"/>
          <w:lang w:val="en-US"/>
        </w:rPr>
        <w:t>Ministry of Finance, under its competencies, will publish financial data and reports related to the financial operations of the municipalities. Thus, the aim will be to get a clear picture of public spending of municipalities.</w:t>
      </w:r>
    </w:p>
    <w:p w14:paraId="1BCB8F1C" w14:textId="77777777" w:rsidR="000D084B" w:rsidRPr="008C761D" w:rsidRDefault="000D084B" w:rsidP="000D084B">
      <w:pPr>
        <w:spacing w:line="240" w:lineRule="auto"/>
        <w:jc w:val="both"/>
        <w:rPr>
          <w:rFonts w:cs="Calibri"/>
          <w:lang w:val="en-US"/>
        </w:rPr>
      </w:pPr>
      <w:r w:rsidRPr="008C761D">
        <w:rPr>
          <w:rFonts w:cs="Calibri"/>
          <w:lang w:val="en-US"/>
        </w:rPr>
        <w:t>This activity includes:</w:t>
      </w:r>
    </w:p>
    <w:p w14:paraId="6B3DDFB0"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Publishing monthly and periodic reports on the execution of the municipal budget on the website of the municipality;</w:t>
      </w:r>
    </w:p>
    <w:p w14:paraId="3FBB5DD2" w14:textId="70234FF5"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 xml:space="preserve">Publication of the Annual Report and the Annual Municipal Budget Report on the website of the </w:t>
      </w:r>
      <w:r w:rsidR="00FD1416" w:rsidRPr="008C761D">
        <w:rPr>
          <w:rFonts w:cs="Calibri"/>
          <w:lang w:val="en-US"/>
        </w:rPr>
        <w:t>municipality</w:t>
      </w:r>
      <w:r w:rsidRPr="008C761D">
        <w:rPr>
          <w:rFonts w:cs="Calibri"/>
          <w:lang w:val="en-US"/>
        </w:rPr>
        <w:t>;</w:t>
      </w:r>
    </w:p>
    <w:p w14:paraId="120B16EF"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Publication of data on revenues and expenditures of municipalities on a quarterly basis;</w:t>
      </w:r>
    </w:p>
    <w:p w14:paraId="4E7B99E7" w14:textId="7F80C40E"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 xml:space="preserve">Publication of data on due and unpaid liabilities from the Electronic System for Reporting and Recording </w:t>
      </w:r>
      <w:r w:rsidR="00FD1416" w:rsidRPr="008C761D">
        <w:rPr>
          <w:rFonts w:cs="Calibri"/>
          <w:lang w:val="en-US"/>
        </w:rPr>
        <w:t>Liabilities of</w:t>
      </w:r>
      <w:r w:rsidRPr="008C761D">
        <w:rPr>
          <w:rFonts w:cs="Calibri"/>
          <w:lang w:val="en-US"/>
        </w:rPr>
        <w:t xml:space="preserve"> the municipalities;</w:t>
      </w:r>
    </w:p>
    <w:p w14:paraId="76CC0CE7"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Publication of financial statements for the operations of the municipalities;</w:t>
      </w:r>
    </w:p>
    <w:p w14:paraId="0D17FFE5"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Publication of financial indicators of the municipalities on the websites of the Ministry of Finance and the municipalities with UNDP support.</w:t>
      </w:r>
    </w:p>
    <w:p w14:paraId="6CC09EF9"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Financial indicators</w:t>
      </w:r>
    </w:p>
    <w:p w14:paraId="349FABCC" w14:textId="77777777" w:rsidR="000D084B" w:rsidRPr="008C761D" w:rsidRDefault="000D084B" w:rsidP="003A338C">
      <w:pPr>
        <w:numPr>
          <w:ilvl w:val="0"/>
          <w:numId w:val="13"/>
        </w:numPr>
        <w:spacing w:after="120" w:line="240" w:lineRule="auto"/>
        <w:jc w:val="both"/>
        <w:rPr>
          <w:rFonts w:cs="Calibri"/>
          <w:lang w:val="en-US"/>
        </w:rPr>
      </w:pPr>
      <w:r w:rsidRPr="008C761D">
        <w:rPr>
          <w:rFonts w:cs="Calibri"/>
          <w:lang w:val="en-US"/>
        </w:rPr>
        <w:t>Other financial data</w:t>
      </w:r>
    </w:p>
    <w:p w14:paraId="6C8E75F7" w14:textId="59CCA674" w:rsidR="000D084B" w:rsidRPr="00FB7CC0" w:rsidRDefault="000D084B" w:rsidP="000D084B">
      <w:pPr>
        <w:spacing w:line="240" w:lineRule="auto"/>
        <w:jc w:val="both"/>
        <w:rPr>
          <w:rFonts w:eastAsia="MS PGothic" w:cs="Calibri"/>
          <w:b/>
          <w:bCs/>
          <w:iCs/>
          <w:color w:val="0070C0"/>
          <w:lang w:val="en-US" w:eastAsia="zh-CN"/>
        </w:rPr>
      </w:pPr>
      <w:r w:rsidRPr="00FB7CC0">
        <w:rPr>
          <w:rFonts w:eastAsia="MS PGothic" w:cs="Calibri"/>
          <w:b/>
          <w:bCs/>
          <w:iCs/>
          <w:color w:val="0070C0"/>
          <w:lang w:val="en-US" w:eastAsia="zh-CN"/>
        </w:rPr>
        <w:t>Activity 4</w:t>
      </w:r>
      <w:r w:rsidR="00FB7CC0">
        <w:rPr>
          <w:rFonts w:eastAsia="MS PGothic" w:cs="Calibri"/>
          <w:b/>
          <w:bCs/>
          <w:iCs/>
          <w:color w:val="0070C0"/>
          <w:lang w:eastAsia="zh-CN"/>
        </w:rPr>
        <w:t>:</w:t>
      </w:r>
      <w:r w:rsidRPr="00FB7CC0">
        <w:rPr>
          <w:rFonts w:eastAsia="MS PGothic" w:cs="Calibri"/>
          <w:b/>
          <w:bCs/>
          <w:iCs/>
          <w:color w:val="0070C0"/>
          <w:lang w:val="en-US" w:eastAsia="zh-CN"/>
        </w:rPr>
        <w:t xml:space="preserve"> Participation of citizens in policy decision making and monitoring results</w:t>
      </w:r>
    </w:p>
    <w:p w14:paraId="30508229" w14:textId="18B9AABF" w:rsidR="000D084B" w:rsidRPr="008C761D" w:rsidRDefault="000D084B" w:rsidP="000D084B">
      <w:pPr>
        <w:spacing w:after="120" w:line="240" w:lineRule="auto"/>
        <w:jc w:val="both"/>
        <w:rPr>
          <w:rFonts w:cs="Calibri"/>
          <w:lang w:val="en-US"/>
        </w:rPr>
      </w:pPr>
      <w:r w:rsidRPr="008C761D">
        <w:rPr>
          <w:rFonts w:cs="Calibri"/>
          <w:lang w:val="en-US"/>
        </w:rPr>
        <w:t xml:space="preserve">The activity includes participations of the citizens in decision making, from budget process, citizens forums, prioritization of projects, etc. Before adoption of the cities budgets the citizens will have the possibility to take part on forums and participation before decision making. The voting thrue forums will prioritize the projects and </w:t>
      </w:r>
      <w:r w:rsidRPr="008C761D">
        <w:rPr>
          <w:rFonts w:cs="Calibri"/>
          <w:lang w:val="en-US"/>
        </w:rPr>
        <w:tab/>
        <w:t xml:space="preserve">then they will be part of the </w:t>
      </w:r>
      <w:r w:rsidR="00FD1416" w:rsidRPr="008C761D">
        <w:rPr>
          <w:rFonts w:cs="Calibri"/>
          <w:lang w:val="en-US"/>
        </w:rPr>
        <w:t>budgets. Monitoring</w:t>
      </w:r>
      <w:r w:rsidRPr="008C761D">
        <w:rPr>
          <w:rFonts w:cs="Calibri"/>
          <w:lang w:val="en-US"/>
        </w:rPr>
        <w:t xml:space="preserve"> the participations with published projects that were voted from the participations, and feedback of realization of them </w:t>
      </w:r>
      <w:r w:rsidR="00FD1416" w:rsidRPr="008C761D">
        <w:rPr>
          <w:rFonts w:cs="Calibri"/>
          <w:lang w:val="en-US"/>
        </w:rPr>
        <w:t>at</w:t>
      </w:r>
      <w:r w:rsidRPr="008C761D">
        <w:rPr>
          <w:rFonts w:cs="Calibri"/>
          <w:lang w:val="en-US"/>
        </w:rPr>
        <w:t xml:space="preserve"> the end of the year. The monitoring </w:t>
      </w:r>
      <w:r w:rsidR="00FD1416" w:rsidRPr="008C761D">
        <w:rPr>
          <w:rFonts w:cs="Calibri"/>
          <w:lang w:val="en-US"/>
        </w:rPr>
        <w:t>can</w:t>
      </w:r>
      <w:r w:rsidRPr="008C761D">
        <w:rPr>
          <w:rFonts w:cs="Calibri"/>
          <w:lang w:val="en-US"/>
        </w:rPr>
        <w:t xml:space="preserve"> be due questionnaire or web publishing.</w:t>
      </w:r>
    </w:p>
    <w:p w14:paraId="302A13D6" w14:textId="77777777" w:rsidR="005C4562" w:rsidRPr="008C761D" w:rsidRDefault="005C4562" w:rsidP="008F131B">
      <w:pPr>
        <w:spacing w:after="120" w:line="240" w:lineRule="auto"/>
        <w:jc w:val="both"/>
        <w:rPr>
          <w:rFonts w:cs="Calibri"/>
          <w:lang w:val="en-US"/>
        </w:rPr>
      </w:pPr>
      <w:r w:rsidRPr="008C761D">
        <w:rPr>
          <w:rFonts w:cs="Calibri"/>
          <w:lang w:val="en-US"/>
        </w:rPr>
        <w:tab/>
      </w:r>
    </w:p>
    <w:p w14:paraId="5947D5E0" w14:textId="77777777" w:rsidR="005C4562" w:rsidRPr="008C761D" w:rsidRDefault="005C4562" w:rsidP="00E84CD0">
      <w:pPr>
        <w:spacing w:line="240" w:lineRule="auto"/>
        <w:jc w:val="both"/>
        <w:rPr>
          <w:rFonts w:eastAsia="MS PGothic" w:cs="Calibri"/>
          <w:b/>
          <w:bCs/>
          <w:i/>
          <w:iCs/>
          <w:color w:val="4F81BD"/>
          <w:lang w:val="en-US" w:eastAsia="zh-CN"/>
        </w:rPr>
      </w:pPr>
      <w:r w:rsidRPr="008C761D">
        <w:rPr>
          <w:rFonts w:eastAsia="MS PGothic" w:cs="Calibri"/>
          <w:b/>
          <w:bCs/>
          <w:i/>
          <w:iCs/>
          <w:color w:val="4F81BD"/>
          <w:lang w:val="en-US"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838"/>
      </w:tblGrid>
      <w:tr w:rsidR="005C4562" w:rsidRPr="008C761D" w14:paraId="4F05896E" w14:textId="77777777" w:rsidTr="00BA5E44">
        <w:tc>
          <w:tcPr>
            <w:tcW w:w="2518" w:type="dxa"/>
            <w:tcBorders>
              <w:top w:val="nil"/>
              <w:bottom w:val="single" w:sz="4" w:space="0" w:color="FFFFFF"/>
            </w:tcBorders>
            <w:shd w:val="clear" w:color="auto" w:fill="2F5496"/>
          </w:tcPr>
          <w:p w14:paraId="33E4EA1D" w14:textId="77777777" w:rsidR="005C4562" w:rsidRPr="008C761D" w:rsidRDefault="005C4562" w:rsidP="00E84CD0">
            <w:pPr>
              <w:spacing w:line="240" w:lineRule="auto"/>
              <w:jc w:val="both"/>
              <w:rPr>
                <w:rFonts w:cs="Calibri"/>
                <w:color w:val="FFFFFF"/>
                <w:sz w:val="20"/>
                <w:szCs w:val="20"/>
                <w:lang w:val="en-US"/>
              </w:rPr>
            </w:pPr>
            <w:r w:rsidRPr="008C761D">
              <w:rPr>
                <w:rFonts w:cs="Calibri"/>
                <w:b/>
                <w:color w:val="FFFFFF"/>
                <w:sz w:val="20"/>
                <w:szCs w:val="20"/>
                <w:lang w:val="en-US"/>
              </w:rPr>
              <w:t>Completed in year:</w:t>
            </w:r>
            <w:r w:rsidRPr="008C761D">
              <w:rPr>
                <w:rFonts w:cs="Calibri"/>
                <w:color w:val="FFFFFF"/>
                <w:sz w:val="20"/>
                <w:szCs w:val="20"/>
                <w:lang w:val="en-US"/>
              </w:rPr>
              <w:tab/>
            </w:r>
          </w:p>
        </w:tc>
        <w:tc>
          <w:tcPr>
            <w:tcW w:w="6838" w:type="dxa"/>
            <w:tcBorders>
              <w:top w:val="nil"/>
              <w:bottom w:val="single" w:sz="4" w:space="0" w:color="FFFFFF"/>
            </w:tcBorders>
            <w:shd w:val="clear" w:color="auto" w:fill="D9E2F3"/>
          </w:tcPr>
          <w:p w14:paraId="6FF6180C" w14:textId="2D5A431E" w:rsidR="005C4562" w:rsidRPr="008C761D" w:rsidRDefault="005C4562" w:rsidP="00E84CD0">
            <w:pPr>
              <w:spacing w:line="240" w:lineRule="auto"/>
              <w:jc w:val="both"/>
              <w:rPr>
                <w:rFonts w:cs="Calibri"/>
                <w:sz w:val="20"/>
                <w:szCs w:val="20"/>
                <w:lang w:val="en-US"/>
              </w:rPr>
            </w:pPr>
            <w:r w:rsidRPr="008C761D">
              <w:rPr>
                <w:rFonts w:cs="Calibri"/>
                <w:sz w:val="20"/>
                <w:szCs w:val="20"/>
                <w:lang w:val="en-US"/>
              </w:rPr>
              <w:t>202</w:t>
            </w:r>
            <w:r w:rsidR="000D084B" w:rsidRPr="008C761D">
              <w:rPr>
                <w:rFonts w:cs="Calibri"/>
                <w:sz w:val="20"/>
                <w:szCs w:val="20"/>
                <w:lang w:val="en-US"/>
              </w:rPr>
              <w:t>7</w:t>
            </w:r>
          </w:p>
        </w:tc>
      </w:tr>
      <w:tr w:rsidR="005C4562" w:rsidRPr="008C761D" w14:paraId="7E02FBD8" w14:textId="77777777" w:rsidTr="00BA5E44">
        <w:tc>
          <w:tcPr>
            <w:tcW w:w="2518" w:type="dxa"/>
            <w:tcBorders>
              <w:top w:val="single" w:sz="4" w:space="0" w:color="FFFFFF"/>
              <w:bottom w:val="single" w:sz="4" w:space="0" w:color="FFFFFF"/>
            </w:tcBorders>
            <w:shd w:val="clear" w:color="auto" w:fill="2F5496"/>
          </w:tcPr>
          <w:p w14:paraId="22763195"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Deliverables:</w:t>
            </w:r>
          </w:p>
        </w:tc>
        <w:tc>
          <w:tcPr>
            <w:tcW w:w="6838" w:type="dxa"/>
            <w:tcBorders>
              <w:top w:val="single" w:sz="4" w:space="0" w:color="FFFFFF"/>
              <w:bottom w:val="single" w:sz="4" w:space="0" w:color="FFFFFF"/>
            </w:tcBorders>
            <w:shd w:val="clear" w:color="auto" w:fill="D9E2F3"/>
          </w:tcPr>
          <w:p w14:paraId="0E3773E1" w14:textId="77777777" w:rsidR="00FF1EE0" w:rsidRPr="006A54C9" w:rsidRDefault="00FF1EE0" w:rsidP="00FF1EE0">
            <w:pPr>
              <w:numPr>
                <w:ilvl w:val="0"/>
                <w:numId w:val="39"/>
              </w:numPr>
              <w:spacing w:after="0" w:line="240" w:lineRule="auto"/>
              <w:ind w:left="183" w:hanging="180"/>
              <w:jc w:val="both"/>
              <w:rPr>
                <w:rFonts w:cs="Calibri"/>
                <w:sz w:val="20"/>
                <w:szCs w:val="20"/>
                <w:lang w:val="en-US"/>
              </w:rPr>
            </w:pPr>
            <w:r>
              <w:rPr>
                <w:rFonts w:cs="Calibri"/>
                <w:sz w:val="20"/>
                <w:szCs w:val="20"/>
                <w:lang w:val="en-US"/>
              </w:rPr>
              <w:t xml:space="preserve">Report for </w:t>
            </w:r>
            <w:r w:rsidRPr="00CD2651">
              <w:rPr>
                <w:rFonts w:cs="Calibri"/>
                <w:sz w:val="20"/>
                <w:szCs w:val="20"/>
                <w:lang w:val="en"/>
              </w:rPr>
              <w:t>the purposeful spending of grants</w:t>
            </w:r>
            <w:r>
              <w:rPr>
                <w:rFonts w:cs="Calibri"/>
                <w:sz w:val="20"/>
                <w:szCs w:val="20"/>
                <w:lang w:val="en-US"/>
              </w:rPr>
              <w:t xml:space="preserve"> from municipalities</w:t>
            </w:r>
          </w:p>
          <w:p w14:paraId="2B58D4D5" w14:textId="0DB7A78D" w:rsidR="005C4562" w:rsidRPr="008C761D" w:rsidRDefault="005C4562"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Financial indicators;</w:t>
            </w:r>
          </w:p>
          <w:p w14:paraId="09E9AF99" w14:textId="77777777" w:rsidR="005C4562" w:rsidRPr="008C761D" w:rsidRDefault="005C4562"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Data on revenues and expenditures of municipalities;</w:t>
            </w:r>
          </w:p>
          <w:p w14:paraId="6502273E" w14:textId="77777777" w:rsidR="000D084B" w:rsidRPr="008C761D" w:rsidRDefault="005C4562"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Report on Municipal Arrears</w:t>
            </w:r>
            <w:r w:rsidR="000D084B" w:rsidRPr="008C761D">
              <w:rPr>
                <w:rFonts w:cs="Calibri"/>
                <w:sz w:val="20"/>
                <w:szCs w:val="20"/>
                <w:lang w:val="en-US"/>
              </w:rPr>
              <w:t>;</w:t>
            </w:r>
          </w:p>
          <w:p w14:paraId="1EA86B3D" w14:textId="77777777" w:rsidR="000D084B" w:rsidRPr="008C761D" w:rsidRDefault="000D084B"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Report on blocked municipalities</w:t>
            </w:r>
          </w:p>
          <w:p w14:paraId="3E26C459" w14:textId="77777777" w:rsidR="000D084B" w:rsidRPr="008C761D" w:rsidRDefault="000D084B"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Report on municipalities with financial instability and plan for overcoming</w:t>
            </w:r>
          </w:p>
          <w:p w14:paraId="70476538" w14:textId="77777777" w:rsidR="005C4562" w:rsidRPr="008C761D" w:rsidRDefault="000D084B" w:rsidP="00FB7CC0">
            <w:pPr>
              <w:numPr>
                <w:ilvl w:val="0"/>
                <w:numId w:val="39"/>
              </w:numPr>
              <w:spacing w:after="0" w:line="240" w:lineRule="auto"/>
              <w:ind w:left="183" w:hanging="180"/>
              <w:jc w:val="both"/>
              <w:rPr>
                <w:rFonts w:cs="Calibri"/>
                <w:sz w:val="20"/>
                <w:szCs w:val="20"/>
                <w:lang w:val="en-US"/>
              </w:rPr>
            </w:pPr>
            <w:r w:rsidRPr="008C761D">
              <w:rPr>
                <w:rFonts w:cs="Calibri"/>
                <w:sz w:val="20"/>
                <w:szCs w:val="20"/>
                <w:lang w:val="en-US"/>
              </w:rPr>
              <w:t>Citizen participation in decision making, budget process, citizens forum, citizens council, etc</w:t>
            </w:r>
            <w:r w:rsidR="005C4562" w:rsidRPr="008C761D">
              <w:rPr>
                <w:rFonts w:cs="Calibri"/>
                <w:sz w:val="20"/>
                <w:szCs w:val="20"/>
                <w:lang w:val="en-US"/>
              </w:rPr>
              <w:t>.</w:t>
            </w:r>
          </w:p>
        </w:tc>
      </w:tr>
      <w:tr w:rsidR="005C4562" w:rsidRPr="008C761D" w14:paraId="1C3971A9" w14:textId="77777777" w:rsidTr="00BA5E44">
        <w:tc>
          <w:tcPr>
            <w:tcW w:w="2518" w:type="dxa"/>
            <w:tcBorders>
              <w:top w:val="single" w:sz="4" w:space="0" w:color="FFFFFF"/>
              <w:bottom w:val="single" w:sz="4" w:space="0" w:color="FFFFFF"/>
            </w:tcBorders>
            <w:shd w:val="clear" w:color="auto" w:fill="2F5496"/>
          </w:tcPr>
          <w:p w14:paraId="538479E4" w14:textId="28E1E365"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Costs</w:t>
            </w:r>
            <w:r w:rsidR="008D2563">
              <w:rPr>
                <w:rFonts w:cs="Calibri"/>
                <w:b/>
                <w:color w:val="FFFFFF"/>
                <w:sz w:val="20"/>
                <w:szCs w:val="20"/>
                <w:lang w:val="en-US"/>
              </w:rPr>
              <w:t xml:space="preserve"> implications</w:t>
            </w:r>
            <w:r w:rsidRPr="008C761D">
              <w:rPr>
                <w:rFonts w:cs="Calibri"/>
                <w:b/>
                <w:color w:val="FFFFFF"/>
                <w:sz w:val="20"/>
                <w:szCs w:val="20"/>
                <w:lang w:val="en-US"/>
              </w:rPr>
              <w:t>:</w:t>
            </w:r>
            <w:r w:rsidRPr="008C761D">
              <w:rPr>
                <w:rFonts w:cs="Calibri"/>
                <w:color w:val="FFFFFF"/>
                <w:sz w:val="20"/>
                <w:szCs w:val="20"/>
                <w:lang w:val="en-US"/>
              </w:rPr>
              <w:tab/>
            </w:r>
          </w:p>
        </w:tc>
        <w:tc>
          <w:tcPr>
            <w:tcW w:w="6838" w:type="dxa"/>
            <w:tcBorders>
              <w:top w:val="single" w:sz="4" w:space="0" w:color="FFFFFF"/>
              <w:bottom w:val="single" w:sz="4" w:space="0" w:color="FFFFFF"/>
            </w:tcBorders>
            <w:shd w:val="clear" w:color="auto" w:fill="D9E2F3"/>
          </w:tcPr>
          <w:p w14:paraId="1C44F360" w14:textId="3692A19B" w:rsidR="005C4562" w:rsidRPr="008C761D" w:rsidRDefault="00547D12" w:rsidP="00E84CD0">
            <w:pPr>
              <w:spacing w:line="240" w:lineRule="auto"/>
              <w:jc w:val="both"/>
              <w:rPr>
                <w:rFonts w:cs="Calibri"/>
                <w:sz w:val="20"/>
                <w:szCs w:val="20"/>
                <w:lang w:val="en-US"/>
              </w:rPr>
            </w:pPr>
            <w:r w:rsidRPr="008C761D">
              <w:rPr>
                <w:rFonts w:cs="Calibri"/>
                <w:sz w:val="20"/>
                <w:szCs w:val="20"/>
                <w:lang w:val="en-US"/>
              </w:rPr>
              <w:t>/</w:t>
            </w:r>
          </w:p>
        </w:tc>
      </w:tr>
      <w:tr w:rsidR="005C4562" w:rsidRPr="008C761D" w14:paraId="5B31454E" w14:textId="77777777" w:rsidTr="00BA5E44">
        <w:tc>
          <w:tcPr>
            <w:tcW w:w="2518" w:type="dxa"/>
            <w:tcBorders>
              <w:top w:val="single" w:sz="4" w:space="0" w:color="FFFFFF"/>
              <w:bottom w:val="single" w:sz="4" w:space="0" w:color="FFFFFF"/>
            </w:tcBorders>
            <w:shd w:val="clear" w:color="auto" w:fill="2F5496"/>
          </w:tcPr>
          <w:p w14:paraId="62CA1451"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 xml:space="preserve">Responsible entity: </w:t>
            </w:r>
          </w:p>
        </w:tc>
        <w:tc>
          <w:tcPr>
            <w:tcW w:w="6838" w:type="dxa"/>
            <w:tcBorders>
              <w:top w:val="single" w:sz="4" w:space="0" w:color="FFFFFF"/>
              <w:bottom w:val="single" w:sz="4" w:space="0" w:color="FFFFFF"/>
            </w:tcBorders>
            <w:shd w:val="clear" w:color="auto" w:fill="D9E2F3"/>
          </w:tcPr>
          <w:p w14:paraId="7D7A62E7" w14:textId="7CC4B8A9" w:rsidR="005C4562" w:rsidRPr="008C761D" w:rsidRDefault="00FF1EE0" w:rsidP="00E84CD0">
            <w:pPr>
              <w:spacing w:line="240" w:lineRule="auto"/>
              <w:jc w:val="both"/>
              <w:rPr>
                <w:rFonts w:cs="Calibri"/>
                <w:sz w:val="20"/>
                <w:szCs w:val="20"/>
                <w:lang w:val="en-US"/>
              </w:rPr>
            </w:pPr>
            <w:r w:rsidRPr="008C761D">
              <w:rPr>
                <w:rFonts w:cs="Calibri"/>
                <w:sz w:val="20"/>
                <w:szCs w:val="20"/>
                <w:lang w:val="en-US"/>
              </w:rPr>
              <w:t xml:space="preserve">Budget and Funds Department, Municipalities, </w:t>
            </w:r>
            <w:r w:rsidRPr="00157A9C">
              <w:rPr>
                <w:rFonts w:cs="Calibri"/>
                <w:sz w:val="20"/>
                <w:szCs w:val="20"/>
                <w:lang w:val="en-US"/>
              </w:rPr>
              <w:t xml:space="preserve">all ministries </w:t>
            </w:r>
            <w:r>
              <w:rPr>
                <w:rFonts w:cs="Calibri"/>
                <w:sz w:val="20"/>
                <w:szCs w:val="20"/>
                <w:lang w:val="en-US"/>
              </w:rPr>
              <w:t xml:space="preserve">who transfer funds from the </w:t>
            </w:r>
            <w:r w:rsidRPr="00157A9C">
              <w:rPr>
                <w:rFonts w:cs="Calibri"/>
                <w:sz w:val="20"/>
                <w:szCs w:val="20"/>
                <w:lang w:val="en-US"/>
              </w:rPr>
              <w:t>Budget</w:t>
            </w:r>
            <w:r>
              <w:rPr>
                <w:rFonts w:cs="Calibri"/>
                <w:sz w:val="20"/>
                <w:szCs w:val="20"/>
                <w:lang w:val="en-US"/>
              </w:rPr>
              <w:t xml:space="preserve"> from RN</w:t>
            </w:r>
            <w:r w:rsidRPr="00157A9C">
              <w:rPr>
                <w:rFonts w:cs="Calibri"/>
                <w:sz w:val="20"/>
                <w:szCs w:val="20"/>
                <w:lang w:val="en-US"/>
              </w:rPr>
              <w:t>M</w:t>
            </w:r>
          </w:p>
        </w:tc>
      </w:tr>
      <w:tr w:rsidR="005C4562" w:rsidRPr="008C761D" w14:paraId="7A4619C8" w14:textId="77777777" w:rsidTr="00BA5E44">
        <w:tc>
          <w:tcPr>
            <w:tcW w:w="2518" w:type="dxa"/>
            <w:tcBorders>
              <w:top w:val="single" w:sz="4" w:space="0" w:color="FFFFFF"/>
              <w:bottom w:val="nil"/>
            </w:tcBorders>
            <w:shd w:val="clear" w:color="auto" w:fill="2F5496"/>
          </w:tcPr>
          <w:p w14:paraId="0C3CB840" w14:textId="77777777" w:rsidR="005C4562" w:rsidRPr="008C761D" w:rsidRDefault="005C4562" w:rsidP="00E84CD0">
            <w:pPr>
              <w:spacing w:line="240" w:lineRule="auto"/>
              <w:jc w:val="both"/>
              <w:rPr>
                <w:rFonts w:cs="Calibri"/>
                <w:b/>
                <w:color w:val="FFFFFF"/>
                <w:sz w:val="20"/>
                <w:szCs w:val="20"/>
                <w:lang w:val="en-US"/>
              </w:rPr>
            </w:pPr>
            <w:r w:rsidRPr="008C761D">
              <w:rPr>
                <w:rFonts w:cs="Calibri"/>
                <w:b/>
                <w:color w:val="FFFFFF"/>
                <w:sz w:val="20"/>
                <w:szCs w:val="20"/>
                <w:lang w:val="en-US"/>
              </w:rPr>
              <w:t>Risk:</w:t>
            </w:r>
          </w:p>
        </w:tc>
        <w:tc>
          <w:tcPr>
            <w:tcW w:w="6838" w:type="dxa"/>
            <w:tcBorders>
              <w:top w:val="single" w:sz="4" w:space="0" w:color="FFFFFF"/>
              <w:bottom w:val="nil"/>
            </w:tcBorders>
            <w:shd w:val="clear" w:color="auto" w:fill="D9E2F3"/>
          </w:tcPr>
          <w:p w14:paraId="10752CD8" w14:textId="7ACDAF49" w:rsidR="005C4562" w:rsidRPr="008C761D" w:rsidRDefault="00BD26CB" w:rsidP="00FB7CC0">
            <w:pPr>
              <w:numPr>
                <w:ilvl w:val="0"/>
                <w:numId w:val="51"/>
              </w:numPr>
              <w:spacing w:after="0" w:line="240" w:lineRule="auto"/>
              <w:ind w:left="183" w:hanging="226"/>
              <w:jc w:val="both"/>
              <w:rPr>
                <w:rFonts w:cs="Calibri"/>
                <w:sz w:val="20"/>
                <w:szCs w:val="20"/>
                <w:lang w:val="en-US"/>
              </w:rPr>
            </w:pPr>
            <w:r w:rsidRPr="008C761D">
              <w:rPr>
                <w:rFonts w:cs="Calibri"/>
                <w:sz w:val="20"/>
                <w:szCs w:val="20"/>
                <w:lang w:val="en-US"/>
              </w:rPr>
              <w:t>Insufficient human capacity to implement the planned activities</w:t>
            </w:r>
            <w:r w:rsidR="005C4562" w:rsidRPr="008C761D">
              <w:rPr>
                <w:rFonts w:cs="Calibri"/>
                <w:sz w:val="20"/>
                <w:szCs w:val="20"/>
                <w:lang w:val="en-US"/>
              </w:rPr>
              <w:t>;</w:t>
            </w:r>
          </w:p>
        </w:tc>
      </w:tr>
    </w:tbl>
    <w:p w14:paraId="6E57FA26" w14:textId="77777777" w:rsidR="005C4562" w:rsidRPr="008C761D" w:rsidRDefault="005C4562" w:rsidP="00E84CD0">
      <w:pPr>
        <w:spacing w:line="240" w:lineRule="auto"/>
        <w:jc w:val="both"/>
        <w:rPr>
          <w:rFonts w:cs="Calibri"/>
          <w:lang w:val="en-US"/>
        </w:rPr>
      </w:pPr>
    </w:p>
    <w:p w14:paraId="4024849B" w14:textId="77777777" w:rsidR="005C4562" w:rsidRPr="008C761D" w:rsidRDefault="005C4562" w:rsidP="00E84CD0">
      <w:pPr>
        <w:spacing w:line="240" w:lineRule="auto"/>
        <w:jc w:val="both"/>
        <w:rPr>
          <w:rFonts w:cs="Calibri"/>
          <w:lang w:val="en-US"/>
        </w:rPr>
      </w:pPr>
    </w:p>
    <w:p w14:paraId="55D1D12F" w14:textId="77777777" w:rsidR="00A42B0B" w:rsidRPr="00FB7CC0" w:rsidRDefault="005B28E4" w:rsidP="00E84CD0">
      <w:pPr>
        <w:pStyle w:val="Heading1"/>
        <w:spacing w:line="240" w:lineRule="auto"/>
        <w:jc w:val="both"/>
        <w:rPr>
          <w:rFonts w:ascii="Calibri" w:eastAsia="MS PGothic" w:hAnsi="Calibri" w:cs="Calibri"/>
          <w:color w:val="2E74B5"/>
          <w:lang w:val="en-US" w:eastAsia="zh-CN"/>
        </w:rPr>
      </w:pPr>
      <w:bookmarkStart w:id="80" w:name="_Toc160611836"/>
      <w:r w:rsidRPr="00FB7CC0">
        <w:rPr>
          <w:rFonts w:ascii="Calibri" w:eastAsia="MS PGothic" w:hAnsi="Calibri" w:cs="Calibri"/>
          <w:color w:val="2F5496"/>
          <w:lang w:val="en-US" w:eastAsia="zh-CN"/>
        </w:rPr>
        <w:t xml:space="preserve">Chapter III: </w:t>
      </w:r>
      <w:r w:rsidR="00A42B0B" w:rsidRPr="00FB7CC0">
        <w:rPr>
          <w:rFonts w:ascii="Calibri" w:eastAsia="MS PGothic" w:hAnsi="Calibri" w:cs="Calibri"/>
          <w:color w:val="2F5496"/>
          <w:lang w:val="en-US" w:eastAsia="zh-CN"/>
        </w:rPr>
        <w:t xml:space="preserve">Roles and Responsibilities for Implementing, Monitoring and </w:t>
      </w:r>
      <w:r w:rsidR="00FF079C" w:rsidRPr="00FB7CC0">
        <w:rPr>
          <w:rFonts w:ascii="Calibri" w:eastAsia="MS PGothic" w:hAnsi="Calibri" w:cs="Calibri"/>
          <w:color w:val="2F5496"/>
          <w:lang w:val="en-US" w:eastAsia="zh-CN"/>
        </w:rPr>
        <w:t>Reporting</w:t>
      </w:r>
      <w:bookmarkEnd w:id="80"/>
    </w:p>
    <w:p w14:paraId="6D52D62F" w14:textId="77777777" w:rsidR="00C60174" w:rsidRPr="008C761D" w:rsidRDefault="00C60174" w:rsidP="00C60174">
      <w:pPr>
        <w:spacing w:line="240" w:lineRule="auto"/>
        <w:jc w:val="both"/>
        <w:rPr>
          <w:rFonts w:cs="Calibri"/>
          <w:lang w:val="en-US"/>
        </w:rPr>
      </w:pPr>
      <w:r w:rsidRPr="008C761D">
        <w:rPr>
          <w:rFonts w:cs="Calibri"/>
          <w:lang w:val="en-US"/>
        </w:rPr>
        <w:t xml:space="preserve">The PFM Reform Programme will be implemented through annual action plans adopted by the Government. </w:t>
      </w:r>
    </w:p>
    <w:p w14:paraId="1DEFB3C6" w14:textId="77777777" w:rsidR="00C60174" w:rsidRPr="008C761D" w:rsidRDefault="00C60174" w:rsidP="00C60174">
      <w:pPr>
        <w:spacing w:line="240" w:lineRule="auto"/>
        <w:jc w:val="both"/>
        <w:rPr>
          <w:rFonts w:cs="Calibri"/>
          <w:lang w:val="en-US"/>
        </w:rPr>
      </w:pPr>
      <w:r w:rsidRPr="008C761D">
        <w:rPr>
          <w:rFonts w:cs="Calibri"/>
          <w:lang w:val="en-US"/>
        </w:rPr>
        <w:t>The responsibility for coordinating the implementation of and reporting about the reform lies with the Ministry of Finance through the PFM Sector Working Group, while the Programme oversight is performed by the PFM Council.</w:t>
      </w:r>
    </w:p>
    <w:p w14:paraId="0FD07F96" w14:textId="77777777" w:rsidR="00C60174" w:rsidRPr="008C761D" w:rsidRDefault="00C60174" w:rsidP="00C60174">
      <w:pPr>
        <w:spacing w:line="240" w:lineRule="auto"/>
        <w:jc w:val="both"/>
        <w:rPr>
          <w:rFonts w:cs="Calibri"/>
          <w:lang w:val="en-US"/>
        </w:rPr>
      </w:pPr>
      <w:r w:rsidRPr="008C761D">
        <w:rPr>
          <w:rFonts w:cs="Calibri"/>
          <w:lang w:val="en-US"/>
        </w:rPr>
        <w:t>PFM Reform Programme and PFM strategies involve the entire government sector, including line ministries, public enterprises and local governments.</w:t>
      </w:r>
    </w:p>
    <w:p w14:paraId="4CBB4A00" w14:textId="77777777" w:rsidR="00C60174" w:rsidRPr="008C761D" w:rsidRDefault="00C60174" w:rsidP="00C60174">
      <w:pPr>
        <w:spacing w:line="240" w:lineRule="auto"/>
        <w:jc w:val="both"/>
        <w:rPr>
          <w:rFonts w:cs="Calibri"/>
          <w:lang w:val="en-US"/>
        </w:rPr>
      </w:pPr>
      <w:r w:rsidRPr="008C761D">
        <w:rPr>
          <w:rFonts w:cs="Calibri"/>
          <w:lang w:val="en-US"/>
        </w:rPr>
        <w:t xml:space="preserve">PFM management and coordination framework for the period 2024-2027 comprises the following bodies, established under the PFM Reform Programme 2018-2021: </w:t>
      </w:r>
    </w:p>
    <w:p w14:paraId="4812B7CB" w14:textId="77777777" w:rsidR="00C60174" w:rsidRPr="008C761D" w:rsidRDefault="00C60174" w:rsidP="003A338C">
      <w:pPr>
        <w:numPr>
          <w:ilvl w:val="0"/>
          <w:numId w:val="14"/>
        </w:numPr>
        <w:spacing w:line="240" w:lineRule="auto"/>
        <w:jc w:val="both"/>
        <w:rPr>
          <w:rFonts w:cs="Calibri"/>
          <w:lang w:val="en-US"/>
        </w:rPr>
      </w:pPr>
      <w:r w:rsidRPr="008C761D">
        <w:rPr>
          <w:rFonts w:cs="Calibri"/>
          <w:lang w:val="en-US"/>
        </w:rPr>
        <w:t>PFM Council;</w:t>
      </w:r>
    </w:p>
    <w:p w14:paraId="1121BFC4" w14:textId="77777777" w:rsidR="00C60174" w:rsidRPr="008C761D" w:rsidRDefault="00C60174" w:rsidP="003A338C">
      <w:pPr>
        <w:numPr>
          <w:ilvl w:val="0"/>
          <w:numId w:val="14"/>
        </w:numPr>
        <w:spacing w:line="240" w:lineRule="auto"/>
        <w:jc w:val="both"/>
        <w:rPr>
          <w:rFonts w:cs="Calibri"/>
          <w:lang w:val="en-US"/>
        </w:rPr>
      </w:pPr>
      <w:r w:rsidRPr="008C761D">
        <w:rPr>
          <w:rFonts w:cs="Calibri"/>
          <w:lang w:val="en-US"/>
        </w:rPr>
        <w:t>PFM Sector Working Group;</w:t>
      </w:r>
    </w:p>
    <w:p w14:paraId="56C66D96" w14:textId="77777777" w:rsidR="00C60174" w:rsidRPr="008C761D" w:rsidRDefault="00C60174" w:rsidP="003A338C">
      <w:pPr>
        <w:numPr>
          <w:ilvl w:val="0"/>
          <w:numId w:val="14"/>
        </w:numPr>
        <w:spacing w:line="240" w:lineRule="auto"/>
        <w:jc w:val="both"/>
        <w:rPr>
          <w:rFonts w:cs="Calibri"/>
          <w:lang w:val="en-US"/>
        </w:rPr>
      </w:pPr>
      <w:r w:rsidRPr="008C761D">
        <w:rPr>
          <w:rFonts w:cs="Calibri"/>
          <w:lang w:val="en-US"/>
        </w:rPr>
        <w:t>Priority Coordinators;</w:t>
      </w:r>
    </w:p>
    <w:p w14:paraId="1566F3DA" w14:textId="77777777" w:rsidR="00C60174" w:rsidRPr="008C761D" w:rsidRDefault="00C60174" w:rsidP="003A338C">
      <w:pPr>
        <w:numPr>
          <w:ilvl w:val="0"/>
          <w:numId w:val="14"/>
        </w:numPr>
        <w:spacing w:line="240" w:lineRule="auto"/>
        <w:jc w:val="both"/>
        <w:rPr>
          <w:rFonts w:cs="Calibri"/>
          <w:lang w:val="en-US"/>
        </w:rPr>
      </w:pPr>
      <w:r w:rsidRPr="008C761D">
        <w:rPr>
          <w:rFonts w:cs="Calibri"/>
          <w:lang w:val="en-US"/>
        </w:rPr>
        <w:t>Coordination Unit within the Ministry of Finance;</w:t>
      </w:r>
    </w:p>
    <w:p w14:paraId="29A5BC4D" w14:textId="77777777" w:rsidR="00C60174" w:rsidRPr="00FB7CC0" w:rsidRDefault="00C60174" w:rsidP="00C60174">
      <w:pPr>
        <w:pStyle w:val="NormalPFM1"/>
        <w:spacing w:before="0" w:after="120" w:line="240" w:lineRule="auto"/>
        <w:rPr>
          <w:rFonts w:eastAsia="Calibri" w:cs="Calibri"/>
          <w:b/>
          <w:color w:val="0070C0"/>
          <w:sz w:val="24"/>
          <w:szCs w:val="24"/>
          <w:lang w:val="en-US" w:eastAsia="en-US"/>
        </w:rPr>
      </w:pPr>
      <w:r w:rsidRPr="00FB7CC0">
        <w:rPr>
          <w:rFonts w:eastAsia="Calibri" w:cs="Calibri"/>
          <w:b/>
          <w:color w:val="0070C0"/>
          <w:sz w:val="24"/>
          <w:szCs w:val="24"/>
          <w:lang w:val="en-US" w:eastAsia="en-US"/>
        </w:rPr>
        <w:t>PFM Council</w:t>
      </w:r>
    </w:p>
    <w:p w14:paraId="5635A219" w14:textId="77777777" w:rsidR="00C60174" w:rsidRPr="008C761D" w:rsidRDefault="00C60174" w:rsidP="00C60174">
      <w:pPr>
        <w:spacing w:line="240" w:lineRule="auto"/>
        <w:jc w:val="both"/>
        <w:rPr>
          <w:rFonts w:cs="Calibri"/>
          <w:lang w:val="en-US"/>
        </w:rPr>
      </w:pPr>
      <w:r w:rsidRPr="008C761D">
        <w:rPr>
          <w:rFonts w:cs="Calibri"/>
          <w:lang w:val="en-US"/>
        </w:rPr>
        <w:t>The Government established the Public Financial Management Council on 17</w:t>
      </w:r>
      <w:r w:rsidRPr="008C761D">
        <w:rPr>
          <w:rFonts w:cs="Calibri"/>
          <w:vertAlign w:val="superscript"/>
          <w:lang w:val="en-US"/>
        </w:rPr>
        <w:t>th</w:t>
      </w:r>
      <w:r w:rsidRPr="008C761D">
        <w:rPr>
          <w:rFonts w:cs="Calibri"/>
          <w:lang w:val="en-US"/>
        </w:rPr>
        <w:t>Junе 2022 (“Official Gazette of Republic of North Macedonia”, no. 139/2022), as the highest-level coordination body, the primary goal of which is to ensure full political commitment in achieving the reform goals under the PFM Reform Programme 2022-2025.</w:t>
      </w:r>
    </w:p>
    <w:p w14:paraId="629887E6" w14:textId="77777777" w:rsidR="00C60174" w:rsidRPr="008C761D" w:rsidRDefault="00C60174" w:rsidP="00C60174">
      <w:pPr>
        <w:spacing w:line="240" w:lineRule="auto"/>
        <w:jc w:val="both"/>
        <w:rPr>
          <w:rFonts w:cs="Calibri"/>
          <w:lang w:val="en-US"/>
        </w:rPr>
      </w:pPr>
      <w:r w:rsidRPr="008C761D">
        <w:rPr>
          <w:rFonts w:cs="Calibri"/>
          <w:lang w:val="en-US"/>
        </w:rPr>
        <w:t>PFM Council comprises the following members:</w:t>
      </w:r>
    </w:p>
    <w:p w14:paraId="10A27533" w14:textId="77777777" w:rsidR="00C60174" w:rsidRPr="008C761D" w:rsidRDefault="00C60174" w:rsidP="003A338C">
      <w:pPr>
        <w:numPr>
          <w:ilvl w:val="0"/>
          <w:numId w:val="15"/>
        </w:numPr>
        <w:spacing w:line="240" w:lineRule="auto"/>
        <w:jc w:val="both"/>
        <w:rPr>
          <w:rFonts w:cs="Calibri"/>
          <w:lang w:val="en-US"/>
        </w:rPr>
      </w:pPr>
      <w:r w:rsidRPr="008C761D">
        <w:rPr>
          <w:rFonts w:cs="Calibri"/>
          <w:lang w:val="en-US"/>
        </w:rPr>
        <w:t>Minister of Finance - Chairman</w:t>
      </w:r>
    </w:p>
    <w:p w14:paraId="7F7349C2"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Deputy Prime Minister for European Affairs </w:t>
      </w:r>
    </w:p>
    <w:p w14:paraId="04E186C0"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Deputy Prime Minister in charge of Economic Affairs, Coordination of Economic Departments and Investments </w:t>
      </w:r>
    </w:p>
    <w:p w14:paraId="5AFB1D2F"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Minister of Economy </w:t>
      </w:r>
    </w:p>
    <w:p w14:paraId="6E9B7F12"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Minister of Information Society and Administration </w:t>
      </w:r>
    </w:p>
    <w:p w14:paraId="5E66BE10"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Customs Administration Director </w:t>
      </w:r>
    </w:p>
    <w:p w14:paraId="269654A4"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Public Revenue Office Director </w:t>
      </w:r>
    </w:p>
    <w:p w14:paraId="7039CF79"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 xml:space="preserve">Public Procurement Bureau Director </w:t>
      </w:r>
    </w:p>
    <w:p w14:paraId="74D94220"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President of the State Appeals Commission</w:t>
      </w:r>
    </w:p>
    <w:p w14:paraId="4DCAB87D" w14:textId="77777777" w:rsidR="00C75160" w:rsidRPr="008C761D" w:rsidRDefault="00C75160" w:rsidP="00C75160">
      <w:pPr>
        <w:numPr>
          <w:ilvl w:val="0"/>
          <w:numId w:val="15"/>
        </w:numPr>
        <w:spacing w:line="240" w:lineRule="auto"/>
        <w:jc w:val="both"/>
        <w:rPr>
          <w:rFonts w:cs="Calibri"/>
          <w:lang w:val="en-US"/>
        </w:rPr>
      </w:pPr>
      <w:r w:rsidRPr="008C761D">
        <w:rPr>
          <w:rFonts w:cs="Calibri"/>
          <w:lang w:val="en-US"/>
        </w:rPr>
        <w:t>Auditor General</w:t>
      </w:r>
    </w:p>
    <w:p w14:paraId="0B4B244C" w14:textId="1C49BD51" w:rsidR="00C60174" w:rsidRPr="008C761D" w:rsidRDefault="00C60174" w:rsidP="00C60174">
      <w:pPr>
        <w:spacing w:line="240" w:lineRule="auto"/>
        <w:jc w:val="both"/>
        <w:rPr>
          <w:rFonts w:cs="Calibri"/>
          <w:lang w:val="en-US"/>
        </w:rPr>
      </w:pPr>
      <w:r w:rsidRPr="008C761D">
        <w:rPr>
          <w:rFonts w:cs="Calibri"/>
          <w:lang w:val="en-US"/>
        </w:rPr>
        <w:t xml:space="preserve">PFM Council oversees the Programme implementation, undertakes the necessary activities while fulfilling the reform goals under the Programme, jointly deliberates on the critical points or </w:t>
      </w:r>
      <w:r w:rsidRPr="008C761D">
        <w:rPr>
          <w:rFonts w:cs="Calibri"/>
          <w:lang w:val="en-US"/>
        </w:rPr>
        <w:lastRenderedPageBreak/>
        <w:t xml:space="preserve">bottlenecks in further implementation of the Programme, proposes and undertakes corrective actions to resolve the identified problems, holds high-level policy dialogue with the donors and other stakeholders on the implementation, financing and scope of the PFM </w:t>
      </w:r>
      <w:r w:rsidR="00FD1416" w:rsidRPr="008C761D">
        <w:rPr>
          <w:rFonts w:cs="Calibri"/>
          <w:lang w:val="en-US"/>
        </w:rPr>
        <w:t>reform.</w:t>
      </w:r>
      <w:r w:rsidR="00FD1416" w:rsidRPr="008C761D">
        <w:rPr>
          <w:rFonts w:cs="Calibri"/>
          <w:color w:val="000000"/>
          <w:lang w:val="en-US"/>
        </w:rPr>
        <w:t xml:space="preserve"> It</w:t>
      </w:r>
      <w:r w:rsidRPr="008C761D">
        <w:rPr>
          <w:rFonts w:cs="Calibri"/>
          <w:color w:val="000000"/>
          <w:lang w:val="en-US"/>
        </w:rPr>
        <w:t xml:space="preserve"> approves the annual action plans and reports on monitoring the Programme implementation, which are submitted for adoption to the Government of North Macedonia.</w:t>
      </w:r>
    </w:p>
    <w:p w14:paraId="5CBC40F6" w14:textId="77777777" w:rsidR="00C60174" w:rsidRPr="008C761D" w:rsidRDefault="00C60174" w:rsidP="00C60174">
      <w:pPr>
        <w:spacing w:line="240" w:lineRule="auto"/>
        <w:jc w:val="both"/>
        <w:rPr>
          <w:rFonts w:cs="Calibri"/>
          <w:lang w:val="en-US"/>
        </w:rPr>
      </w:pPr>
      <w:r w:rsidRPr="008C761D">
        <w:rPr>
          <w:rFonts w:cs="Calibri"/>
          <w:lang w:val="en-US"/>
        </w:rPr>
        <w:t>Tasks and obligations, as well as PFM Council composition, will be additionally determined under new decision on establishment of PFM Council under PFM Reform Programme 2024-2027.</w:t>
      </w:r>
    </w:p>
    <w:p w14:paraId="3D1516E7" w14:textId="77777777" w:rsidR="00C60174" w:rsidRPr="00FB7CC0" w:rsidRDefault="00C60174" w:rsidP="00C60174">
      <w:pPr>
        <w:spacing w:line="240" w:lineRule="auto"/>
        <w:jc w:val="both"/>
        <w:rPr>
          <w:rFonts w:cs="Calibri"/>
          <w:b/>
          <w:color w:val="0070C0"/>
          <w:sz w:val="24"/>
          <w:szCs w:val="24"/>
          <w:lang w:val="en-US"/>
        </w:rPr>
      </w:pPr>
      <w:r w:rsidRPr="00FB7CC0">
        <w:rPr>
          <w:rFonts w:cs="Calibri"/>
          <w:b/>
          <w:color w:val="0070C0"/>
          <w:sz w:val="24"/>
          <w:szCs w:val="24"/>
          <w:lang w:val="en-US"/>
        </w:rPr>
        <w:t>PFM Sector Working Group</w:t>
      </w:r>
    </w:p>
    <w:p w14:paraId="6D1C6738" w14:textId="6C5B9B89" w:rsidR="00C60174" w:rsidRPr="008C761D" w:rsidRDefault="00C60174" w:rsidP="00C60174">
      <w:pPr>
        <w:spacing w:line="240" w:lineRule="auto"/>
        <w:jc w:val="both"/>
        <w:rPr>
          <w:rFonts w:cs="Calibri"/>
          <w:lang w:val="en-US"/>
        </w:rPr>
      </w:pPr>
      <w:r w:rsidRPr="008C761D">
        <w:rPr>
          <w:rFonts w:cs="Calibri"/>
          <w:lang w:val="en-US"/>
        </w:rPr>
        <w:t>PFM Sector Working Group is a technical working body established by the Minister of Finance for the purpose of preparing, monitoring and reporting on the PFM Reform Programme.</w:t>
      </w:r>
      <w:r w:rsidR="00FD1416">
        <w:rPr>
          <w:rFonts w:cs="Calibri"/>
          <w:lang w:val="en-US"/>
        </w:rPr>
        <w:t xml:space="preserve"> </w:t>
      </w:r>
      <w:r w:rsidRPr="008C761D">
        <w:rPr>
          <w:rFonts w:cs="Calibri"/>
          <w:lang w:val="en-US"/>
        </w:rPr>
        <w:t>It comprises members and observers nominated by the relevant institutions included in activities related to PFM sector (ministries and other public entities, civil society organisations, donor community).The Working Group was initially established under a Decision adopted by the Minister of Finance on 10</w:t>
      </w:r>
      <w:r w:rsidRPr="008C761D">
        <w:rPr>
          <w:rFonts w:cs="Calibri"/>
          <w:vertAlign w:val="superscript"/>
          <w:lang w:val="en-US"/>
        </w:rPr>
        <w:t>th</w:t>
      </w:r>
      <w:r w:rsidRPr="008C761D">
        <w:rPr>
          <w:rFonts w:cs="Calibri"/>
          <w:lang w:val="en-US"/>
        </w:rPr>
        <w:t xml:space="preserve"> June 2015, and it has been modified and amended several time since, with the recent amendment made on 3</w:t>
      </w:r>
      <w:r w:rsidRPr="008C761D">
        <w:rPr>
          <w:rFonts w:cs="Calibri"/>
          <w:vertAlign w:val="superscript"/>
          <w:lang w:val="en-US"/>
        </w:rPr>
        <w:t>th</w:t>
      </w:r>
      <w:r w:rsidRPr="008C761D">
        <w:rPr>
          <w:rFonts w:cs="Calibri"/>
          <w:lang w:val="en-US"/>
        </w:rPr>
        <w:t>July 2023.New decision of appointment of WG members and observers will be adopted in line with the new structure of the PFM Reform Programme 2024-2027.</w:t>
      </w:r>
    </w:p>
    <w:p w14:paraId="75B0BE3C" w14:textId="77777777" w:rsidR="00C60174" w:rsidRPr="008C761D" w:rsidRDefault="00C60174" w:rsidP="00C60174">
      <w:pPr>
        <w:spacing w:line="240" w:lineRule="auto"/>
        <w:jc w:val="both"/>
        <w:rPr>
          <w:rFonts w:cs="Calibri"/>
          <w:lang w:val="en-US"/>
        </w:rPr>
      </w:pPr>
      <w:r w:rsidRPr="008C761D">
        <w:rPr>
          <w:rFonts w:cs="Calibri"/>
          <w:lang w:val="en-US"/>
        </w:rPr>
        <w:t>Minister of Finance, or in his absence, Deputy Chairman appointed by him, chairs the PFM Sector Working Group.</w:t>
      </w:r>
    </w:p>
    <w:p w14:paraId="187EFD69" w14:textId="60C95CD2" w:rsidR="00C60174" w:rsidRPr="008C761D" w:rsidRDefault="00C60174" w:rsidP="00C60174">
      <w:pPr>
        <w:spacing w:line="240" w:lineRule="auto"/>
        <w:jc w:val="both"/>
        <w:rPr>
          <w:rFonts w:cs="Calibri"/>
          <w:lang w:val="en-US"/>
        </w:rPr>
      </w:pPr>
      <w:r w:rsidRPr="008C761D">
        <w:rPr>
          <w:rFonts w:cs="Calibri"/>
          <w:lang w:val="en-US"/>
        </w:rPr>
        <w:t>Following institutions participate in the operations of the PFM SWG:</w:t>
      </w:r>
      <w:r w:rsidR="00FD1416">
        <w:rPr>
          <w:rFonts w:cs="Calibri"/>
          <w:lang w:val="en-US"/>
        </w:rPr>
        <w:t xml:space="preserve"> </w:t>
      </w:r>
      <w:r w:rsidRPr="008C761D">
        <w:rPr>
          <w:rFonts w:cs="Calibri"/>
          <w:lang w:val="en-US"/>
        </w:rPr>
        <w:t>Ministry of Finance, Customs Administration, Public revenue Office, Public Procurement Bureau, Ministry of Economy, State Audit Office, , Secretariat for European Affairs, Ministry of Information Society and Administration, Cabinet of the Deputy Prime Minister in charge of Economic Affairs, Coordination of Economic Departments and Investments, representatives of the development partners  and civil society organisations in the field of PFM.</w:t>
      </w:r>
    </w:p>
    <w:p w14:paraId="5ACC5120" w14:textId="77777777" w:rsidR="00C60174" w:rsidRPr="008C761D" w:rsidRDefault="00C60174" w:rsidP="00C60174">
      <w:pPr>
        <w:spacing w:line="240" w:lineRule="auto"/>
        <w:jc w:val="both"/>
        <w:rPr>
          <w:rFonts w:cs="Calibri"/>
          <w:lang w:val="en-US"/>
        </w:rPr>
      </w:pPr>
      <w:r w:rsidRPr="008C761D">
        <w:rPr>
          <w:rFonts w:cs="Calibri"/>
          <w:lang w:val="en-US"/>
        </w:rPr>
        <w:t>Under the Decision, Priority Coordinators are appointed for the priorities within the Programme Pillars, assigning them tasks and duties related to the monitoring and reporting system.</w:t>
      </w:r>
    </w:p>
    <w:p w14:paraId="6B512A5D" w14:textId="77777777" w:rsidR="00C60174" w:rsidRPr="008C761D" w:rsidRDefault="00C60174" w:rsidP="00C60174">
      <w:pPr>
        <w:spacing w:line="240" w:lineRule="auto"/>
        <w:jc w:val="both"/>
        <w:rPr>
          <w:rFonts w:cs="Calibri"/>
          <w:lang w:val="en-US"/>
        </w:rPr>
      </w:pPr>
      <w:r w:rsidRPr="008C761D">
        <w:rPr>
          <w:rFonts w:cs="Calibri"/>
          <w:lang w:val="en-US"/>
        </w:rPr>
        <w:t>PFM SWG will continue its operations in order to ensure support in the implementation of PFM Reform Programme 2024-2027.</w:t>
      </w:r>
    </w:p>
    <w:p w14:paraId="23D327A6" w14:textId="2FAD6BA9" w:rsidR="00C60174" w:rsidRPr="008C761D" w:rsidRDefault="00C60174" w:rsidP="00C60174">
      <w:pPr>
        <w:spacing w:line="240" w:lineRule="auto"/>
        <w:jc w:val="both"/>
        <w:rPr>
          <w:rFonts w:cs="Calibri"/>
          <w:lang w:val="en-US"/>
        </w:rPr>
      </w:pPr>
      <w:r w:rsidRPr="008C761D">
        <w:rPr>
          <w:rFonts w:cs="Calibri"/>
          <w:lang w:val="en-US"/>
        </w:rPr>
        <w:t>The Working Group is the main coordination body at technical level to debate on the national PFM reform documents, as well as inter-sector and sector strategies and development programmes (planning documents) related to PFM reforms.</w:t>
      </w:r>
      <w:r w:rsidR="00FD1416">
        <w:rPr>
          <w:rFonts w:cs="Calibri"/>
          <w:lang w:val="en-US"/>
        </w:rPr>
        <w:t xml:space="preserve"> </w:t>
      </w:r>
      <w:r w:rsidRPr="008C761D">
        <w:rPr>
          <w:rFonts w:cs="Calibri"/>
          <w:lang w:val="en-US"/>
        </w:rPr>
        <w:t>It is an inter-institutional coordination forum with a mandate to implement expert-level tasks related to formulation, monitoring and evaluation of PFM reform policies, including those relevant for the EU integration.</w:t>
      </w:r>
    </w:p>
    <w:p w14:paraId="76A4DA80" w14:textId="77777777" w:rsidR="00C60174" w:rsidRPr="008C761D" w:rsidRDefault="00C60174" w:rsidP="00C60174">
      <w:pPr>
        <w:spacing w:line="240" w:lineRule="auto"/>
        <w:jc w:val="both"/>
        <w:rPr>
          <w:rFonts w:cs="Calibri"/>
          <w:lang w:val="en-US"/>
        </w:rPr>
      </w:pPr>
      <w:r w:rsidRPr="008C761D">
        <w:rPr>
          <w:rFonts w:cs="Calibri"/>
          <w:lang w:val="en-US"/>
        </w:rPr>
        <w:t>PFM SWG tasks and obligations are regulated in more details with a decision on its establishment.</w:t>
      </w:r>
    </w:p>
    <w:p w14:paraId="2D5F607B" w14:textId="77777777" w:rsidR="00C60174" w:rsidRPr="008C761D" w:rsidRDefault="00C60174" w:rsidP="00C60174">
      <w:pPr>
        <w:spacing w:line="240" w:lineRule="auto"/>
        <w:jc w:val="both"/>
        <w:rPr>
          <w:rFonts w:cs="Calibri"/>
          <w:lang w:val="en-US"/>
        </w:rPr>
      </w:pPr>
      <w:r w:rsidRPr="008C761D">
        <w:rPr>
          <w:rFonts w:cs="Calibri"/>
          <w:lang w:val="en-US"/>
        </w:rPr>
        <w:t>It prepares annual action plans on Programme implementation, coordinates and monitors the implementation of activities within each priority and prepares reports on progress monitoring.</w:t>
      </w:r>
    </w:p>
    <w:p w14:paraId="3F050B73" w14:textId="77777777" w:rsidR="00C60174" w:rsidRPr="008C761D" w:rsidRDefault="00C60174" w:rsidP="00C60174">
      <w:pPr>
        <w:spacing w:line="240" w:lineRule="auto"/>
        <w:jc w:val="both"/>
        <w:rPr>
          <w:rFonts w:cs="Calibri"/>
          <w:lang w:val="en-US"/>
        </w:rPr>
      </w:pPr>
      <w:r w:rsidRPr="008C761D">
        <w:rPr>
          <w:rFonts w:cs="Calibri"/>
          <w:lang w:val="en-US"/>
        </w:rPr>
        <w:t>PFM SWG will convene a plenary session at least twice a year to monitor the reform progress and, if necessary, any other stakeholders may be invited to participate in its work.</w:t>
      </w:r>
    </w:p>
    <w:p w14:paraId="2E50A3A9" w14:textId="6922108F" w:rsidR="00C75160" w:rsidRPr="008C761D" w:rsidRDefault="00C75160" w:rsidP="00C75160">
      <w:pPr>
        <w:spacing w:line="240" w:lineRule="auto"/>
        <w:jc w:val="both"/>
        <w:rPr>
          <w:rFonts w:cs="Calibri"/>
          <w:lang w:val="en-US"/>
        </w:rPr>
      </w:pPr>
      <w:r w:rsidRPr="008C761D">
        <w:rPr>
          <w:lang w:val="en-US"/>
        </w:rPr>
        <w:t>For each pillar of the Programme risks that the measures, defined for each priority, will not lead to achieving the objectives and expected deliverables are presented in the Implementation table.</w:t>
      </w:r>
      <w:r w:rsidR="00FD1416">
        <w:rPr>
          <w:lang w:val="en-US"/>
        </w:rPr>
        <w:t xml:space="preserve"> </w:t>
      </w:r>
      <w:r w:rsidRPr="008C761D">
        <w:rPr>
          <w:lang w:val="en-US"/>
        </w:rPr>
        <w:t>The responsible entities (in this case, the priority coordinators) are</w:t>
      </w:r>
      <w:r w:rsidR="00FD1416">
        <w:rPr>
          <w:lang w:val="en-US"/>
        </w:rPr>
        <w:t xml:space="preserve"> </w:t>
      </w:r>
      <w:r w:rsidRPr="008C761D">
        <w:rPr>
          <w:lang w:val="en-US"/>
        </w:rPr>
        <w:t>responsible</w:t>
      </w:r>
      <w:r w:rsidR="00FD1416">
        <w:rPr>
          <w:lang w:val="en-US"/>
        </w:rPr>
        <w:t xml:space="preserve"> </w:t>
      </w:r>
      <w:r w:rsidRPr="008C761D">
        <w:rPr>
          <w:lang w:val="en-US"/>
        </w:rPr>
        <w:t xml:space="preserve">for taking mitigating measures and to report </w:t>
      </w:r>
      <w:r w:rsidR="00FD1416" w:rsidRPr="008C761D">
        <w:rPr>
          <w:lang w:val="en-US"/>
        </w:rPr>
        <w:t>on the</w:t>
      </w:r>
      <w:r w:rsidRPr="008C761D">
        <w:rPr>
          <w:lang w:val="en-US"/>
        </w:rPr>
        <w:t xml:space="preserve"> results of these mitigating measures and on still existing risks in the</w:t>
      </w:r>
      <w:r w:rsidR="00FD1416">
        <w:rPr>
          <w:lang w:val="en-US"/>
        </w:rPr>
        <w:t xml:space="preserve"> </w:t>
      </w:r>
      <w:r w:rsidRPr="008C761D">
        <w:rPr>
          <w:lang w:val="en-US"/>
        </w:rPr>
        <w:t>annual monitoring report.</w:t>
      </w:r>
    </w:p>
    <w:p w14:paraId="47B8278B" w14:textId="77777777" w:rsidR="00C60174" w:rsidRPr="008C761D" w:rsidRDefault="00C60174" w:rsidP="00C60174">
      <w:pPr>
        <w:spacing w:line="240" w:lineRule="auto"/>
        <w:jc w:val="both"/>
        <w:rPr>
          <w:rFonts w:cs="Calibri"/>
          <w:lang w:val="en-US"/>
        </w:rPr>
      </w:pPr>
      <w:r w:rsidRPr="008C761D">
        <w:rPr>
          <w:rFonts w:cs="Calibri"/>
          <w:lang w:val="en-US"/>
        </w:rPr>
        <w:lastRenderedPageBreak/>
        <w:t>Meetings of the PFM SWG are held at policy and technical level.</w:t>
      </w:r>
    </w:p>
    <w:p w14:paraId="7ED1E2EC" w14:textId="77777777" w:rsidR="00C60174" w:rsidRPr="008C761D" w:rsidRDefault="00C60174" w:rsidP="00C60174">
      <w:pPr>
        <w:spacing w:line="240" w:lineRule="auto"/>
        <w:jc w:val="both"/>
        <w:rPr>
          <w:rFonts w:cs="Calibri"/>
          <w:lang w:val="en-US"/>
        </w:rPr>
      </w:pPr>
      <w:r w:rsidRPr="008C761D">
        <w:rPr>
          <w:rFonts w:cs="Calibri"/>
          <w:lang w:val="en-US"/>
        </w:rPr>
        <w:t>At policy level, the meetings are held in a form of high-level PFM policy dialogues with all relevant stakeholders (civil society, academia, EC and other donors, IFI’s and other international partners active in the sector).</w:t>
      </w:r>
    </w:p>
    <w:p w14:paraId="54FB795C" w14:textId="77777777" w:rsidR="00C60174" w:rsidRPr="008C761D" w:rsidRDefault="00C60174" w:rsidP="00C60174">
      <w:pPr>
        <w:spacing w:line="240" w:lineRule="auto"/>
        <w:jc w:val="both"/>
        <w:rPr>
          <w:rFonts w:eastAsia="Times New Roman" w:cs="Calibri"/>
          <w:lang w:val="en-US" w:eastAsia="mk-MK"/>
        </w:rPr>
      </w:pPr>
      <w:r w:rsidRPr="008C761D">
        <w:rPr>
          <w:rFonts w:cs="Calibri"/>
          <w:iCs/>
          <w:lang w:val="en-US" w:eastAsia="mk-MK"/>
        </w:rPr>
        <w:t>At technical level, SWG meetings are held with its members, discussing concrete PFM issues, including IPA programming and implementation.</w:t>
      </w:r>
    </w:p>
    <w:p w14:paraId="4E6BA18D" w14:textId="77777777" w:rsidR="00C60174" w:rsidRPr="00FB7CC0" w:rsidRDefault="00C60174" w:rsidP="00C60174">
      <w:pPr>
        <w:spacing w:line="240" w:lineRule="auto"/>
        <w:jc w:val="both"/>
        <w:rPr>
          <w:rFonts w:cs="Calibri"/>
          <w:b/>
          <w:color w:val="0070C0"/>
          <w:sz w:val="24"/>
          <w:szCs w:val="24"/>
          <w:lang w:val="en-US"/>
        </w:rPr>
      </w:pPr>
      <w:r w:rsidRPr="00FB7CC0">
        <w:rPr>
          <w:rFonts w:cs="Calibri"/>
          <w:b/>
          <w:color w:val="0070C0"/>
          <w:sz w:val="24"/>
          <w:szCs w:val="24"/>
          <w:lang w:val="en-US"/>
        </w:rPr>
        <w:t>Priority Coordinator</w:t>
      </w:r>
    </w:p>
    <w:p w14:paraId="122183FA" w14:textId="2C2D1266" w:rsidR="00C60174" w:rsidRPr="008C761D" w:rsidRDefault="00C60174" w:rsidP="00C60174">
      <w:pPr>
        <w:spacing w:after="120" w:line="240" w:lineRule="auto"/>
        <w:jc w:val="both"/>
        <w:rPr>
          <w:rFonts w:eastAsia="Times New Roman" w:cs="Calibri"/>
          <w:iCs/>
          <w:lang w:val="en-US" w:eastAsia="mk-MK"/>
        </w:rPr>
      </w:pPr>
      <w:r w:rsidRPr="008C761D">
        <w:rPr>
          <w:rFonts w:cs="Calibri"/>
          <w:color w:val="000000"/>
          <w:lang w:val="en-US"/>
        </w:rPr>
        <w:t xml:space="preserve">On the basis of nominations submitted by the relevant institutions, Minister of Finance appoints Priority Coordinator for each priority within the respective </w:t>
      </w:r>
      <w:r w:rsidR="00FD1416" w:rsidRPr="008C761D">
        <w:rPr>
          <w:rFonts w:cs="Calibri"/>
          <w:color w:val="000000"/>
          <w:lang w:val="en-US"/>
        </w:rPr>
        <w:t>Pillar. Priority</w:t>
      </w:r>
      <w:r w:rsidRPr="008C761D">
        <w:rPr>
          <w:rFonts w:cs="Calibri"/>
          <w:color w:val="000000"/>
          <w:lang w:val="en-US"/>
        </w:rPr>
        <w:t xml:space="preserve"> Coordinator coordinates and monitors the implementation of the activities within each priority measure, monitors the fulfilment of the priority indicators and reports on the progress </w:t>
      </w:r>
      <w:r w:rsidR="00FD1416" w:rsidRPr="008C761D">
        <w:rPr>
          <w:rFonts w:cs="Calibri"/>
          <w:color w:val="000000"/>
          <w:lang w:val="en-US"/>
        </w:rPr>
        <w:t>achieved. He</w:t>
      </w:r>
      <w:r w:rsidRPr="008C761D">
        <w:rPr>
          <w:rFonts w:cs="Calibri"/>
          <w:color w:val="000000"/>
          <w:lang w:val="en-US"/>
        </w:rPr>
        <w:t xml:space="preserve">/she prepares reports on </w:t>
      </w:r>
      <w:r w:rsidRPr="008C761D">
        <w:rPr>
          <w:rFonts w:cs="Calibri"/>
          <w:iCs/>
          <w:lang w:val="en-US" w:eastAsia="mk-MK"/>
        </w:rPr>
        <w:t>the implementation of the reforms under each priority</w:t>
      </w:r>
      <w:r w:rsidRPr="008C761D">
        <w:rPr>
          <w:rFonts w:cs="Calibri"/>
          <w:color w:val="000000"/>
          <w:lang w:val="en-US"/>
        </w:rPr>
        <w:t xml:space="preserve"> and proposes annual action plans on Programme implementation.</w:t>
      </w:r>
    </w:p>
    <w:p w14:paraId="2AD0DAEC" w14:textId="77777777" w:rsidR="00C60174" w:rsidRPr="00FB7CC0" w:rsidRDefault="00C60174" w:rsidP="00C60174">
      <w:pPr>
        <w:spacing w:line="240" w:lineRule="auto"/>
        <w:jc w:val="both"/>
        <w:rPr>
          <w:rFonts w:cs="Calibri"/>
          <w:b/>
          <w:color w:val="0070C0"/>
          <w:sz w:val="24"/>
          <w:szCs w:val="24"/>
          <w:lang w:val="en-US"/>
        </w:rPr>
      </w:pPr>
      <w:r w:rsidRPr="00FB7CC0">
        <w:rPr>
          <w:rFonts w:cs="Calibri"/>
          <w:b/>
          <w:color w:val="0070C0"/>
          <w:sz w:val="24"/>
          <w:szCs w:val="24"/>
          <w:lang w:val="en-US"/>
        </w:rPr>
        <w:t>Coordination Unit within the Ministry of Finance</w:t>
      </w:r>
    </w:p>
    <w:p w14:paraId="296B660E" w14:textId="11C21588" w:rsidR="00C60174" w:rsidRPr="008C761D" w:rsidRDefault="00C60174" w:rsidP="00C60174">
      <w:pPr>
        <w:spacing w:after="120" w:line="240" w:lineRule="auto"/>
        <w:jc w:val="both"/>
        <w:rPr>
          <w:rFonts w:cs="Calibri"/>
          <w:color w:val="000000"/>
          <w:lang w:val="en-US"/>
        </w:rPr>
      </w:pPr>
      <w:r w:rsidRPr="008C761D">
        <w:rPr>
          <w:rFonts w:cs="Calibri"/>
          <w:color w:val="000000"/>
          <w:lang w:val="en-US"/>
        </w:rPr>
        <w:t xml:space="preserve">Coordination Unit within the Ministry of Finance </w:t>
      </w:r>
      <w:r w:rsidRPr="008C761D">
        <w:rPr>
          <w:rFonts w:cs="Calibri"/>
          <w:iCs/>
          <w:lang w:val="en-US" w:eastAsia="mk-MK"/>
        </w:rPr>
        <w:t xml:space="preserve">acts as a technical secretariat to support the functioning of the PFM Working Group and the PFM </w:t>
      </w:r>
      <w:r w:rsidR="00FD1416" w:rsidRPr="008C761D">
        <w:rPr>
          <w:rFonts w:cs="Calibri"/>
          <w:iCs/>
          <w:lang w:val="en-US" w:eastAsia="mk-MK"/>
        </w:rPr>
        <w:t>Council.</w:t>
      </w:r>
      <w:r w:rsidR="00FD1416" w:rsidRPr="008C761D">
        <w:rPr>
          <w:rFonts w:cs="Calibri"/>
          <w:color w:val="000000"/>
          <w:lang w:val="en-US"/>
        </w:rPr>
        <w:t xml:space="preserve"> In</w:t>
      </w:r>
      <w:r w:rsidRPr="008C761D">
        <w:rPr>
          <w:rFonts w:cs="Calibri"/>
          <w:color w:val="000000"/>
          <w:lang w:val="en-US"/>
        </w:rPr>
        <w:t xml:space="preserve"> general, </w:t>
      </w:r>
      <w:r w:rsidRPr="008C761D">
        <w:rPr>
          <w:rFonts w:cs="Calibri"/>
          <w:iCs/>
          <w:lang w:val="en-US" w:eastAsia="mk-MK"/>
        </w:rPr>
        <w:t>its tasks comprise preparation of the meetings of both the PFM Council and the PFM Working Group at policy level and at technical level, as well as preparation of compiled reports on the progress in the implementation of the reforms under each priority and compiled annual action plans, based on the input provided by the Priority Coordinators.</w:t>
      </w:r>
    </w:p>
    <w:p w14:paraId="1836E428" w14:textId="77777777" w:rsidR="00C60174" w:rsidRPr="008C761D" w:rsidRDefault="00C60174" w:rsidP="00C60174">
      <w:pPr>
        <w:spacing w:line="240" w:lineRule="auto"/>
        <w:jc w:val="both"/>
        <w:rPr>
          <w:rFonts w:cs="Calibri"/>
          <w:b/>
          <w:color w:val="0070C0"/>
          <w:lang w:val="en-US"/>
        </w:rPr>
      </w:pPr>
    </w:p>
    <w:p w14:paraId="0CDB876F" w14:textId="77777777" w:rsidR="00C60174" w:rsidRPr="00FB7CC0" w:rsidRDefault="00C60174" w:rsidP="00C60174">
      <w:pPr>
        <w:spacing w:line="240" w:lineRule="auto"/>
        <w:jc w:val="center"/>
        <w:rPr>
          <w:b/>
          <w:color w:val="0070C0"/>
          <w:sz w:val="24"/>
          <w:szCs w:val="24"/>
          <w:lang w:val="en-US"/>
        </w:rPr>
      </w:pPr>
      <w:r w:rsidRPr="008C761D">
        <w:rPr>
          <w:b/>
          <w:color w:val="0070C0"/>
          <w:sz w:val="28"/>
          <w:szCs w:val="28"/>
          <w:lang w:val="en-US"/>
        </w:rPr>
        <w:br w:type="page"/>
      </w:r>
      <w:r w:rsidRPr="00FB7CC0">
        <w:rPr>
          <w:b/>
          <w:color w:val="0070C0"/>
          <w:sz w:val="24"/>
          <w:szCs w:val="24"/>
          <w:lang w:val="en-US"/>
        </w:rPr>
        <w:lastRenderedPageBreak/>
        <w:t>Reporting process for implementation of the PFM Reform Programme 2024 - 2027</w:t>
      </w:r>
    </w:p>
    <w:p w14:paraId="5CE769F1"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b/>
          <w:noProof/>
          <w:color w:val="C00000"/>
          <w:lang w:val="en-US" w:eastAsia="mk-MK"/>
        </w:rPr>
        <w:pict w14:anchorId="6486ED12">
          <v:rect id="Rectangle 13" o:spid="_x0000_s2058" style="position:absolute;left:0;text-align:left;margin-left:94.2pt;margin-top:10.6pt;width:220.8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2U0AIAAKYFAAAOAAAAZHJzL2Uyb0RvYy54bWysVNtu2zAMfR+wfxD0nvoSO06NOkWaJsOA&#10;XYp1w54VW46FyZInKbG7Yf8+irk0WV+GYTZgiCZ1RB4e8eZ2aCXZcWOFVgWNrkJKuCp1JdSmoF8+&#10;r0ZTSqxjqmJSK17QJ27p7ez1q5u+y3msGy0rbgiAKJv3XUEb57o8CGzZ8JbZK91xBc5am5Y5MM0m&#10;qAzrAb2VQRyGk6DXpuqMLrm18Pd+76QzxK9rXrqPdW25I7KgkJvDr8Hv2n+D2Q3LN4Z1jSgPabB/&#10;yKJlQsGhJ6h75hjZGvECqhWl0VbX7qrUbaDrWpQca4BqovCPah4b1nGsBcix3Ykm+/9gyw+7B0NE&#10;VdA0CydxkoUZJYq10KpPQB5TG8lJNPY89Z3NIfyxezC+Utu90+U3S5ReNBDG58bovuGsguwiHx9c&#10;bPCGha1k3b/XFcCzrdNI2VCb1gMCGWTAzjydOsMHR0r4GU/DJLtOKSnBl8bjaZbiESw/7u6MdW+4&#10;bolfFNRA8ojOdu+s89mw/BiC2WspqpWQEg2zWS+kITsGKlnhc0C352FSkR5qi7MwROgLpz3HmMRx&#10;EiNpcOxFWCsc6F2KtqDT0D/+IJZ73paqwrVjQu7XsFkq7+ao5H0hYA0Olvgf6EGV/Zyv0jBLxtNR&#10;lqXjUTJehqO76Woxmi+iySRb3i3ultEvn3WU5I2oKq6WiGmPoo+SvxPV4frt5XqS/SlBn5XeQo2P&#10;TdWTSvhejNPrOKJgwL3z5PmqCZMbGBilM5QY7b4K16Dafec9xgWd04l/Dy05oWNPzw4OXtS2jxiA&#10;KmDyyBrK0itxr2g3rAfUf+zxvUrXunoCnUJWKEYYbrBotPlBSQ+DoqD2+5YZTol8q0Dr11GS+MmC&#10;RpJmMRjm3LM+9zBVAlRBHTCAy4XbT6NtZ8SmgZMirF/pOdyPWqB0n7OCSrwBwwBrOgwuP23ObYx6&#10;Hq+z3wAAAP//AwBQSwMEFAAGAAgAAAAhAKyOvVvgAAAACgEAAA8AAABkcnMvZG93bnJldi54bWxM&#10;j8tOwzAQRfdI/IM1SOyonRSVKMSpKKVs2ECp1LKbxiaO8COK3TT8PcMKllf36M6Zajk5y0Y9xC54&#10;CdlMANO+CarzrYTd++amABYTeoU2eC3hW0dY1pcXFZYqnP2bHrepZTTiY4kSTEp9yXlsjHYYZ6HX&#10;nrrPMDhMFIeWqwHPNO4sz4VYcIedpwsGe/1odPO1PTkJHy/WHDb79ep5javdHg9P+fgqpLy+mh7u&#10;gSU9pT8YfvVJHWpyOoaTV5FZykVxS6iEPMuBEbCYiwzYkRoxvwNeV/z/C/UPAAAA//8DAFBLAQIt&#10;ABQABgAIAAAAIQC2gziS/gAAAOEBAAATAAAAAAAAAAAAAAAAAAAAAABbQ29udGVudF9UeXBlc10u&#10;eG1sUEsBAi0AFAAGAAgAAAAhADj9If/WAAAAlAEAAAsAAAAAAAAAAAAAAAAALwEAAF9yZWxzLy5y&#10;ZWxzUEsBAi0AFAAGAAgAAAAhAG6jnZTQAgAApgUAAA4AAAAAAAAAAAAAAAAALgIAAGRycy9lMm9E&#10;b2MueG1sUEsBAi0AFAAGAAgAAAAhAKyOvVvgAAAACgEAAA8AAAAAAAAAAAAAAAAAKgUAAGRycy9k&#10;b3ducmV2LnhtbFBLBQYAAAAABAAEAPMAAAA3BgAAAAA=&#10;" strokecolor="#622423" strokeweight="1pt">
            <v:shadow color="#868686"/>
            <v:textbox>
              <w:txbxContent>
                <w:p w14:paraId="063ADB3A" w14:textId="77777777" w:rsidR="0093115D" w:rsidRPr="00ED4954" w:rsidRDefault="0093115D" w:rsidP="00C60174">
                  <w:pPr>
                    <w:jc w:val="center"/>
                    <w:rPr>
                      <w:b/>
                      <w:sz w:val="20"/>
                    </w:rPr>
                  </w:pPr>
                  <w:r>
                    <w:rPr>
                      <w:b/>
                      <w:sz w:val="20"/>
                    </w:rPr>
                    <w:t>Government of North Macedonia</w:t>
                  </w:r>
                </w:p>
                <w:p w14:paraId="1AF8FFFD" w14:textId="77777777" w:rsidR="0093115D" w:rsidRPr="00902166" w:rsidRDefault="0093115D" w:rsidP="00C60174">
                  <w:pPr>
                    <w:jc w:val="center"/>
                    <w:rPr>
                      <w:sz w:val="20"/>
                    </w:rPr>
                  </w:pPr>
                  <w:r>
                    <w:rPr>
                      <w:i/>
                      <w:sz w:val="16"/>
                    </w:rPr>
                    <w:t>Adopts the Report.</w:t>
                  </w:r>
                </w:p>
                <w:p w14:paraId="5D813E10" w14:textId="77777777" w:rsidR="0093115D" w:rsidRDefault="0093115D" w:rsidP="00C60174">
                  <w:pPr>
                    <w:jc w:val="center"/>
                    <w:rPr>
                      <w:b/>
                      <w:sz w:val="20"/>
                    </w:rPr>
                  </w:pPr>
                </w:p>
                <w:p w14:paraId="4236CBA5" w14:textId="77777777" w:rsidR="0093115D" w:rsidRPr="009B0916" w:rsidRDefault="0093115D" w:rsidP="00C60174">
                  <w:pPr>
                    <w:rPr>
                      <w:i/>
                      <w:sz w:val="16"/>
                    </w:rPr>
                  </w:pPr>
                </w:p>
                <w:p w14:paraId="4B2F5EFE" w14:textId="77777777" w:rsidR="0093115D" w:rsidRPr="003F6183" w:rsidRDefault="0093115D" w:rsidP="00C60174">
                  <w:pPr>
                    <w:rPr>
                      <w:b/>
                      <w:sz w:val="20"/>
                    </w:rPr>
                  </w:pPr>
                </w:p>
              </w:txbxContent>
            </v:textbox>
            <w10:wrap anchorx="margin"/>
          </v:rect>
        </w:pict>
      </w:r>
    </w:p>
    <w:p w14:paraId="34D81A5E"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61785D7D" w14:textId="77777777" w:rsidR="00C60174" w:rsidRPr="008C761D" w:rsidRDefault="00174835" w:rsidP="00C60174">
      <w:pPr>
        <w:tabs>
          <w:tab w:val="left" w:pos="851"/>
        </w:tabs>
        <w:spacing w:after="120" w:line="240" w:lineRule="auto"/>
        <w:jc w:val="both"/>
        <w:rPr>
          <w:rFonts w:eastAsia="MS PGothic"/>
          <w:b/>
          <w:color w:val="C00000"/>
          <w:highlight w:val="yellow"/>
          <w:lang w:val="en-US" w:eastAsia="zh-CN"/>
        </w:rPr>
      </w:pPr>
      <w:r>
        <w:rPr>
          <w:rFonts w:eastAsia="MS PGothic"/>
          <w:b/>
          <w:noProof/>
          <w:color w:val="C00000"/>
          <w:lang w:val="en-US" w:eastAsia="mk-MK"/>
        </w:rPr>
        <w:pict w14:anchorId="2741B3EA">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057" type="#_x0000_t68" style="position:absolute;left:0;text-align:left;margin-left:199.95pt;margin-top:9pt;width:10.6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QhawIAAOYEAAAOAAAAZHJzL2Uyb0RvYy54bWysVE1v2zAMvQ/YfxB0X51kcdIZdYqgH8OA&#10;oC3QDj0rshwbk0SNUuJ0v36U7KRZ19OwHARSpPjx/F4uLvdGs51C34It+fhsxJmyEqrWbkr+/en2&#10;0zlnPghbCQ1WlfxFeX65+PjhonOFmkADulLIqIj1RedK3oTgiizzslFG+DNwylKwBjQikIubrELR&#10;UXWjs8loNMs6wMohSOU93V73Qb5I9etayXBf114FpktOs4V0YjrX8cwWF6LYoHBNK4cxxD9MYURr&#10;qemx1LUIgm2x/auUaSWChzqcSTAZ1HUrVdqBthmP3mzz2Ain0i4EjndHmPz/Kyvvdo/uAePo3q1A&#10;/vCESNY5Xxwj0fFDzr5GE3NpcLZPKL4cUVT7wCRdjj/nkzznTFJocp7P84RyJorDY4c+fFVgWDRK&#10;vnVLROgSfGK38iFOIIpDVhoNdFvdtlonBzfrK41sJ+ib3sxvZjez+BnpiT9N05Z1NMxkPqLvLgVx&#10;q9YikGlcVXJvN5wJvSHSyoCp9x+v/WmT6TSfzpbvNYlDXgvf9MOkCj2lTBuI17o1JT8fxd/wWtu4&#10;gkrMHFZ9xTdaa6heHpAh9FT1Tt621GQlfHgQSNykbUhv4Z6OWgOtCIPFWQP46737mE+UoShnHXGd&#10;1v+5Fag4098skenLeDqN4kjONJ9PyMHTyPo0YrfmCgj6MSnbyWTG/KAPZo1gnkmWy9iVQsJK6t0D&#10;PThXodcgCVuq5TKlkSCcCCv76GQsHnGK8D7tnwW6gSuBSHYHB12I4g1f+tz40sJyG6BuE5lecR24&#10;TWJKhBmEH9V66qes17+nxW8AAAD//wMAUEsDBBQABgAIAAAAIQDE4DDz3QAAAAkBAAAPAAAAZHJz&#10;L2Rvd25yZXYueG1sTI8xT8MwEIV3JP6DdUgsiNp1q6oJcSqERDcGCguba5s4qn2OYqcN/HqOCcbT&#10;+/Tue81ujoGd3Zj7hAqWCwHMoUm2x07B+9vz/RZYLhqtDgmdgi+XYddeXzW6tumCr+58KB2jEsy1&#10;VuBLGWrOs/Eu6rxIg0PKPtMYdaFz7Lgd9YXKY+BSiA2Pukf64PXgnrwzp8MUFRipX8xdPK3DjJX/&#10;EN+S76e9Urc38+MDsOLm8gfDrz6pQ0tOxzShzSwoWFVVRSgFW9pEwFouJbCjgs1KAG8b/n9B+wMA&#10;AP//AwBQSwECLQAUAAYACAAAACEAtoM4kv4AAADhAQAAEwAAAAAAAAAAAAAAAAAAAAAAW0NvbnRl&#10;bnRfVHlwZXNdLnhtbFBLAQItABQABgAIAAAAIQA4/SH/1gAAAJQBAAALAAAAAAAAAAAAAAAAAC8B&#10;AABfcmVscy8ucmVsc1BLAQItABQABgAIAAAAIQBUwOQhawIAAOYEAAAOAAAAAAAAAAAAAAAAAC4C&#10;AABkcnMvZTJvRG9jLnhtbFBLAQItABQABgAIAAAAIQDE4DDz3QAAAAkBAAAPAAAAAAAAAAAAAAAA&#10;AMUEAABkcnMvZG93bnJldi54bWxQSwUGAAAAAAQABADzAAAAzwUAAAAA&#10;" adj="5112" fillcolor="#e7e6e6" strokecolor="#44546a" strokeweight="1pt">
            <v:path arrowok="t"/>
          </v:shape>
        </w:pict>
      </w:r>
    </w:p>
    <w:p w14:paraId="61A78057"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noProof/>
          <w:lang w:val="en-US" w:eastAsia="mk-MK"/>
        </w:rPr>
        <w:pict w14:anchorId="1E9FF2D3">
          <v:rect id="Rectangle 4" o:spid="_x0000_s2056" style="position:absolute;left:0;text-align:left;margin-left:94.2pt;margin-top:10.05pt;width:220.85pt;height:54.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ZjxwIAAJ4FAAAOAAAAZHJzL2Uyb0RvYy54bWysVNuO0zAQfUfiHyy/d3Npeos2XXW7LUJa&#10;YMWCeHZjp7Fw7GC7myyIf2c8vWyX5QEhWinyZCYnc86czOVV3yjyIKyTRhc0uYgpEbo0XOptQT9/&#10;Wg+mlDjPNGfKaFHQR+Ho1fz1q8uuzUVqaqO4sARAtMu7tqC1920eRa6sRcPchWmFhmRlbMM8hHYb&#10;ccs6QG9UlMbxOOqM5a01pXAO7t7sk3SO+FUlSv+hqpzwRBUUevN4tXjdhGs0v2T51rK2luWhDfYP&#10;XTRManjpCeqGeUZ2Vr6AamRpjTOVvyhNE5mqkqVADsAmiX9jc1+zViAXEMe1J5nc/4Mt3z/cWSI5&#10;zG5IiWYNzOgjqMb0VgmSBX261uVQdt/e2cDQtbem/OqINssaqsTCWtPVgnHoKgn10bMHQuDgUbLp&#10;3hkO6GznDUrVV7YJgCAC6XEij6eJiN6TEm6m0zibzEaUlJAbz7LxDEcWsfz4dGudfyNMQ8KhoBZ6&#10;R3T2cOt86IblxxLs3ijJ11IpDOx2s1SWPDBwxxp/SABInpcpTTrglk7iGKGfJd05xjhNs3T4J4xG&#10;evC5kk1Bp3H4hSKWB91WmuPZM6n2Z+hZ6ZAW6OA9EYh6D0e8D/Kgu34s1qN4kg2ng8lkNBxkw1U8&#10;uJ6ul4PFMhmPJ6vr5fUq+Rm6TrK8lpwLvUJMdzR7kv2dmQ6f3d6mJ7ufGgxdmR1wvK95R7gMsxiO&#10;ZmlCIYDvLYgXWBOmtrAoSm8pscZ/kb5Gl4fJB4xnck7H4X+Q84SOMz17cfSC276iB6lAyaNqaMvg&#10;xL2jfb/p0fc4ruDSjeGP4FPoCs0ISw0OtbHfKelgQRTUfdsxKyhRbzV4fZZkWdgoGGSjSQqBPc9s&#10;zjNMlwBVUA8K4HHp91to11q5reFNCfLXZgHfRyXRuk9dAZMQwBJAToeFFbbMeYxVT2t1/gsAAP//&#10;AwBQSwMEFAAGAAgAAAAhAJzrMUvfAAAACgEAAA8AAABkcnMvZG93bnJldi54bWxMj81OwzAQhO9I&#10;vIO1SNyo3QBVCHEqSimXXqBUarltYxNH+CeK3TS8PdsT3HY0n2ZnyvnoLBt0H9vgJUwnApj2dVCt&#10;byRsP1Y3ObCY0Cu0wWsJPzrCvLq8KLFQ4eTf9bBJDaMQHwuUYFLqCs5jbbTDOAmd9uR9hd5hItk3&#10;XPV4onBneSbEjDtsPX0w2Olno+vvzdFJ+Fxbs1/tlovXJS62O9y/ZMObkPL6anx6BJb0mP5gONen&#10;6lBRp0M4ehWZJZ3nd4RKyMQUGAGz2/NxICd7uAdelfz/hOoXAAD//wMAUEsBAi0AFAAGAAgAAAAh&#10;ALaDOJL+AAAA4QEAABMAAAAAAAAAAAAAAAAAAAAAAFtDb250ZW50X1R5cGVzXS54bWxQSwECLQAU&#10;AAYACAAAACEAOP0h/9YAAACUAQAACwAAAAAAAAAAAAAAAAAvAQAAX3JlbHMvLnJlbHNQSwECLQAU&#10;AAYACAAAACEAhG0mY8cCAACeBQAADgAAAAAAAAAAAAAAAAAuAgAAZHJzL2Uyb0RvYy54bWxQSwEC&#10;LQAUAAYACAAAACEAnOsxS98AAAAKAQAADwAAAAAAAAAAAAAAAAAhBQAAZHJzL2Rvd25yZXYueG1s&#10;UEsFBgAAAAAEAAQA8wAAAC0GAAAAAA==&#10;" strokecolor="#622423" strokeweight="1pt">
            <v:shadow color="#868686"/>
            <v:textbox>
              <w:txbxContent>
                <w:p w14:paraId="3027A016" w14:textId="77777777" w:rsidR="0093115D" w:rsidRDefault="0093115D" w:rsidP="00C60174">
                  <w:pPr>
                    <w:spacing w:after="0" w:line="240" w:lineRule="auto"/>
                    <w:jc w:val="center"/>
                    <w:rPr>
                      <w:b/>
                      <w:sz w:val="20"/>
                    </w:rPr>
                  </w:pPr>
                  <w:r>
                    <w:rPr>
                      <w:b/>
                      <w:sz w:val="20"/>
                    </w:rPr>
                    <w:t>PFM Council</w:t>
                  </w:r>
                </w:p>
                <w:p w14:paraId="7B352A8E" w14:textId="77777777" w:rsidR="0093115D" w:rsidRDefault="0093115D" w:rsidP="00C60174">
                  <w:pPr>
                    <w:spacing w:after="0" w:line="240" w:lineRule="auto"/>
                    <w:jc w:val="center"/>
                    <w:rPr>
                      <w:b/>
                      <w:sz w:val="20"/>
                    </w:rPr>
                  </w:pPr>
                </w:p>
                <w:p w14:paraId="41AE7D20" w14:textId="77777777" w:rsidR="0093115D" w:rsidRPr="003F6183" w:rsidRDefault="0093115D" w:rsidP="00C60174">
                  <w:pPr>
                    <w:spacing w:after="0" w:line="240" w:lineRule="auto"/>
                    <w:jc w:val="center"/>
                    <w:rPr>
                      <w:b/>
                      <w:sz w:val="20"/>
                    </w:rPr>
                  </w:pPr>
                  <w:r>
                    <w:rPr>
                      <w:i/>
                      <w:sz w:val="16"/>
                    </w:rPr>
                    <w:t xml:space="preserve">Proposes amendments as needed and endorses the Report </w:t>
                  </w:r>
                </w:p>
              </w:txbxContent>
            </v:textbox>
            <w10:wrap anchorx="margin"/>
          </v:rect>
        </w:pict>
      </w:r>
    </w:p>
    <w:p w14:paraId="71F37413"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23B90161"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0B769F1D"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noProof/>
          <w:lang w:val="en-US" w:eastAsia="mk-MK"/>
        </w:rPr>
        <w:pict w14:anchorId="793341D2">
          <v:shape id="Up Arrow 54" o:spid="_x0000_s2055" type="#_x0000_t68" style="position:absolute;left:0;text-align:left;margin-left:199.2pt;margin-top:.4pt;width:11.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3XaQIAAOYEAAAOAAAAZHJzL2Uyb0RvYy54bWysVE1v2zAMvQ/YfxB0X52kadIacYogbYcB&#10;QVugHXpmZDk2pq9RSpzu14+SnTTrehqWg0CKFPn4/JjZ9V4rtpPoG2sKPjwbcCaNsGVjNgX//nz3&#10;5ZIzH8CUoKyRBX+Vnl/PP3+atS6XI1tbVUpkVMT4vHUFr0NweZZ5UUsN/sw6aShYWdQQyMVNViK0&#10;VF2rbDQYTLLWYunQCuk93d50QT5P9atKivBQVV4GpgpO2EI6MZ3reGbzGeQbBFc3oocB/4BCQ2Oo&#10;6bHUDQRgW2z+KqUbgdbbKpwJqzNbVY2QaQaaZjh4N81TDU6mWYgc7440+f9XVtzvntwjRujeraz4&#10;4YmRrHU+P0ai4/ucfYU65hJwtk8svh5ZlPvABF0Ox+PpJXEtKDS6Oj+fJpYzyA+PHfrwVVrNolHw&#10;rVsg2jbRB7uVDxEB5IesBM2qprxrlEoObtZLhWwH9E1vp7eT20n8jPTEn6Ypw1oCM5oOIhYgbVUK&#10;ApnalQX3ZsMZqA2JVgRMvf947U+bjMcX48nioyYR5A34ugOTKnSS0k0gXatGF/xyEH/9a2XiCDIp&#10;sx/1jd9orW35+ogMbSdV78RdQ01W4MMjIGmTpqF9Cw90VMrSiLa3OKst/vroPuaTZCjKWUtap/F/&#10;bgElZ+qbITFd0SeLy5Gc8cV0RA6eRtanEbPVS0vUD2mznUhmzA/qYFZo9Qut5SJ2pRAYQb07ontn&#10;GbodpMUWcrFIabQQDsLKPDkRi0eeIr3P+xdA12slkMju7WEvIH+nly43vjR2sQ22apKY3njttU3L&#10;lATTL37c1lM/Zb39Pc1/AwAA//8DAFBLAwQUAAYACAAAACEAx8CELdwAAAAHAQAADwAAAGRycy9k&#10;b3ducmV2LnhtbEyOwU7DMBBE70j8g7VI3KjTULVpiFMhVA4ILg0V5228daLGdoidNvw9y6ncdjSj&#10;t6/YTLYTZxpC652C+SwBQa72unVGwf7z9SEDESI6jZ13pOCHAmzK25sCc+0vbkfnKhrBEBdyVNDE&#10;2OdShrohi2Hme3LcHf1gMXIcjNQDXhhuO5kmyVJabB1/aLCnl4bqUzVaBZl+r3amflst19s2Gz+2&#10;uP8y30rd303PTyAiTfE6hj99VoeSnQ5+dDqITsHjOlvwlGEguF6k8xTEgY9VArIs5H//8hcAAP//&#10;AwBQSwECLQAUAAYACAAAACEAtoM4kv4AAADhAQAAEwAAAAAAAAAAAAAAAAAAAAAAW0NvbnRlbnRf&#10;VHlwZXNdLnhtbFBLAQItABQABgAIAAAAIQA4/SH/1gAAAJQBAAALAAAAAAAAAAAAAAAAAC8BAABf&#10;cmVscy8ucmVsc1BLAQItABQABgAIAAAAIQCRTq3XaQIAAOYEAAAOAAAAAAAAAAAAAAAAAC4CAABk&#10;cnMvZTJvRG9jLnhtbFBLAQItABQABgAIAAAAIQDHwIQt3AAAAAcBAAAPAAAAAAAAAAAAAAAAAMME&#10;AABkcnMvZG93bnJldi54bWxQSwUGAAAAAAQABADzAAAAzAUAAAAA&#10;" adj="5330" fillcolor="#e7e6e6" strokecolor="#44546a" strokeweight="1pt">
            <v:path arrowok="t"/>
          </v:shape>
        </w:pict>
      </w:r>
    </w:p>
    <w:p w14:paraId="60C2C9D7"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noProof/>
          <w:lang w:val="en-US" w:eastAsia="mk-MK"/>
        </w:rPr>
        <w:pict w14:anchorId="3E7105D5">
          <v:rect id="Rectangle 3" o:spid="_x0000_s2054" style="position:absolute;left:0;text-align:left;margin-left:94.2pt;margin-top:2.05pt;width:223.65pt;height:3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LEyQIAAJ4FAAAOAAAAZHJzL2Uyb0RvYy54bWysVNtu2zAMfR+wfxD0nvoS51KjTpGmyTBg&#10;l2LdsGfFkmNhsuRJSuxu2L+PYi5N1pdhmA0YokkdkYdHvLntG0V2wjppdEGTq5gSoUvDpd4U9Mvn&#10;1WBKifNMc6aMFgV9Eo7ezl6/uunaXKSmNooLSwBEu7xrC1p73+ZR5MpaNMxdmVZocFbGNsyDaTcR&#10;t6wD9EZFaRyPo85Y3lpTCufg7/3eSWeIX1Wi9B+ryglPVEEhN49fi991+EazG5ZvLGtrWR7SYP+Q&#10;RcOkhkNPUPfMM7K18gVUI0trnKn8VWmayFSVLAXWANUk8R/VPNasFVgLkOPaE03u/8GWH3YPlkgO&#10;vRtRolkDPfoErDG9UYIMAz9d63IIe2wfbKjQte9M+c0RbRY1RIm5taarBeOQVRLio4sNwXCwlay7&#10;94YDOtt6g1T1lW0CIJBAeuzI06kjovekhJ/pNIuHI8isBF82HKfZCI9g+XF3a51/I0xDwqKgFnJH&#10;dLZ753zIhuXHEMzeKMlXUik07Ga9UJbsGKhjhc8B3Z2HKU06qC2dxDFCXzjdOcY4TbMUSYNjL8Ia&#10;6UHnSjYFncbhCQexPPC21BzXnkm1X8NmpYNboIL3hYDVe1jif6AH1fVzvhrFk2w4HUwmo+EgGy7j&#10;wd10tRjMF8l4PFneLe6Wya+QdZLlteRc6CViuqPYk+zvxHS4dnuZnuR+SjBkZbZQ42PNO8Jl6MVw&#10;dJ0mFAy4b4G8UDVhagODovSWEmv8V+lrVHnofMC4oHM6Du+hJSd07OnZwdGL2vYRPVAFTB5ZQ1kG&#10;Je4V7ft1j7rPAn5Q6drwJ9ApZIVihKEGi9rYH5R0MCAK6r5vmRWUqLcatH6dZFmYKGhko0kKhj33&#10;rM89TJcAVVAPDOBy4fdTaNtauanhpATr12YO96OSKN3nrKCSYMAQwJoOAytMmXMbo57H6uw3AAAA&#10;//8DAFBLAwQUAAYACAAAACEAnJRic98AAAAIAQAADwAAAGRycy9kb3ducmV2LnhtbEyPwU7DMBBE&#10;70j8g7VI3KjTUNooxKkopVy4QKnUctvGJomw11HspuHvWU5wHM1o5k2xHJ0Vg+lD60nBdJKAMFR5&#10;3VKtYPe+uclAhIik0XoyCr5NgGV5eVFgrv2Z3sywjbXgEgo5Kmhi7HIpQ9UYh2HiO0PsffreYWTZ&#10;11L3eOZyZ2WaJHPpsCVeaLAzj42pvrYnp+DjxTaHzX69el7jarfHw1M6vCZKXV+ND/cgohnjXxh+&#10;8RkdSmY6+hPpICzrLJtxVMFsCoL9+e3dAsRRwSLNQJaF/H+g/AEAAP//AwBQSwECLQAUAAYACAAA&#10;ACEAtoM4kv4AAADhAQAAEwAAAAAAAAAAAAAAAAAAAAAAW0NvbnRlbnRfVHlwZXNdLnhtbFBLAQIt&#10;ABQABgAIAAAAIQA4/SH/1gAAAJQBAAALAAAAAAAAAAAAAAAAAC8BAABfcmVscy8ucmVsc1BLAQIt&#10;ABQABgAIAAAAIQBH2wLEyQIAAJ4FAAAOAAAAAAAAAAAAAAAAAC4CAABkcnMvZTJvRG9jLnhtbFBL&#10;AQItABQABgAIAAAAIQCclGJz3wAAAAgBAAAPAAAAAAAAAAAAAAAAACMFAABkcnMvZG93bnJldi54&#10;bWxQSwUGAAAAAAQABADzAAAALwYAAAAA&#10;" strokecolor="#622423" strokeweight="1pt">
            <v:shadow color="#868686"/>
            <v:textbox>
              <w:txbxContent>
                <w:p w14:paraId="36D8B6B2" w14:textId="77777777" w:rsidR="0093115D" w:rsidRDefault="0093115D" w:rsidP="00C60174">
                  <w:pPr>
                    <w:spacing w:after="0" w:line="240" w:lineRule="auto"/>
                    <w:jc w:val="center"/>
                    <w:rPr>
                      <w:b/>
                      <w:sz w:val="20"/>
                    </w:rPr>
                  </w:pPr>
                  <w:r w:rsidRPr="00ED4954">
                    <w:rPr>
                      <w:b/>
                      <w:sz w:val="20"/>
                    </w:rPr>
                    <w:t xml:space="preserve">PFM Sector Working Group </w:t>
                  </w:r>
                </w:p>
                <w:p w14:paraId="32E59E0F" w14:textId="77777777" w:rsidR="0093115D" w:rsidRPr="00902166" w:rsidRDefault="0093115D" w:rsidP="00C60174">
                  <w:pPr>
                    <w:spacing w:after="0" w:line="240" w:lineRule="auto"/>
                    <w:jc w:val="center"/>
                    <w:rPr>
                      <w:i/>
                      <w:sz w:val="16"/>
                    </w:rPr>
                  </w:pPr>
                  <w:r>
                    <w:rPr>
                      <w:i/>
                      <w:sz w:val="16"/>
                    </w:rPr>
                    <w:t xml:space="preserve">Reviews/gives opinion and recommendationson the Report. </w:t>
                  </w:r>
                </w:p>
                <w:p w14:paraId="2DED85A9" w14:textId="77777777" w:rsidR="0093115D" w:rsidRPr="003F6183" w:rsidRDefault="0093115D" w:rsidP="00C60174">
                  <w:pPr>
                    <w:rPr>
                      <w:b/>
                      <w:sz w:val="20"/>
                    </w:rPr>
                  </w:pPr>
                </w:p>
              </w:txbxContent>
            </v:textbox>
            <w10:wrap anchorx="margin"/>
          </v:rect>
        </w:pict>
      </w:r>
    </w:p>
    <w:p w14:paraId="2BC620B0"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noProof/>
          <w:lang w:val="en-US" w:eastAsia="mk-MK"/>
        </w:rPr>
        <w:pict w14:anchorId="10F98FA1">
          <v:shape id="_x0000_s2053" type="#_x0000_t68" style="position:absolute;left:0;text-align:left;margin-left:199.95pt;margin-top:15pt;width:10.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QhawIAAOYEAAAOAAAAZHJzL2Uyb0RvYy54bWysVE1v2zAMvQ/YfxB0X51kcdIZdYqgH8OA&#10;oC3QDj0rshwbk0SNUuJ0v36U7KRZ19OwHARSpPjx/F4uLvdGs51C34It+fhsxJmyEqrWbkr+/en2&#10;0zlnPghbCQ1WlfxFeX65+PjhonOFmkADulLIqIj1RedK3oTgiizzslFG+DNwylKwBjQikIubrELR&#10;UXWjs8loNMs6wMohSOU93V73Qb5I9etayXBf114FpktOs4V0YjrX8cwWF6LYoHBNK4cxxD9MYURr&#10;qemx1LUIgm2x/auUaSWChzqcSTAZ1HUrVdqBthmP3mzz2Ain0i4EjndHmPz/Kyvvdo/uAePo3q1A&#10;/vCESNY5Xxwj0fFDzr5GE3NpcLZPKL4cUVT7wCRdjj/nkzznTFJocp7P84RyJorDY4c+fFVgWDRK&#10;vnVLROgSfGK38iFOIIpDVhoNdFvdtlonBzfrK41sJ+ib3sxvZjez+BnpiT9N05Z1NMxkPqLvLgVx&#10;q9YikGlcVXJvN5wJvSHSyoCp9x+v/WmT6TSfzpbvNYlDXgvf9MOkCj2lTBuI17o1JT8fxd/wWtu4&#10;gkrMHFZ9xTdaa6heHpAh9FT1Tt621GQlfHgQSNykbUhv4Z6OWgOtCIPFWQP46737mE+UoShnHXGd&#10;1v+5Fag4098skenLeDqN4kjONJ9PyMHTyPo0YrfmCgj6MSnbyWTG/KAPZo1gnkmWy9iVQsJK6t0D&#10;PThXodcgCVuq5TKlkSCcCCv76GQsHnGK8D7tnwW6gSuBSHYHB12I4g1f+tz40sJyG6BuE5lecR24&#10;TWJKhBmEH9V66qes17+nxW8AAAD//wMAUEsDBBQABgAIAAAAIQB0rg/03gAAAAkBAAAPAAAAZHJz&#10;L2Rvd25yZXYueG1sTI89T8MwEIZ3JP6DdUgsiNo15SMhToWQ6MbQwsLm2iaOap+j2GkDv55jgu1O&#10;9+i9523Wcwzs6MbcJ1SwXAhgDk2yPXYK3t9erh+A5aLR6pDQKfhyGdbt+Vmja5tOuHXHXekYhWCu&#10;tQJfylBzno13UedFGhzS7TONURdax47bUZ8oPAYuhbjjUfdIH7we3LN35rCbogIj9au5iodVmLHy&#10;H+Jb8s20UeryYn56BFbcXP5g+NUndWjJaZ8mtJkFBTdVVRFKg6BOBKzkUgLbK7i/FcDbhv9v0P4A&#10;AAD//wMAUEsBAi0AFAAGAAgAAAAhALaDOJL+AAAA4QEAABMAAAAAAAAAAAAAAAAAAAAAAFtDb250&#10;ZW50X1R5cGVzXS54bWxQSwECLQAUAAYACAAAACEAOP0h/9YAAACUAQAACwAAAAAAAAAAAAAAAAAv&#10;AQAAX3JlbHMvLnJlbHNQSwECLQAUAAYACAAAACEAVMDkIWsCAADmBAAADgAAAAAAAAAAAAAAAAAu&#10;AgAAZHJzL2Uyb0RvYy54bWxQSwECLQAUAAYACAAAACEAdK4P9N4AAAAJAQAADwAAAAAAAAAAAAAA&#10;AADFBAAAZHJzL2Rvd25yZXYueG1sUEsFBgAAAAAEAAQA8wAAANAFAAAAAA==&#10;" adj="5112" fillcolor="#e7e6e6" strokecolor="#44546a" strokeweight="1pt">
            <v:path arrowok="t"/>
          </v:shape>
        </w:pict>
      </w:r>
    </w:p>
    <w:p w14:paraId="6AE0C2C5"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noProof/>
          <w:lang w:val="en-US" w:eastAsia="mk-MK"/>
        </w:rPr>
        <w:pict w14:anchorId="5107BF65">
          <v:rect id="Rectangle 19" o:spid="_x0000_s2052" style="position:absolute;left:0;text-align:left;margin-left:94.2pt;margin-top:16.05pt;width:226.8pt;height:6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DzgIAAKYFAAAOAAAAZHJzL2Uyb0RvYy54bWysVF1v0zAUfUfiP1h+7/LZJouWTl3XIqQB&#10;EwPx7MZOY+HYwXabDMR/59ppu47xgBCtFPnm3pzcc+7JvboeWoH2TBuuZImjixAjJitFudyW+POn&#10;9STHyFgiKRFKshI/MoOv569fXfVdwWLVKEGZRgAiTdF3JW6s7YogMFXDWmIuVMckJGulW2Ih1NuA&#10;atIDeiuCOAxnQa807bSqmDFw93ZM4rnHr2tW2Q91bZhFosTQm/VX7a8bdw3mV6TYatI1vDq0Qf6h&#10;i5ZwCS89Qd0SS9BO8xdQLa+0Mqq2F5VqA1XXvGKeA7CJwt/YPDSkY54LiGO6k0zm/8FW7/f3GnFa&#10;4ixPwniapglGkrQwqo8gHpFbwVB06XTqO1NA+UN3rx1T092p6qtBUi0bKGMLrVXfMEKhu8jVB88e&#10;cIGBR9Gmf6cowJOdVV6yodatAwQx0OAn83iaDBssquBmnOdhMoMBVpDLZnky9aMLSHF8utPGvmGq&#10;Re5QYg3Ne3SyvzPWdUOKY4nvXglO11wIH+jtZik02hNwydr/PAEgeV4mJOqBW5yFoYd+ljTnGLM4&#10;TuPkTxgtt+B3wdsS56H7uSJSON1WkvqzJVyMZ+hZSJdm3skjEYgGC0d/H+TxLvuxWE/DLE3ySZZN&#10;k0marMLJTb5eThbLaDbLVjfLm1X003UdpUXDKWVy5THN0fRR+nemOnx+o11Ptj816LpSO+D40NAe&#10;Ue5mkUwv4whDAN+dE8+xRkRsYWFUVmOklf3CbePd7ibvMJ7Jmc/c/yDnCd3P9OzFwQtuY8UAUoGS&#10;R9W8LZ0TR0fbYTN4/08dvnPpRtFH8Cl05c0Iyw0OjdLfMephUZTYfNsRzTASbyV4/TJKU7dZfJBO&#10;sxgCfZ7ZnGeIrACqxBYU8MelHbfRrtN828CbIs9fqgV8HzX31n3qCpi4AJaB53RYXG7bnMe+6mm9&#10;zn8BAAD//wMAUEsDBBQABgAIAAAAIQBZ0Npg4AAAAAoBAAAPAAAAZHJzL2Rvd25yZXYueG1sTI9P&#10;T8JAFMTvJn6HzTPxJtsWJE3ploiIFy+IJODt0V26jfun6S6lfnufJz1OZjLzm3I5WsMG1YfWOwHp&#10;JAGmXO1l6xoB+4/NQw4sRHQSjXdKwLcKsKxub0ospL+6dzXsYsOoxIUCBegYu4LzUGtlMUx8pxx5&#10;Z99bjCT7hsser1RuDc+SZM4tto4WNHbqWav6a3exAj7fjD5uDuvV6xpX+wMeX7Jhmwhxfzc+LYBF&#10;Nca/MPziEzpUxHTyFycDM6TzfEZRAdMsBUaB+SyjcydyHqcp8Krk/y9UPwAAAP//AwBQSwECLQAU&#10;AAYACAAAACEAtoM4kv4AAADhAQAAEwAAAAAAAAAAAAAAAAAAAAAAW0NvbnRlbnRfVHlwZXNdLnht&#10;bFBLAQItABQABgAIAAAAIQA4/SH/1gAAAJQBAAALAAAAAAAAAAAAAAAAAC8BAABfcmVscy8ucmVs&#10;c1BLAQItABQABgAIAAAAIQCz/umDzgIAAKYFAAAOAAAAAAAAAAAAAAAAAC4CAABkcnMvZTJvRG9j&#10;LnhtbFBLAQItABQABgAIAAAAIQBZ0Npg4AAAAAoBAAAPAAAAAAAAAAAAAAAAACgFAABkcnMvZG93&#10;bnJldi54bWxQSwUGAAAAAAQABADzAAAANQYAAAAA&#10;" strokecolor="#622423" strokeweight="1pt">
            <v:shadow color="#868686"/>
            <v:textbox>
              <w:txbxContent>
                <w:p w14:paraId="43DE48AF" w14:textId="77777777" w:rsidR="0093115D" w:rsidRDefault="0093115D" w:rsidP="00C60174">
                  <w:pPr>
                    <w:spacing w:after="0"/>
                    <w:jc w:val="center"/>
                    <w:rPr>
                      <w:b/>
                      <w:sz w:val="20"/>
                    </w:rPr>
                  </w:pPr>
                  <w:r w:rsidRPr="00ED4954">
                    <w:rPr>
                      <w:b/>
                      <w:sz w:val="20"/>
                    </w:rPr>
                    <w:t>Ministry of Finance</w:t>
                  </w:r>
                  <w:r>
                    <w:rPr>
                      <w:b/>
                      <w:sz w:val="20"/>
                    </w:rPr>
                    <w:t xml:space="preserve">- </w:t>
                  </w:r>
                  <w:r w:rsidRPr="00ED4954">
                    <w:rPr>
                      <w:b/>
                      <w:sz w:val="20"/>
                    </w:rPr>
                    <w:t xml:space="preserve">Coordination Unit </w:t>
                  </w:r>
                </w:p>
                <w:p w14:paraId="41972948" w14:textId="77777777" w:rsidR="0093115D" w:rsidRDefault="0093115D" w:rsidP="00C60174">
                  <w:pPr>
                    <w:spacing w:after="0"/>
                    <w:jc w:val="center"/>
                    <w:rPr>
                      <w:b/>
                      <w:sz w:val="20"/>
                    </w:rPr>
                  </w:pPr>
                </w:p>
                <w:p w14:paraId="5F17827A" w14:textId="77777777" w:rsidR="0093115D" w:rsidRPr="00C03B03" w:rsidRDefault="0093115D" w:rsidP="00C60174">
                  <w:pPr>
                    <w:jc w:val="center"/>
                    <w:rPr>
                      <w:i/>
                      <w:sz w:val="16"/>
                    </w:rPr>
                  </w:pPr>
                  <w:r>
                    <w:rPr>
                      <w:i/>
                      <w:sz w:val="16"/>
                    </w:rPr>
                    <w:t>coordinates the preparation process and prepares consolidated Report.</w:t>
                  </w:r>
                </w:p>
                <w:p w14:paraId="23F55B90" w14:textId="77777777" w:rsidR="0093115D" w:rsidRPr="003F6183" w:rsidRDefault="0093115D" w:rsidP="00C60174">
                  <w:pPr>
                    <w:jc w:val="center"/>
                    <w:rPr>
                      <w:b/>
                      <w:sz w:val="20"/>
                    </w:rPr>
                  </w:pPr>
                </w:p>
              </w:txbxContent>
            </v:textbox>
            <w10:wrap anchorx="margin"/>
          </v:rect>
        </w:pict>
      </w:r>
    </w:p>
    <w:p w14:paraId="4B9D00AB"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612F78C2"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7538A61B"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b/>
          <w:noProof/>
          <w:color w:val="C00000"/>
          <w:lang w:val="en-US" w:eastAsia="mk-MK"/>
        </w:rPr>
        <w:pict w14:anchorId="31467077">
          <v:shape id="_x0000_s2051" type="#_x0000_t68" style="position:absolute;left:0;text-align:left;margin-left:199.95pt;margin-top:12.2pt;width:10.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QhawIAAOYEAAAOAAAAZHJzL2Uyb0RvYy54bWysVE1v2zAMvQ/YfxB0X51kcdIZdYqgH8OA&#10;oC3QDj0rshwbk0SNUuJ0v36U7KRZ19OwHARSpPjx/F4uLvdGs51C34It+fhsxJmyEqrWbkr+/en2&#10;0zlnPghbCQ1WlfxFeX65+PjhonOFmkADulLIqIj1RedK3oTgiizzslFG+DNwylKwBjQikIubrELR&#10;UXWjs8loNMs6wMohSOU93V73Qb5I9etayXBf114FpktOs4V0YjrX8cwWF6LYoHBNK4cxxD9MYURr&#10;qemx1LUIgm2x/auUaSWChzqcSTAZ1HUrVdqBthmP3mzz2Ain0i4EjndHmPz/Kyvvdo/uAePo3q1A&#10;/vCESNY5Xxwj0fFDzr5GE3NpcLZPKL4cUVT7wCRdjj/nkzznTFJocp7P84RyJorDY4c+fFVgWDRK&#10;vnVLROgSfGK38iFOIIpDVhoNdFvdtlonBzfrK41sJ+ib3sxvZjez+BnpiT9N05Z1NMxkPqLvLgVx&#10;q9YikGlcVXJvN5wJvSHSyoCp9x+v/WmT6TSfzpbvNYlDXgvf9MOkCj2lTBuI17o1JT8fxd/wWtu4&#10;gkrMHFZ9xTdaa6heHpAh9FT1Tt621GQlfHgQSNykbUhv4Z6OWgOtCIPFWQP46737mE+UoShnHXGd&#10;1v+5Fag4098skenLeDqN4kjONJ9PyMHTyPo0YrfmCgj6MSnbyWTG/KAPZo1gnkmWy9iVQsJK6t0D&#10;PThXodcgCVuq5TKlkSCcCCv76GQsHnGK8D7tnwW6gSuBSHYHB12I4g1f+tz40sJyG6BuE5lecR24&#10;TWJKhBmEH9V66qes17+nxW8AAAD//wMAUEsDBBQABgAIAAAAIQAp7gCK3QAAAAkBAAAPAAAAZHJz&#10;L2Rvd25yZXYueG1sTI8xT8MwEIV3JP6DdUgsiDo1UYVDnAoh0Y2BwsLm2kcc1T5HsdMGfj1mgvH0&#10;Pr33XbtdgmcnnNIQScF6VQFDMtEO1Ct4f3u+vQeWsiarfSRU8IUJtt3lRasbG8/0iqd97lkpodRo&#10;BS7nseE8GYdBp1UckUr2GaegczmnnttJn0t58FxU1YYHPVBZcHrEJ4fmuJ+DAiP0i7kJx9ovJN1H&#10;9S34bt4pdX21PD4Ay7jkPxh+9Ys6dMXpEGeyiXkFd1LKgioQdQ2sALVYC2AHBRtZA+9a/v+D7gcA&#10;AP//AwBQSwECLQAUAAYACAAAACEAtoM4kv4AAADhAQAAEwAAAAAAAAAAAAAAAAAAAAAAW0NvbnRl&#10;bnRfVHlwZXNdLnhtbFBLAQItABQABgAIAAAAIQA4/SH/1gAAAJQBAAALAAAAAAAAAAAAAAAAAC8B&#10;AABfcmVscy8ucmVsc1BLAQItABQABgAIAAAAIQBUwOQhawIAAOYEAAAOAAAAAAAAAAAAAAAAAC4C&#10;AABkcnMvZTJvRG9jLnhtbFBLAQItABQABgAIAAAAIQAp7gCK3QAAAAkBAAAPAAAAAAAAAAAAAAAA&#10;AMUEAABkcnMvZG93bnJldi54bWxQSwUGAAAAAAQABADzAAAAzwUAAAAA&#10;" adj="5112" fillcolor="#e7e6e6" strokecolor="#44546a" strokeweight="1pt">
            <v:path arrowok="t"/>
          </v:shape>
        </w:pict>
      </w:r>
    </w:p>
    <w:p w14:paraId="19494EC6" w14:textId="77777777" w:rsidR="00C60174" w:rsidRPr="008C761D" w:rsidRDefault="00174835" w:rsidP="00C60174">
      <w:pPr>
        <w:tabs>
          <w:tab w:val="left" w:pos="851"/>
        </w:tabs>
        <w:spacing w:after="120" w:line="240" w:lineRule="auto"/>
        <w:jc w:val="center"/>
        <w:rPr>
          <w:rFonts w:eastAsia="MS PGothic"/>
          <w:b/>
          <w:color w:val="C00000"/>
          <w:highlight w:val="yellow"/>
          <w:lang w:val="en-US" w:eastAsia="zh-CN"/>
        </w:rPr>
      </w:pPr>
      <w:r>
        <w:rPr>
          <w:rFonts w:eastAsia="MS PGothic"/>
          <w:b/>
          <w:noProof/>
          <w:color w:val="C00000"/>
          <w:lang w:val="en-US" w:eastAsia="mk-MK"/>
        </w:rPr>
        <w:pict w14:anchorId="765558D9">
          <v:rect id="Rectangle 2" o:spid="_x0000_s2050" style="position:absolute;left:0;text-align:left;margin-left:94.2pt;margin-top:13.3pt;width:226.8pt;height: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eSxgIAAJ4FAAAOAAAAZHJzL2Uyb0RvYy54bWysVNuO0zAQfUfiHyy/d3Npetlo01W32yKk&#10;BVYsiGc3dhoLxw6222RB/Dvj6WW7LA8I0UqRJzM5mXPmZK6u+0aRnbBOGl3Q5CKmROjScKk3Bf38&#10;aTWYUuI805wpo0VBH4Wj17PXr666NhepqY3iwhIA0S7v2oLW3rd5FLmyFg1zF6YVGpKVsQ3zENpN&#10;xC3rAL1RURrH46gzlrfWlMI5uHu7T9IZ4leVKP2HqnLCE1VQ6M3j1eJ1Ha7R7IrlG8vaWpaHNtg/&#10;dNEwqeGlJ6hb5hnZWvkCqpGlNc5U/qI0TWSqSpYCOQCbJP6NzUPNWoFcQBzXnmRy/w+2fL+7t0Ry&#10;mN0lJZo1MKOPoBrTGyVIGvTpWpdD2UN7bwND196Z8qsj2ixqqBJza01XC8ahqyTUR88eCIGDR8m6&#10;e2c4oLOtNyhVX9kmAIIIpMeJPJ4mInpPSriZTqfxcAyDKyE3jdNxhiOLWH58urXOvxGmIeFQUAu9&#10;Izrb3TkfumH5sQS7N0rylVQKA7tZL5QlOwbuWOEPCQDJ8zKlSQfc0kkcI/SzpDvHGKdplg7/hNFI&#10;Dz5Xsgk0wi8UsTzottQcz55JtT9Dz0qHtEAH74lA1Hs44n2QB931Y74axZNsOB1MJqPhIBsu48HN&#10;dLUYzBfJeDxZ3ixulsnP0HWS5bXkXOglYrqj2ZPs78x0+Oz2Nj3Z/dRg6MpsgeNDzTvCZZjFcHSZ&#10;JhQC+N6CeIE1YWoDi6L0lhJr/Bfpa3R5mHzAeCbndBz+BzlP6DjTsxdHL7jtK3qQCpQ8qoa2DE7c&#10;O9r36x59j/jBpWvDH8Gn0BWaEZYaHGpjv1PSwYIoqPu2ZVZQot5q8PplkoEZiccgG01SCOx5Zn2e&#10;YboEqIJ6UACPC7/fQtvWyk0Nb0qQvzZz+D4qidZ96gqYhACWAHI6LKywZc5jrHpaq7NfAAAA//8D&#10;AFBLAwQUAAYACAAAACEAPM8zlt8AAAAKAQAADwAAAGRycy9kb3ducmV2LnhtbEyPzU7DMBCE70i8&#10;g7VI3KhNKFEU4lSUUi5cSqnUctvGJo7wTxS7aXh7lhMcRzOa+aZaTM6yUQ+xC17C7UwA074JqvOt&#10;hN37+qYAFhN6hTZ4LeFbR1jUlxcVliqc/Zset6llVOJjiRJMSn3JeWyMdhhnodeevM8wOEwkh5ar&#10;Ac9U7izPhMi5w87TgsFePxndfG1PTsLHqzWH9X61fFnhcrfHw3M2boSU11fT4wOwpKf0F4ZffEKH&#10;mpiO4eRVZJZ0UcwpKiHLc2AUyOcZnTuSc38ngNcV/3+h/gEAAP//AwBQSwECLQAUAAYACAAAACEA&#10;toM4kv4AAADhAQAAEwAAAAAAAAAAAAAAAAAAAAAAW0NvbnRlbnRfVHlwZXNdLnhtbFBLAQItABQA&#10;BgAIAAAAIQA4/SH/1gAAAJQBAAALAAAAAAAAAAAAAAAAAC8BAABfcmVscy8ucmVsc1BLAQItABQA&#10;BgAIAAAAIQARQ1eSxgIAAJ4FAAAOAAAAAAAAAAAAAAAAAC4CAABkcnMvZTJvRG9jLnhtbFBLAQIt&#10;ABQABgAIAAAAIQA8zzOW3wAAAAoBAAAPAAAAAAAAAAAAAAAAACAFAABkcnMvZG93bnJldi54bWxQ&#10;SwUGAAAAAAQABADzAAAALAYAAAAA&#10;" strokecolor="#622423" strokeweight="1pt">
            <v:shadow color="#868686"/>
            <v:textbox>
              <w:txbxContent>
                <w:p w14:paraId="53E7DEF0" w14:textId="77777777" w:rsidR="0093115D" w:rsidRDefault="0093115D" w:rsidP="00C60174">
                  <w:pPr>
                    <w:jc w:val="center"/>
                    <w:rPr>
                      <w:b/>
                      <w:sz w:val="20"/>
                    </w:rPr>
                  </w:pPr>
                  <w:r w:rsidRPr="00ED4954">
                    <w:rPr>
                      <w:b/>
                      <w:sz w:val="20"/>
                    </w:rPr>
                    <w:t>Priority Coordinator</w:t>
                  </w:r>
                </w:p>
                <w:p w14:paraId="01608EC8" w14:textId="77777777" w:rsidR="0093115D" w:rsidRPr="00C03B03" w:rsidRDefault="0093115D" w:rsidP="00C60174">
                  <w:pPr>
                    <w:jc w:val="center"/>
                    <w:rPr>
                      <w:i/>
                      <w:sz w:val="16"/>
                    </w:rPr>
                  </w:pPr>
                  <w:r>
                    <w:rPr>
                      <w:i/>
                      <w:sz w:val="16"/>
                    </w:rPr>
                    <w:t xml:space="preserve">monitors the implementation of the annual action plan and prepares report on specific priority. </w:t>
                  </w:r>
                </w:p>
                <w:p w14:paraId="70525037" w14:textId="77777777" w:rsidR="0093115D" w:rsidRDefault="0093115D" w:rsidP="00C60174">
                  <w:pPr>
                    <w:jc w:val="center"/>
                    <w:rPr>
                      <w:b/>
                      <w:sz w:val="20"/>
                    </w:rPr>
                  </w:pPr>
                </w:p>
                <w:p w14:paraId="20DC4BB7" w14:textId="77777777" w:rsidR="0093115D" w:rsidRPr="009B0916" w:rsidRDefault="0093115D" w:rsidP="00C60174">
                  <w:pPr>
                    <w:rPr>
                      <w:i/>
                      <w:sz w:val="16"/>
                    </w:rPr>
                  </w:pPr>
                </w:p>
                <w:p w14:paraId="3E51628E" w14:textId="77777777" w:rsidR="0093115D" w:rsidRPr="003F6183" w:rsidRDefault="0093115D" w:rsidP="00C60174">
                  <w:pPr>
                    <w:rPr>
                      <w:b/>
                      <w:sz w:val="20"/>
                    </w:rPr>
                  </w:pPr>
                </w:p>
              </w:txbxContent>
            </v:textbox>
            <w10:wrap anchorx="margin"/>
          </v:rect>
        </w:pict>
      </w:r>
    </w:p>
    <w:p w14:paraId="2C5FCA3D" w14:textId="77777777" w:rsidR="00C60174" w:rsidRPr="008C761D" w:rsidRDefault="00C60174" w:rsidP="00C60174">
      <w:pPr>
        <w:tabs>
          <w:tab w:val="left" w:pos="851"/>
        </w:tabs>
        <w:spacing w:after="120" w:line="240" w:lineRule="auto"/>
        <w:jc w:val="center"/>
        <w:rPr>
          <w:rFonts w:eastAsia="MS PGothic"/>
          <w:b/>
          <w:color w:val="C00000"/>
          <w:highlight w:val="yellow"/>
          <w:lang w:val="en-US" w:eastAsia="zh-CN"/>
        </w:rPr>
      </w:pPr>
    </w:p>
    <w:p w14:paraId="71DE447F" w14:textId="77777777" w:rsidR="00C60174" w:rsidRPr="008C761D" w:rsidRDefault="00C60174" w:rsidP="00C60174">
      <w:pPr>
        <w:tabs>
          <w:tab w:val="left" w:pos="851"/>
        </w:tabs>
        <w:spacing w:after="120" w:line="240" w:lineRule="auto"/>
        <w:jc w:val="center"/>
        <w:rPr>
          <w:rFonts w:eastAsia="MS PGothic"/>
          <w:b/>
          <w:noProof/>
          <w:color w:val="C00000"/>
          <w:lang w:val="en-US" w:eastAsia="zh-CN"/>
        </w:rPr>
      </w:pPr>
    </w:p>
    <w:p w14:paraId="76F6C122" w14:textId="77777777" w:rsidR="00C60174" w:rsidRPr="008C761D" w:rsidRDefault="00C60174" w:rsidP="00C60174">
      <w:pPr>
        <w:tabs>
          <w:tab w:val="left" w:pos="851"/>
        </w:tabs>
        <w:spacing w:after="120" w:line="240" w:lineRule="auto"/>
        <w:jc w:val="both"/>
        <w:rPr>
          <w:rFonts w:eastAsia="MS PGothic"/>
          <w:b/>
          <w:noProof/>
          <w:color w:val="C00000"/>
          <w:highlight w:val="yellow"/>
          <w:lang w:val="en-US" w:eastAsia="zh-CN"/>
        </w:rPr>
      </w:pPr>
    </w:p>
    <w:p w14:paraId="735C1F13" w14:textId="77777777" w:rsidR="00C60174" w:rsidRPr="008C761D" w:rsidRDefault="00C60174" w:rsidP="00C60174">
      <w:pPr>
        <w:spacing w:line="240" w:lineRule="auto"/>
        <w:rPr>
          <w:b/>
          <w:color w:val="0070C0"/>
          <w:sz w:val="28"/>
          <w:szCs w:val="28"/>
          <w:lang w:val="en-US"/>
        </w:rPr>
      </w:pPr>
    </w:p>
    <w:p w14:paraId="30210122" w14:textId="77777777" w:rsidR="00C60174" w:rsidRPr="008C761D" w:rsidRDefault="00C60174" w:rsidP="00C60174">
      <w:pPr>
        <w:spacing w:line="240" w:lineRule="auto"/>
        <w:jc w:val="both"/>
        <w:rPr>
          <w:rFonts w:eastAsia="Times New Roman" w:cs="Calibri"/>
          <w:color w:val="202124"/>
          <w:lang w:val="en-US"/>
        </w:rPr>
      </w:pPr>
      <w:r w:rsidRPr="008C761D">
        <w:rPr>
          <w:rFonts w:eastAsia="Times New Roman" w:cs="Calibri"/>
          <w:color w:val="202124"/>
          <w:lang w:val="en-US"/>
        </w:rPr>
        <w:t>Program implementation will be monitored by means of semi-annual and annual reports. By way of exception, the reporting period may be longer than 6 months. Upon prior approval by the PFM Council, the Government considers the reports and adopts respective conclusions with assignments for the institutions in charge. Adopted reports are published on the Ministry of Finance website.</w:t>
      </w:r>
    </w:p>
    <w:p w14:paraId="7D35381C" w14:textId="77777777" w:rsidR="00C60174" w:rsidRPr="00FB7CC0" w:rsidRDefault="00C60174" w:rsidP="00C60174">
      <w:pPr>
        <w:spacing w:line="240" w:lineRule="auto"/>
        <w:jc w:val="both"/>
        <w:rPr>
          <w:rFonts w:eastAsia="Times New Roman" w:cs="Calibri"/>
          <w:color w:val="202124"/>
          <w:sz w:val="24"/>
          <w:szCs w:val="24"/>
          <w:lang w:val="en-US"/>
        </w:rPr>
      </w:pPr>
      <w:r w:rsidRPr="00FB7CC0">
        <w:rPr>
          <w:b/>
          <w:color w:val="0070C0"/>
          <w:sz w:val="24"/>
          <w:szCs w:val="24"/>
          <w:lang w:val="en-US"/>
        </w:rPr>
        <w:t>Mid-term review</w:t>
      </w:r>
    </w:p>
    <w:p w14:paraId="7DB6844D" w14:textId="77777777" w:rsidR="00C60174" w:rsidRPr="008C761D" w:rsidRDefault="00C60174" w:rsidP="00C60174">
      <w:pPr>
        <w:shd w:val="clear" w:color="auto" w:fill="FFFFFF"/>
        <w:spacing w:after="0" w:line="134" w:lineRule="atLeast"/>
        <w:jc w:val="both"/>
        <w:rPr>
          <w:rFonts w:eastAsia="Times New Roman" w:cs="Calibri"/>
          <w:color w:val="202124"/>
          <w:lang w:val="en-US"/>
        </w:rPr>
      </w:pPr>
      <w:r w:rsidRPr="008C761D">
        <w:rPr>
          <w:rFonts w:eastAsia="Times New Roman" w:cs="Calibri"/>
          <w:color w:val="202124"/>
          <w:lang w:val="en-US"/>
        </w:rPr>
        <w:t>The PFM Reform Programme 204-2027 will be subject to a medium- term review of objectives and indicators, planned to be carried out at the end - 2025, with possibility to extend the Programme for 2 additional years, by 2029.</w:t>
      </w:r>
    </w:p>
    <w:p w14:paraId="5DFE812C" w14:textId="286A5335" w:rsidR="00C60174" w:rsidRPr="008C761D" w:rsidRDefault="00C60174" w:rsidP="00C60174">
      <w:pPr>
        <w:shd w:val="clear" w:color="auto" w:fill="FFFFFF"/>
        <w:spacing w:after="0" w:line="134" w:lineRule="atLeast"/>
        <w:jc w:val="both"/>
        <w:rPr>
          <w:rFonts w:eastAsia="Times New Roman" w:cs="Calibri"/>
          <w:color w:val="202124"/>
          <w:lang w:val="en-US"/>
        </w:rPr>
      </w:pPr>
      <w:r w:rsidRPr="008C761D">
        <w:rPr>
          <w:rFonts w:eastAsia="Times New Roman" w:cs="Calibri"/>
          <w:color w:val="202124"/>
          <w:lang w:val="en-US"/>
        </w:rPr>
        <w:t>The medium-term review of the PFM Reform Programme will be focused on following aspects:  Implementation of the Programme and the Action Plans (effectiveness); Adaptation of interventions in order to achieve desired results and objectives (relevance); Adaptation and efficiency of PFM managerial structure (efficiency).</w:t>
      </w:r>
    </w:p>
    <w:p w14:paraId="07AE50ED" w14:textId="77777777" w:rsidR="00C60174" w:rsidRPr="008C761D" w:rsidRDefault="00C60174" w:rsidP="00C60174">
      <w:pPr>
        <w:spacing w:line="240" w:lineRule="auto"/>
        <w:jc w:val="both"/>
        <w:rPr>
          <w:color w:val="0070C0"/>
          <w:lang w:val="en-US"/>
        </w:rPr>
        <w:sectPr w:rsidR="00C60174" w:rsidRPr="008C761D" w:rsidSect="00D3676F">
          <w:headerReference w:type="default" r:id="rId13"/>
          <w:pgSz w:w="11906" w:h="16838"/>
          <w:pgMar w:top="1440" w:right="1440" w:bottom="1260" w:left="1440" w:header="708" w:footer="708" w:gutter="0"/>
          <w:cols w:space="708"/>
          <w:docGrid w:linePitch="360"/>
        </w:sectPr>
      </w:pPr>
    </w:p>
    <w:p w14:paraId="456342B4" w14:textId="77777777" w:rsidR="00C60174" w:rsidRPr="008C761D" w:rsidRDefault="00C60174" w:rsidP="00C60174">
      <w:pPr>
        <w:spacing w:line="240" w:lineRule="auto"/>
        <w:jc w:val="both"/>
        <w:rPr>
          <w:rFonts w:cs="Calibri"/>
          <w:b/>
          <w:color w:val="0070C0"/>
          <w:sz w:val="28"/>
          <w:szCs w:val="28"/>
          <w:lang w:val="en-US"/>
        </w:rPr>
      </w:pPr>
      <w:r w:rsidRPr="008C761D">
        <w:rPr>
          <w:rFonts w:cs="Calibri"/>
          <w:b/>
          <w:color w:val="0070C0"/>
          <w:sz w:val="28"/>
          <w:szCs w:val="28"/>
          <w:lang w:val="en-US"/>
        </w:rPr>
        <w:lastRenderedPageBreak/>
        <w:t>Link with the Public Administration Reform Strategy</w:t>
      </w:r>
    </w:p>
    <w:p w14:paraId="0C02CC7C" w14:textId="77777777" w:rsidR="00C60174" w:rsidRPr="008C761D" w:rsidRDefault="00C60174" w:rsidP="00FD1416">
      <w:pPr>
        <w:spacing w:line="240" w:lineRule="auto"/>
        <w:jc w:val="both"/>
        <w:rPr>
          <w:rFonts w:eastAsia="Times New Roman" w:cs="Calibri"/>
          <w:color w:val="202124"/>
          <w:lang w:val="en-US"/>
        </w:rPr>
      </w:pPr>
      <w:r w:rsidRPr="008C761D">
        <w:rPr>
          <w:rFonts w:eastAsia="Times New Roman" w:cs="Calibri"/>
          <w:color w:val="202124"/>
          <w:lang w:val="en-US"/>
        </w:rPr>
        <w:t>Public administration reform is a central area of ​​the Cluster “Fundamentals” who is crucial for the progress in negotiations with the EU and therefore public administration reform remains one of the Government's key priorities. Given that the duration of negotiations for full membership depends on the speed with which reforms are implemented in the country, a new Strategy for the Reform of Public Administration (2023-2030) has been prepared, in the time period by which the Republic of North Macedonia is expected to become a full member of the EU the following vision is set: depoliticized, efficient, effective and accountable public administration that provides quality policies and easily accessible services for citizens and the business entities. The work of public administration is based on European principles and values ​​and contributes to sustainable economic growth, rule of law, social cohesion and well-being. The draft version of the Strategy for Public Administration Reform (2023-2030</w:t>
      </w:r>
      <w:proofErr w:type="gramStart"/>
      <w:r w:rsidRPr="008C761D">
        <w:rPr>
          <w:rFonts w:eastAsia="Times New Roman" w:cs="Calibri"/>
          <w:color w:val="202124"/>
          <w:lang w:val="en-US"/>
        </w:rPr>
        <w:t>) )</w:t>
      </w:r>
      <w:proofErr w:type="gramEnd"/>
      <w:r w:rsidRPr="008C761D">
        <w:rPr>
          <w:rFonts w:eastAsia="Times New Roman" w:cs="Calibri"/>
          <w:color w:val="202124"/>
          <w:lang w:val="en-US"/>
        </w:rPr>
        <w:t xml:space="preserve"> with Action Plan 2023-2026  reflects the situation and challenges in public administration in the Republic of North Macedonia, as of December 31, 2022, and it was published on ENER for public consultations on 9th February 2023.</w:t>
      </w:r>
      <w:r w:rsidRPr="008C761D">
        <w:rPr>
          <w:rFonts w:eastAsia="Times New Roman" w:cs="Calibri"/>
          <w:color w:val="202124"/>
          <w:lang w:val="en-US"/>
        </w:rPr>
        <w:footnoteReference w:id="2"/>
      </w:r>
    </w:p>
    <w:p w14:paraId="626B6366" w14:textId="77777777" w:rsidR="00C60174" w:rsidRPr="008C761D" w:rsidRDefault="00C60174" w:rsidP="00FD1416">
      <w:pPr>
        <w:tabs>
          <w:tab w:val="left" w:pos="851"/>
        </w:tabs>
        <w:spacing w:before="120" w:after="120" w:line="240" w:lineRule="auto"/>
        <w:jc w:val="both"/>
        <w:rPr>
          <w:rFonts w:eastAsia="Times New Roman" w:cs="Calibri"/>
          <w:color w:val="202124"/>
          <w:lang w:val="en-US"/>
        </w:rPr>
      </w:pPr>
      <w:r w:rsidRPr="008C761D">
        <w:rPr>
          <w:rFonts w:eastAsia="Times New Roman" w:cs="Calibri"/>
          <w:color w:val="202124"/>
          <w:lang w:val="en-US"/>
        </w:rPr>
        <w:t xml:space="preserve">Public financial management reform is one of the key pillars of the public administration reform (PAR), accordingly being incorporated in the PAR Strategy and the Action Plan for Implementation of PAR Strategy. Given that modern public administration is basis for efficient and effective public financial management, when preparing the PFM Reform Programme and the PAR Strategy, full coherence and harmonisation of both strategic documents is ensured. Particular attention has been paid to the human resources capacity, policy planning capacity, e-services, provision of services and orientation towards results coordination as regards enhancing managerial accountability, internal control environment and improving transparency. Moreover, link between </w:t>
      </w:r>
      <w:proofErr w:type="gramStart"/>
      <w:r w:rsidRPr="008C761D">
        <w:rPr>
          <w:rFonts w:eastAsia="Times New Roman" w:cs="Calibri"/>
          <w:color w:val="202124"/>
          <w:lang w:val="en-US"/>
        </w:rPr>
        <w:t>these two strategic document</w:t>
      </w:r>
      <w:proofErr w:type="gramEnd"/>
      <w:r w:rsidRPr="008C761D">
        <w:rPr>
          <w:rFonts w:eastAsia="Times New Roman" w:cs="Calibri"/>
          <w:color w:val="202124"/>
          <w:lang w:val="en-US"/>
        </w:rPr>
        <w:t xml:space="preserve"> has been further strengthened with the Minister of Information Society and Administration participating in the process of managing and coordinating the PFM Reform Programme, as a member of the PFM Council, and its representatives in the PFM Sector Working Group, thus ensuring consistency and complementarity in the implementation of both documents. Furthermore, PFM reforms are put on the agenda of the SAA monitoring process, in particular, the progress in implementation of the reforms is discussed during the meetings of the Special Group for Public Administration Reform. In addition, agendas of the PFM policy dialogue and the Special Group for Public Administration Reform are harmonised. </w:t>
      </w:r>
    </w:p>
    <w:p w14:paraId="4CD11C4A" w14:textId="77777777" w:rsidR="00C60174" w:rsidRPr="008C761D" w:rsidRDefault="00C60174" w:rsidP="00FD1416">
      <w:pPr>
        <w:shd w:val="clear" w:color="auto" w:fill="FFFFFF"/>
        <w:spacing w:before="120" w:after="120" w:line="240" w:lineRule="auto"/>
        <w:jc w:val="both"/>
        <w:rPr>
          <w:rFonts w:eastAsia="Times New Roman" w:cs="Calibri"/>
          <w:color w:val="202124"/>
          <w:lang w:val="en-US"/>
        </w:rPr>
      </w:pPr>
      <w:r w:rsidRPr="008C761D">
        <w:rPr>
          <w:rFonts w:eastAsia="Times New Roman" w:cs="Calibri"/>
          <w:color w:val="202124"/>
          <w:lang w:val="en-US"/>
        </w:rPr>
        <w:t xml:space="preserve">Under IPA Project “Support to State Reorganisation”, implemented by the Ministry of Information Society and Administration, new Law on Organisational Setup and Operations of State Administration </w:t>
      </w:r>
      <w:proofErr w:type="gramStart"/>
      <w:r w:rsidRPr="008C761D">
        <w:rPr>
          <w:rFonts w:eastAsia="Times New Roman" w:cs="Calibri"/>
          <w:color w:val="202124"/>
          <w:lang w:val="en-US"/>
        </w:rPr>
        <w:t>Bodies ,</w:t>
      </w:r>
      <w:proofErr w:type="gramEnd"/>
      <w:r w:rsidRPr="008C761D">
        <w:rPr>
          <w:rFonts w:eastAsia="Times New Roman" w:cs="Calibri"/>
          <w:color w:val="202124"/>
          <w:lang w:val="en-US"/>
        </w:rPr>
        <w:t xml:space="preserve"> aimed at streamlining the institutional framework, eliminating the overlapping competencies and improving the efficiency of the administration, strengthening the public services, as well as the ethics, integrity, transparency and accountability of the public administration is in preparation</w:t>
      </w:r>
    </w:p>
    <w:p w14:paraId="0D3733BA" w14:textId="77777777" w:rsidR="00C60174" w:rsidRPr="008C761D" w:rsidRDefault="00C60174" w:rsidP="00FD1416">
      <w:pPr>
        <w:shd w:val="clear" w:color="auto" w:fill="FFFFFF"/>
        <w:spacing w:before="120" w:after="120" w:line="240" w:lineRule="auto"/>
        <w:jc w:val="both"/>
        <w:rPr>
          <w:rFonts w:eastAsia="Times New Roman" w:cs="Calibri"/>
          <w:color w:val="202124"/>
          <w:lang w:val="en-US"/>
        </w:rPr>
      </w:pPr>
      <w:r w:rsidRPr="008C761D">
        <w:rPr>
          <w:rFonts w:eastAsia="Times New Roman" w:cs="Calibri"/>
          <w:color w:val="202124"/>
          <w:lang w:val="en-US"/>
        </w:rPr>
        <w:t xml:space="preserve">Organisational setup of the new Departments has been defined with a functional analysis made by the Ministry of Finance. In order to commence performing the new functions related to public investment management, concession registry, carrying out training in the area of public finances, etc., Ministry of Finance in December 2022 had </w:t>
      </w:r>
      <w:proofErr w:type="gramStart"/>
      <w:r w:rsidRPr="008C761D">
        <w:rPr>
          <w:rFonts w:eastAsia="Times New Roman" w:cs="Calibri"/>
          <w:color w:val="202124"/>
          <w:lang w:val="en-US"/>
        </w:rPr>
        <w:t>amend</w:t>
      </w:r>
      <w:proofErr w:type="gramEnd"/>
      <w:r w:rsidRPr="008C761D">
        <w:rPr>
          <w:rFonts w:eastAsia="Times New Roman" w:cs="Calibri"/>
          <w:color w:val="202124"/>
          <w:lang w:val="en-US"/>
        </w:rPr>
        <w:t xml:space="preserve"> the organisation and systematisation acts, so that new organisational units were established and their staffing is underway. </w:t>
      </w:r>
    </w:p>
    <w:p w14:paraId="19C82F2E" w14:textId="77777777" w:rsidR="00C60174" w:rsidRPr="008C761D" w:rsidRDefault="00C60174" w:rsidP="00C60174">
      <w:pPr>
        <w:spacing w:before="360" w:after="120" w:line="240" w:lineRule="auto"/>
        <w:jc w:val="both"/>
        <w:rPr>
          <w:rFonts w:cs="Calibri"/>
          <w:b/>
          <w:color w:val="0070C0"/>
          <w:sz w:val="28"/>
          <w:szCs w:val="28"/>
          <w:lang w:val="en-US"/>
        </w:rPr>
      </w:pPr>
      <w:r w:rsidRPr="008C761D">
        <w:rPr>
          <w:rFonts w:cs="Calibri"/>
          <w:b/>
          <w:color w:val="0070C0"/>
          <w:sz w:val="28"/>
          <w:szCs w:val="28"/>
          <w:lang w:val="en-US"/>
        </w:rPr>
        <w:t>PFM Donor Coordination</w:t>
      </w:r>
    </w:p>
    <w:p w14:paraId="2FC6AB90" w14:textId="77777777" w:rsidR="00C60174" w:rsidRPr="008C761D" w:rsidRDefault="00C60174" w:rsidP="00FD1416">
      <w:pPr>
        <w:spacing w:after="120" w:line="240" w:lineRule="auto"/>
        <w:jc w:val="both"/>
        <w:rPr>
          <w:rFonts w:cs="Calibri"/>
          <w:iCs/>
          <w:lang w:val="en-US"/>
        </w:rPr>
      </w:pPr>
      <w:r w:rsidRPr="008C761D">
        <w:rPr>
          <w:rFonts w:cs="Calibri"/>
          <w:iCs/>
          <w:lang w:val="en-US"/>
        </w:rPr>
        <w:t>PFM donor coordination is carried out at two levels:</w:t>
      </w:r>
    </w:p>
    <w:p w14:paraId="73B08176" w14:textId="77777777" w:rsidR="00C60174" w:rsidRPr="008C761D" w:rsidRDefault="00C60174" w:rsidP="00FD1416">
      <w:pPr>
        <w:numPr>
          <w:ilvl w:val="0"/>
          <w:numId w:val="9"/>
        </w:numPr>
        <w:spacing w:after="120" w:line="240" w:lineRule="auto"/>
        <w:jc w:val="both"/>
        <w:rPr>
          <w:rFonts w:cs="Calibri"/>
          <w:iCs/>
          <w:lang w:val="en-US"/>
        </w:rPr>
      </w:pPr>
      <w:r w:rsidRPr="008C761D">
        <w:rPr>
          <w:rFonts w:cs="Calibri"/>
          <w:iCs/>
          <w:lang w:val="en-US"/>
        </w:rPr>
        <w:lastRenderedPageBreak/>
        <w:t xml:space="preserve">Policy level - PFM Council and PFM policy </w:t>
      </w:r>
      <w:proofErr w:type="gramStart"/>
      <w:r w:rsidRPr="008C761D">
        <w:rPr>
          <w:rFonts w:cs="Calibri"/>
          <w:iCs/>
          <w:lang w:val="en-US"/>
        </w:rPr>
        <w:t>dialogue.One</w:t>
      </w:r>
      <w:proofErr w:type="gramEnd"/>
      <w:r w:rsidRPr="008C761D">
        <w:rPr>
          <w:rFonts w:cs="Calibri"/>
          <w:iCs/>
          <w:lang w:val="en-US"/>
        </w:rPr>
        <w:t xml:space="preserve"> of the main tasks of the PFM Council is to facilitate the policy dialogue with relevant institutions and donors.Members of the PFM Council participate in the PFM policy dialogues with all relevant stakeholders.</w:t>
      </w:r>
    </w:p>
    <w:p w14:paraId="55637704" w14:textId="77777777" w:rsidR="00C60174" w:rsidRPr="008C761D" w:rsidRDefault="00C60174" w:rsidP="00FD1416">
      <w:pPr>
        <w:numPr>
          <w:ilvl w:val="0"/>
          <w:numId w:val="9"/>
        </w:numPr>
        <w:spacing w:after="120" w:line="240" w:lineRule="auto"/>
        <w:jc w:val="both"/>
        <w:rPr>
          <w:rFonts w:cs="Calibri"/>
          <w:iCs/>
          <w:lang w:val="en-US"/>
        </w:rPr>
      </w:pPr>
      <w:r w:rsidRPr="008C761D">
        <w:rPr>
          <w:rFonts w:cs="Calibri"/>
          <w:iCs/>
          <w:lang w:val="en-US"/>
        </w:rPr>
        <w:t>Technical level - PFM Sector Working GroupPFM Sector Working Group is the main interinstitutional coordination body at technical level to debate on the national PFM reform documents, as well as inter-sector and sector strategies and development programmes (planning documents) related to PFM reforms, including those of importance for the EU integration, all to the end of providing a sustainable and long-term planning of national priorities and financial support from the donors.</w:t>
      </w:r>
    </w:p>
    <w:p w14:paraId="63D9A4B3" w14:textId="77777777" w:rsidR="00C60174" w:rsidRPr="008C761D" w:rsidRDefault="00C60174" w:rsidP="00FD1416">
      <w:pPr>
        <w:spacing w:after="120" w:line="240" w:lineRule="auto"/>
        <w:ind w:left="720"/>
        <w:jc w:val="both"/>
        <w:rPr>
          <w:rFonts w:cs="Calibri"/>
          <w:iCs/>
          <w:lang w:val="en-US"/>
        </w:rPr>
      </w:pPr>
      <w:r w:rsidRPr="008C761D">
        <w:rPr>
          <w:rFonts w:cs="Calibri"/>
          <w:iCs/>
          <w:lang w:val="en-US"/>
        </w:rPr>
        <w:t>Also, separate donor coordination meetings at operational level are organised with regard to the implementation of specific PFM sub-areas measures</w:t>
      </w:r>
    </w:p>
    <w:p w14:paraId="2F905579" w14:textId="77777777" w:rsidR="00C60174" w:rsidRPr="008C761D" w:rsidRDefault="00C60174" w:rsidP="00C60174">
      <w:pPr>
        <w:spacing w:before="360" w:line="240" w:lineRule="auto"/>
        <w:jc w:val="both"/>
        <w:rPr>
          <w:rFonts w:cs="Calibri"/>
          <w:b/>
          <w:color w:val="0070C0"/>
          <w:sz w:val="28"/>
          <w:szCs w:val="28"/>
          <w:lang w:val="en-US"/>
        </w:rPr>
      </w:pPr>
      <w:r w:rsidRPr="008C761D">
        <w:rPr>
          <w:rFonts w:cs="Calibri"/>
          <w:b/>
          <w:color w:val="0070C0"/>
          <w:sz w:val="28"/>
          <w:szCs w:val="28"/>
          <w:lang w:val="en-US"/>
        </w:rPr>
        <w:t>Public Consultation with External Partners</w:t>
      </w:r>
    </w:p>
    <w:p w14:paraId="4F2BD2C1" w14:textId="77777777" w:rsidR="00C60174" w:rsidRPr="008C761D" w:rsidRDefault="00C60174" w:rsidP="00FD1416">
      <w:pPr>
        <w:pStyle w:val="NormalPFM1"/>
        <w:spacing w:before="0" w:after="120" w:line="240" w:lineRule="auto"/>
        <w:rPr>
          <w:rFonts w:cs="Calibri"/>
          <w:sz w:val="22"/>
          <w:szCs w:val="22"/>
          <w:lang w:val="en-US"/>
        </w:rPr>
      </w:pPr>
      <w:r w:rsidRPr="008C761D">
        <w:rPr>
          <w:rFonts w:cs="Calibri"/>
          <w:sz w:val="22"/>
          <w:szCs w:val="22"/>
          <w:lang w:val="en-US"/>
        </w:rPr>
        <w:t>Process of public consultations for the preparation and implementation of the PFM reform program 2024-2027 will be carried out within the activities of the PFM SWG upon prior publication of the draft documents on MoF website.</w:t>
      </w:r>
    </w:p>
    <w:p w14:paraId="5F41211C" w14:textId="77777777" w:rsidR="00C60174" w:rsidRPr="008C761D" w:rsidRDefault="00C60174" w:rsidP="00FD1416">
      <w:pPr>
        <w:pStyle w:val="NormalPFM1"/>
        <w:spacing w:before="0" w:after="120" w:line="240" w:lineRule="auto"/>
        <w:rPr>
          <w:rFonts w:cs="Calibri"/>
          <w:sz w:val="22"/>
          <w:szCs w:val="22"/>
          <w:lang w:val="en-US"/>
        </w:rPr>
      </w:pPr>
      <w:r w:rsidRPr="008C761D">
        <w:rPr>
          <w:rFonts w:cs="Calibri"/>
          <w:sz w:val="22"/>
          <w:szCs w:val="22"/>
          <w:lang w:val="en-US"/>
        </w:rPr>
        <w:t>Preparation and implementation of the new PFM Reform Programme 2024-2027 is based on a sectoral dialogue with all stakeholders - external partners, introduced with the previous PFM Reform Programme.The objective of the dialogue is to ensure joint actions as regards the priorities and the policies in the area of public finance management, establishing a synergy and coordination among different initiatives, as well as that budget funds and all other available resources, including donor funds, are used in an appropriate and transparent manner.</w:t>
      </w:r>
    </w:p>
    <w:p w14:paraId="60A017B2" w14:textId="77777777" w:rsidR="00C60174" w:rsidRPr="008C761D" w:rsidRDefault="00C60174" w:rsidP="00FD1416">
      <w:pPr>
        <w:pStyle w:val="NormalPFM1"/>
        <w:spacing w:before="0" w:after="120" w:line="240" w:lineRule="auto"/>
        <w:rPr>
          <w:rFonts w:cs="Calibri"/>
          <w:sz w:val="22"/>
          <w:szCs w:val="22"/>
          <w:lang w:val="en-US"/>
        </w:rPr>
      </w:pPr>
      <w:r w:rsidRPr="008C761D">
        <w:rPr>
          <w:rFonts w:cs="Calibri"/>
          <w:sz w:val="22"/>
          <w:szCs w:val="22"/>
          <w:lang w:val="en-US"/>
        </w:rPr>
        <w:t>Important input and dialogue orientation is received from the external technical reviews, such as IMF Article IV consultations, Public Finance Review and other relevant reviews of the World Bank, SIGMA monitoring reports, PEFA assessments, EU Annual Reports, other assessment missions for specific PFM sub-</w:t>
      </w:r>
      <w:proofErr w:type="gramStart"/>
      <w:r w:rsidRPr="008C761D">
        <w:rPr>
          <w:rFonts w:cs="Calibri"/>
          <w:sz w:val="22"/>
          <w:szCs w:val="22"/>
          <w:lang w:val="en-US"/>
        </w:rPr>
        <w:t>sectors.Key</w:t>
      </w:r>
      <w:proofErr w:type="gramEnd"/>
      <w:r w:rsidRPr="008C761D">
        <w:rPr>
          <w:rFonts w:cs="Calibri"/>
          <w:sz w:val="22"/>
          <w:szCs w:val="22"/>
          <w:lang w:val="en-US"/>
        </w:rPr>
        <w:t xml:space="preserve"> findings from the latest assessments of different international institutions for various PFM area are presented in each measure of the respective priority in Chapter II.</w:t>
      </w:r>
    </w:p>
    <w:p w14:paraId="78B9F069" w14:textId="3928DB7E" w:rsidR="00C60174" w:rsidRPr="008C761D" w:rsidRDefault="00C60174" w:rsidP="00FD1416">
      <w:pPr>
        <w:pStyle w:val="NormalPFM1"/>
        <w:spacing w:before="0" w:after="120" w:line="240" w:lineRule="auto"/>
        <w:rPr>
          <w:rFonts w:cs="Calibri"/>
          <w:sz w:val="22"/>
          <w:szCs w:val="22"/>
          <w:lang w:val="en-US"/>
        </w:rPr>
      </w:pPr>
      <w:r w:rsidRPr="008208F0">
        <w:rPr>
          <w:rFonts w:cs="Calibri"/>
          <w:sz w:val="22"/>
          <w:szCs w:val="22"/>
          <w:lang w:val="en-US"/>
        </w:rPr>
        <w:t xml:space="preserve">Public Financial Management Report Programme 2024-2027 was published on the Ministry of Finance website on </w:t>
      </w:r>
      <w:r w:rsidR="00FF1EE0" w:rsidRPr="008208F0">
        <w:rPr>
          <w:rFonts w:cs="Calibri"/>
          <w:sz w:val="22"/>
          <w:szCs w:val="22"/>
          <w:lang w:val="en-US"/>
        </w:rPr>
        <w:t>March 4</w:t>
      </w:r>
      <w:r w:rsidRPr="008208F0">
        <w:rPr>
          <w:rFonts w:cs="Calibri"/>
          <w:sz w:val="22"/>
          <w:szCs w:val="22"/>
          <w:lang w:val="en-US"/>
        </w:rPr>
        <w:t>, 202</w:t>
      </w:r>
      <w:r w:rsidR="009F4DFA" w:rsidRPr="008208F0">
        <w:rPr>
          <w:rFonts w:cs="Calibri"/>
          <w:sz w:val="22"/>
          <w:szCs w:val="22"/>
          <w:lang w:val="en-US"/>
        </w:rPr>
        <w:t>4</w:t>
      </w:r>
      <w:r w:rsidRPr="008208F0">
        <w:rPr>
          <w:rFonts w:cs="Calibri"/>
          <w:sz w:val="22"/>
          <w:szCs w:val="22"/>
          <w:lang w:val="en-US"/>
        </w:rPr>
        <w:t>, in Macedonian and English.</w:t>
      </w:r>
      <w:r w:rsidR="00FF1EE0" w:rsidRPr="008208F0">
        <w:rPr>
          <w:rFonts w:cs="Calibri"/>
          <w:sz w:val="22"/>
          <w:szCs w:val="22"/>
          <w:lang w:val="en-US"/>
        </w:rPr>
        <w:t xml:space="preserve"> </w:t>
      </w:r>
      <w:r w:rsidRPr="008208F0">
        <w:rPr>
          <w:rFonts w:cs="Calibri"/>
          <w:sz w:val="22"/>
          <w:szCs w:val="22"/>
          <w:lang w:val="en-US"/>
        </w:rPr>
        <w:t>Public consultation was held in a form of policy dialogue on Ma</w:t>
      </w:r>
      <w:r w:rsidR="009F4DFA" w:rsidRPr="008208F0">
        <w:rPr>
          <w:rFonts w:cs="Calibri"/>
          <w:sz w:val="22"/>
          <w:szCs w:val="22"/>
          <w:lang w:val="en-US"/>
        </w:rPr>
        <w:t>rch</w:t>
      </w:r>
      <w:r w:rsidRPr="008208F0">
        <w:rPr>
          <w:rFonts w:cs="Calibri"/>
          <w:sz w:val="22"/>
          <w:szCs w:val="22"/>
          <w:lang w:val="en-US"/>
        </w:rPr>
        <w:t xml:space="preserve"> </w:t>
      </w:r>
      <w:r w:rsidR="009F4DFA" w:rsidRPr="008208F0">
        <w:rPr>
          <w:rFonts w:cs="Calibri"/>
          <w:sz w:val="22"/>
          <w:szCs w:val="22"/>
          <w:lang w:val="en-US"/>
        </w:rPr>
        <w:t>21</w:t>
      </w:r>
      <w:r w:rsidRPr="008208F0">
        <w:rPr>
          <w:rFonts w:cs="Calibri"/>
          <w:sz w:val="22"/>
          <w:szCs w:val="22"/>
          <w:lang w:val="en-US"/>
        </w:rPr>
        <w:t>, 202</w:t>
      </w:r>
      <w:r w:rsidR="009F4DFA" w:rsidRPr="008208F0">
        <w:rPr>
          <w:rFonts w:cs="Calibri"/>
          <w:sz w:val="22"/>
          <w:szCs w:val="22"/>
          <w:lang w:val="en-US"/>
        </w:rPr>
        <w:t>4</w:t>
      </w:r>
      <w:r w:rsidRPr="008208F0">
        <w:rPr>
          <w:rFonts w:cs="Calibri"/>
          <w:sz w:val="22"/>
          <w:szCs w:val="22"/>
          <w:lang w:val="en-US"/>
        </w:rPr>
        <w:t>, with all stakeholders taking part (donor community, civil society organisations, IFIs, local authorities and other stakeholders), in order to actively contribute to the process of determining and implementing the reform priorities.</w:t>
      </w:r>
    </w:p>
    <w:p w14:paraId="1048E9CD" w14:textId="77777777" w:rsidR="00C60174" w:rsidRPr="008C761D" w:rsidRDefault="00C60174" w:rsidP="00C60174">
      <w:pPr>
        <w:spacing w:line="240" w:lineRule="auto"/>
        <w:jc w:val="both"/>
        <w:rPr>
          <w:rFonts w:cs="Calibri"/>
          <w:color w:val="2F5496"/>
          <w:lang w:val="en-US" w:eastAsia="zh-CN"/>
        </w:rPr>
      </w:pPr>
    </w:p>
    <w:p w14:paraId="583E287A" w14:textId="77777777" w:rsidR="00C60174" w:rsidRPr="008C761D" w:rsidRDefault="00C60174" w:rsidP="00C60174">
      <w:pPr>
        <w:spacing w:line="240" w:lineRule="auto"/>
        <w:jc w:val="both"/>
        <w:rPr>
          <w:rFonts w:cs="Calibri"/>
          <w:color w:val="2F5496"/>
          <w:lang w:val="en-US" w:eastAsia="zh-CN"/>
        </w:rPr>
      </w:pPr>
    </w:p>
    <w:p w14:paraId="63A3A357" w14:textId="536B2322" w:rsidR="00C60174" w:rsidRDefault="00C60174" w:rsidP="00C60174">
      <w:pPr>
        <w:spacing w:line="240" w:lineRule="auto"/>
        <w:jc w:val="both"/>
        <w:rPr>
          <w:rFonts w:cs="Calibri"/>
          <w:color w:val="2F5496"/>
          <w:lang w:val="en-US" w:eastAsia="zh-CN"/>
        </w:rPr>
      </w:pPr>
    </w:p>
    <w:p w14:paraId="502FAC56" w14:textId="681D20F2" w:rsidR="00015129" w:rsidRDefault="00015129" w:rsidP="00C60174">
      <w:pPr>
        <w:spacing w:line="240" w:lineRule="auto"/>
        <w:jc w:val="both"/>
        <w:rPr>
          <w:rFonts w:cs="Calibri"/>
          <w:color w:val="2F5496"/>
          <w:lang w:val="en-US" w:eastAsia="zh-CN"/>
        </w:rPr>
      </w:pPr>
    </w:p>
    <w:p w14:paraId="4085D030" w14:textId="1A9610E8" w:rsidR="00FD1416" w:rsidRDefault="00FD1416" w:rsidP="00C60174">
      <w:pPr>
        <w:spacing w:line="240" w:lineRule="auto"/>
        <w:jc w:val="both"/>
        <w:rPr>
          <w:rFonts w:cs="Calibri"/>
          <w:color w:val="2F5496"/>
          <w:lang w:val="en-US" w:eastAsia="zh-CN"/>
        </w:rPr>
      </w:pPr>
    </w:p>
    <w:p w14:paraId="0A13673B" w14:textId="77777777" w:rsidR="00FD1416" w:rsidRDefault="00FD1416" w:rsidP="00C60174">
      <w:pPr>
        <w:spacing w:line="240" w:lineRule="auto"/>
        <w:jc w:val="both"/>
        <w:rPr>
          <w:rFonts w:cs="Calibri"/>
          <w:color w:val="2F5496"/>
          <w:lang w:val="en-US" w:eastAsia="zh-CN"/>
        </w:rPr>
      </w:pPr>
    </w:p>
    <w:p w14:paraId="4345F0C1" w14:textId="6D31FA12" w:rsidR="00015129" w:rsidRDefault="00015129" w:rsidP="00C60174">
      <w:pPr>
        <w:spacing w:line="240" w:lineRule="auto"/>
        <w:jc w:val="both"/>
        <w:rPr>
          <w:rFonts w:cs="Calibri"/>
          <w:color w:val="2F5496"/>
          <w:lang w:val="en-US" w:eastAsia="zh-CN"/>
        </w:rPr>
      </w:pPr>
    </w:p>
    <w:p w14:paraId="31537C33" w14:textId="6AD08D83" w:rsidR="00015129" w:rsidRDefault="00015129" w:rsidP="00C60174">
      <w:pPr>
        <w:spacing w:line="240" w:lineRule="auto"/>
        <w:jc w:val="both"/>
        <w:rPr>
          <w:rFonts w:cs="Calibri"/>
          <w:color w:val="2F5496"/>
          <w:lang w:val="en-US" w:eastAsia="zh-CN"/>
        </w:rPr>
      </w:pPr>
    </w:p>
    <w:p w14:paraId="7484C803" w14:textId="77777777" w:rsidR="00A42B0B" w:rsidRPr="00FB7CC0" w:rsidRDefault="005B28E4" w:rsidP="00E84CD0">
      <w:pPr>
        <w:pStyle w:val="Heading1"/>
        <w:spacing w:line="240" w:lineRule="auto"/>
        <w:jc w:val="both"/>
        <w:rPr>
          <w:rFonts w:ascii="Calibri" w:eastAsia="MS PGothic" w:hAnsi="Calibri" w:cs="Calibri"/>
          <w:color w:val="2F5496"/>
          <w:lang w:val="en-US" w:eastAsia="zh-CN"/>
        </w:rPr>
      </w:pPr>
      <w:bookmarkStart w:id="81" w:name="_Toc160611837"/>
      <w:r w:rsidRPr="00FB7CC0">
        <w:rPr>
          <w:rFonts w:ascii="Calibri" w:eastAsia="MS PGothic" w:hAnsi="Calibri" w:cs="Calibri"/>
          <w:color w:val="2F5496"/>
          <w:lang w:val="en-US" w:eastAsia="zh-CN"/>
        </w:rPr>
        <w:lastRenderedPageBreak/>
        <w:t xml:space="preserve">Chapter IV: </w:t>
      </w:r>
      <w:r w:rsidR="00A42B0B" w:rsidRPr="00FB7CC0">
        <w:rPr>
          <w:rFonts w:ascii="Calibri" w:eastAsia="MS PGothic" w:hAnsi="Calibri" w:cs="Calibri"/>
          <w:color w:val="2F5496"/>
          <w:lang w:val="en-US" w:eastAsia="zh-CN"/>
        </w:rPr>
        <w:t>Financing of the PFM Reform Programme</w:t>
      </w:r>
      <w:bookmarkEnd w:id="81"/>
    </w:p>
    <w:p w14:paraId="24FA13F3" w14:textId="77777777" w:rsidR="00E57EF2" w:rsidRPr="008C761D" w:rsidRDefault="00E57EF2" w:rsidP="00E84CD0">
      <w:pPr>
        <w:pStyle w:val="NormalPFM1"/>
        <w:spacing w:before="0" w:after="120" w:line="240" w:lineRule="auto"/>
        <w:rPr>
          <w:rFonts w:cs="Calibri"/>
          <w:sz w:val="22"/>
          <w:szCs w:val="22"/>
          <w:lang w:val="en-US"/>
        </w:rPr>
      </w:pPr>
      <w:bookmarkStart w:id="82" w:name="_Toc126125876"/>
      <w:bookmarkStart w:id="83" w:name="_Toc127251182"/>
    </w:p>
    <w:p w14:paraId="28DC2AAB" w14:textId="77777777" w:rsidR="00E57EF2" w:rsidRPr="008C761D" w:rsidRDefault="00E57EF2" w:rsidP="00FD1416">
      <w:pPr>
        <w:spacing w:line="240" w:lineRule="auto"/>
        <w:jc w:val="both"/>
        <w:rPr>
          <w:rFonts w:cs="Calibri"/>
          <w:lang w:val="en-US"/>
        </w:rPr>
      </w:pPr>
      <w:r w:rsidRPr="008C761D">
        <w:rPr>
          <w:rFonts w:cs="Calibri"/>
          <w:lang w:val="en-US"/>
        </w:rPr>
        <w:t>The PFM Reform Programme will be funded through two main sources: state Budget and donors’ fund</w:t>
      </w:r>
      <w:r w:rsidR="0033587C" w:rsidRPr="008C761D">
        <w:rPr>
          <w:rFonts w:cs="Calibri"/>
          <w:lang w:val="en-US"/>
        </w:rPr>
        <w:t>s</w:t>
      </w:r>
      <w:r w:rsidRPr="008C761D">
        <w:rPr>
          <w:rFonts w:cs="Calibri"/>
          <w:lang w:val="en-US"/>
        </w:rPr>
        <w:t xml:space="preserve">. </w:t>
      </w:r>
    </w:p>
    <w:p w14:paraId="215DB059" w14:textId="77777777" w:rsidR="00E57EF2" w:rsidRPr="008C761D" w:rsidRDefault="00E57EF2" w:rsidP="00FD1416">
      <w:pPr>
        <w:spacing w:line="240" w:lineRule="auto"/>
        <w:jc w:val="both"/>
        <w:rPr>
          <w:rFonts w:cs="Calibri"/>
          <w:lang w:val="en-US"/>
        </w:rPr>
      </w:pPr>
      <w:r w:rsidRPr="008C761D">
        <w:rPr>
          <w:rFonts w:cs="Calibri"/>
          <w:lang w:val="en-US"/>
        </w:rPr>
        <w:t xml:space="preserve">Each priority and measure </w:t>
      </w:r>
      <w:proofErr w:type="gramStart"/>
      <w:r w:rsidRPr="008C761D">
        <w:rPr>
          <w:rFonts w:cs="Calibri"/>
          <w:lang w:val="en-US"/>
        </w:rPr>
        <w:t>has</w:t>
      </w:r>
      <w:proofErr w:type="gramEnd"/>
      <w:r w:rsidRPr="008C761D">
        <w:rPr>
          <w:rFonts w:cs="Calibri"/>
          <w:lang w:val="en-US"/>
        </w:rPr>
        <w:t xml:space="preserve"> developed its estimated costs analysis for the activities. Costs calculation is based on a general assumption that only additional costs will be estimated, in order to ensure full and successful implementation of the planned activities, as well as to present the sources of funds for the additional costs in order to determine the financing gap.  Activities carried out with the existing human resources, i.e. activities for which no additional costs for new employment are envisaged should not be estimated, such as for instance administrative tasks - preparation of draft laws and bylaws (unless need for external expert assistance arises). </w:t>
      </w:r>
    </w:p>
    <w:bookmarkEnd w:id="82"/>
    <w:bookmarkEnd w:id="83"/>
    <w:p w14:paraId="4C3E6650" w14:textId="77777777" w:rsidR="00FA7078" w:rsidRPr="008C761D" w:rsidRDefault="00FA7078" w:rsidP="00FD1416">
      <w:pPr>
        <w:spacing w:line="240" w:lineRule="auto"/>
        <w:jc w:val="both"/>
        <w:rPr>
          <w:rFonts w:cs="Calibri"/>
          <w:lang w:val="en-US"/>
        </w:rPr>
      </w:pPr>
      <w:r w:rsidRPr="008C761D">
        <w:rPr>
          <w:rFonts w:cs="Calibri"/>
          <w:lang w:val="en-US"/>
        </w:rPr>
        <w:t>Thereby, basic categorisation of the estimated additional costs has been made in order to ensure better overall estimates on the type of needed resources.</w:t>
      </w:r>
    </w:p>
    <w:p w14:paraId="10E7DDF0" w14:textId="77777777" w:rsidR="00FA7078" w:rsidRPr="008C761D" w:rsidRDefault="00FA7078" w:rsidP="00FD1416">
      <w:pPr>
        <w:spacing w:line="240" w:lineRule="auto"/>
        <w:jc w:val="both"/>
        <w:rPr>
          <w:rFonts w:cs="Calibri"/>
          <w:lang w:val="en-US"/>
        </w:rPr>
      </w:pPr>
      <w:r w:rsidRPr="008C761D">
        <w:rPr>
          <w:rFonts w:cs="Calibri"/>
          <w:lang w:val="en-US"/>
        </w:rPr>
        <w:t>Government of the Republic of North Macedonia will strive for securing funds from external sources/donors for closing the determined financing gap, committing to ensure funds from the state Budget for the activities for which such funds will not be provided, all in line with the planned dynamics for implementation of the activities.</w:t>
      </w:r>
    </w:p>
    <w:p w14:paraId="2C6787FA" w14:textId="06E03032" w:rsidR="00E57EF2" w:rsidRDefault="00E57EF2" w:rsidP="00FD1416">
      <w:pPr>
        <w:spacing w:line="240" w:lineRule="auto"/>
        <w:jc w:val="both"/>
        <w:rPr>
          <w:rFonts w:cs="Calibri"/>
          <w:lang w:val="en-US"/>
        </w:rPr>
      </w:pPr>
      <w:r w:rsidRPr="008C761D">
        <w:rPr>
          <w:rFonts w:cs="Calibri"/>
          <w:lang w:val="en-US"/>
        </w:rPr>
        <w:t xml:space="preserve">The Table below summarises the known estimated costs for the Programme at the time of its preparation. Given that the Programme is mainly financed from the state Budget, current costs implications are directly </w:t>
      </w:r>
      <w:proofErr w:type="gramStart"/>
      <w:r w:rsidRPr="008C761D">
        <w:rPr>
          <w:rFonts w:cs="Calibri"/>
          <w:lang w:val="en-US"/>
        </w:rPr>
        <w:t>taken into account</w:t>
      </w:r>
      <w:proofErr w:type="gramEnd"/>
      <w:r w:rsidRPr="008C761D">
        <w:rPr>
          <w:rFonts w:cs="Calibri"/>
          <w:lang w:val="en-US"/>
        </w:rPr>
        <w:t xml:space="preserve"> during the planning process and will be reflected in the annual budgets.</w:t>
      </w:r>
    </w:p>
    <w:p w14:paraId="3A929822" w14:textId="1B823487" w:rsidR="001D2C03" w:rsidRDefault="001D2C03" w:rsidP="006A78BE">
      <w:pPr>
        <w:spacing w:line="240" w:lineRule="auto"/>
        <w:jc w:val="center"/>
        <w:rPr>
          <w:rFonts w:cs="Calibri"/>
          <w:lang w:val="en-US"/>
        </w:rPr>
      </w:pPr>
    </w:p>
    <w:tbl>
      <w:tblPr>
        <w:tblW w:w="9004" w:type="dxa"/>
        <w:tblInd w:w="118" w:type="dxa"/>
        <w:tblLook w:val="04A0" w:firstRow="1" w:lastRow="0" w:firstColumn="1" w:lastColumn="0" w:noHBand="0" w:noVBand="1"/>
      </w:tblPr>
      <w:tblGrid>
        <w:gridCol w:w="1124"/>
        <w:gridCol w:w="2736"/>
        <w:gridCol w:w="1301"/>
        <w:gridCol w:w="1341"/>
        <w:gridCol w:w="1284"/>
        <w:gridCol w:w="1218"/>
      </w:tblGrid>
      <w:tr w:rsidR="006A78BE" w:rsidRPr="006A78BE" w14:paraId="6B5FDA17" w14:textId="77777777" w:rsidTr="00FD1416">
        <w:trPr>
          <w:trHeight w:val="300"/>
        </w:trPr>
        <w:tc>
          <w:tcPr>
            <w:tcW w:w="3860" w:type="dxa"/>
            <w:gridSpan w:val="2"/>
            <w:tcBorders>
              <w:top w:val="single" w:sz="8" w:space="0" w:color="auto"/>
              <w:left w:val="single" w:sz="8" w:space="0" w:color="auto"/>
              <w:bottom w:val="nil"/>
              <w:right w:val="nil"/>
            </w:tcBorders>
            <w:shd w:val="clear" w:color="000000" w:fill="FFFF99"/>
            <w:noWrap/>
            <w:vAlign w:val="bottom"/>
            <w:hideMark/>
          </w:tcPr>
          <w:p w14:paraId="48111BC0" w14:textId="692A22DA" w:rsidR="006A78BE" w:rsidRPr="006A78BE" w:rsidRDefault="006A78BE" w:rsidP="006A78BE">
            <w:pPr>
              <w:spacing w:after="0" w:line="240" w:lineRule="auto"/>
              <w:jc w:val="center"/>
              <w:rPr>
                <w:rFonts w:eastAsia="Times New Roman"/>
                <w:b/>
                <w:bCs/>
                <w:sz w:val="18"/>
                <w:szCs w:val="18"/>
                <w:lang w:eastAsia="mk-MK"/>
              </w:rPr>
            </w:pPr>
          </w:p>
        </w:tc>
        <w:tc>
          <w:tcPr>
            <w:tcW w:w="1301" w:type="dxa"/>
            <w:vMerge w:val="restart"/>
            <w:tcBorders>
              <w:top w:val="single" w:sz="4" w:space="0" w:color="auto"/>
              <w:left w:val="single" w:sz="4" w:space="0" w:color="auto"/>
              <w:right w:val="single" w:sz="4" w:space="0" w:color="auto"/>
            </w:tcBorders>
            <w:shd w:val="clear" w:color="000000" w:fill="FFF2CC"/>
            <w:vAlign w:val="center"/>
            <w:hideMark/>
          </w:tcPr>
          <w:p w14:paraId="7352C6C8" w14:textId="3E22D344" w:rsidR="006A78BE" w:rsidRPr="006A78BE" w:rsidRDefault="006A78BE" w:rsidP="006A78BE">
            <w:pPr>
              <w:spacing w:after="0" w:line="240" w:lineRule="auto"/>
              <w:jc w:val="center"/>
              <w:rPr>
                <w:rFonts w:eastAsia="Times New Roman"/>
                <w:b/>
                <w:bCs/>
                <w:lang w:eastAsia="mk-MK"/>
              </w:rPr>
            </w:pPr>
            <w:r w:rsidRPr="006A78BE">
              <w:rPr>
                <w:rFonts w:eastAsia="Times New Roman"/>
                <w:b/>
                <w:bCs/>
                <w:lang w:eastAsia="mk-MK"/>
              </w:rPr>
              <w:t>Costing of the PFMPR</w:t>
            </w:r>
          </w:p>
          <w:p w14:paraId="536272EF" w14:textId="49A0E73C" w:rsidR="006A78BE" w:rsidRPr="006A78BE" w:rsidRDefault="006A78BE" w:rsidP="006A78BE">
            <w:pPr>
              <w:spacing w:after="0" w:line="240" w:lineRule="auto"/>
              <w:jc w:val="center"/>
              <w:rPr>
                <w:rFonts w:eastAsia="Times New Roman"/>
                <w:b/>
                <w:bCs/>
                <w:lang w:eastAsia="mk-MK"/>
              </w:rPr>
            </w:pPr>
            <w:r w:rsidRPr="006A78BE">
              <w:rPr>
                <w:rFonts w:eastAsia="Times New Roman"/>
                <w:b/>
                <w:bCs/>
                <w:lang w:eastAsia="mk-MK"/>
              </w:rPr>
              <w:t>2024-2027</w:t>
            </w:r>
          </w:p>
        </w:tc>
        <w:tc>
          <w:tcPr>
            <w:tcW w:w="3843" w:type="dxa"/>
            <w:gridSpan w:val="3"/>
            <w:vMerge w:val="restart"/>
            <w:tcBorders>
              <w:top w:val="single" w:sz="8" w:space="0" w:color="auto"/>
              <w:left w:val="single" w:sz="4" w:space="0" w:color="auto"/>
              <w:bottom w:val="single" w:sz="4" w:space="0" w:color="auto"/>
              <w:right w:val="single" w:sz="8" w:space="0" w:color="000000"/>
            </w:tcBorders>
            <w:shd w:val="clear" w:color="000000" w:fill="FFF2CC"/>
            <w:vAlign w:val="center"/>
            <w:hideMark/>
          </w:tcPr>
          <w:p w14:paraId="02E02108" w14:textId="77777777" w:rsidR="006A78BE" w:rsidRPr="006A78BE" w:rsidRDefault="006A78BE" w:rsidP="006A78BE">
            <w:pPr>
              <w:spacing w:after="0" w:line="240" w:lineRule="auto"/>
              <w:jc w:val="center"/>
              <w:rPr>
                <w:rFonts w:eastAsia="Times New Roman"/>
                <w:b/>
                <w:bCs/>
                <w:lang w:eastAsia="mk-MK"/>
              </w:rPr>
            </w:pPr>
            <w:r w:rsidRPr="006A78BE">
              <w:rPr>
                <w:rFonts w:eastAsia="Times New Roman"/>
                <w:b/>
                <w:bCs/>
                <w:lang w:eastAsia="mk-MK"/>
              </w:rPr>
              <w:t>Source of funding 2024-2027</w:t>
            </w:r>
          </w:p>
        </w:tc>
      </w:tr>
      <w:tr w:rsidR="006A78BE" w:rsidRPr="006A78BE" w14:paraId="22287447" w14:textId="77777777" w:rsidTr="00FD1416">
        <w:trPr>
          <w:trHeight w:val="300"/>
        </w:trPr>
        <w:tc>
          <w:tcPr>
            <w:tcW w:w="3860" w:type="dxa"/>
            <w:gridSpan w:val="2"/>
            <w:tcBorders>
              <w:top w:val="nil"/>
              <w:left w:val="single" w:sz="8" w:space="0" w:color="auto"/>
              <w:bottom w:val="nil"/>
              <w:right w:val="nil"/>
            </w:tcBorders>
            <w:shd w:val="clear" w:color="000000" w:fill="FFFF99"/>
            <w:noWrap/>
            <w:vAlign w:val="bottom"/>
            <w:hideMark/>
          </w:tcPr>
          <w:p w14:paraId="573E8850" w14:textId="77777777" w:rsidR="006A78BE" w:rsidRPr="00FD1416" w:rsidRDefault="006A78BE" w:rsidP="006A78BE">
            <w:pPr>
              <w:spacing w:after="0" w:line="240" w:lineRule="auto"/>
              <w:jc w:val="center"/>
              <w:rPr>
                <w:rFonts w:eastAsia="Times New Roman"/>
                <w:b/>
                <w:bCs/>
                <w:sz w:val="20"/>
                <w:szCs w:val="20"/>
                <w:lang w:eastAsia="mk-MK"/>
              </w:rPr>
            </w:pPr>
            <w:r w:rsidRPr="00FD1416">
              <w:rPr>
                <w:rFonts w:eastAsia="Times New Roman"/>
                <w:b/>
                <w:bCs/>
                <w:sz w:val="20"/>
                <w:szCs w:val="20"/>
                <w:lang w:eastAsia="mk-MK"/>
              </w:rPr>
              <w:t>PFMPR 2024-2027</w:t>
            </w:r>
          </w:p>
        </w:tc>
        <w:tc>
          <w:tcPr>
            <w:tcW w:w="1301" w:type="dxa"/>
            <w:vMerge/>
            <w:tcBorders>
              <w:left w:val="single" w:sz="4" w:space="0" w:color="auto"/>
              <w:right w:val="single" w:sz="4" w:space="0" w:color="auto"/>
            </w:tcBorders>
            <w:vAlign w:val="center"/>
            <w:hideMark/>
          </w:tcPr>
          <w:p w14:paraId="15003B75" w14:textId="37D7F806" w:rsidR="006A78BE" w:rsidRPr="00FD1416" w:rsidRDefault="006A78BE" w:rsidP="006A78BE">
            <w:pPr>
              <w:spacing w:after="0" w:line="240" w:lineRule="auto"/>
              <w:jc w:val="center"/>
              <w:rPr>
                <w:rFonts w:eastAsia="Times New Roman"/>
                <w:b/>
                <w:bCs/>
                <w:sz w:val="20"/>
                <w:szCs w:val="20"/>
                <w:lang w:eastAsia="mk-MK"/>
              </w:rPr>
            </w:pPr>
          </w:p>
        </w:tc>
        <w:tc>
          <w:tcPr>
            <w:tcW w:w="3843" w:type="dxa"/>
            <w:gridSpan w:val="3"/>
            <w:vMerge/>
            <w:tcBorders>
              <w:top w:val="single" w:sz="8" w:space="0" w:color="auto"/>
              <w:left w:val="single" w:sz="4" w:space="0" w:color="auto"/>
              <w:bottom w:val="single" w:sz="4" w:space="0" w:color="auto"/>
              <w:right w:val="single" w:sz="8" w:space="0" w:color="000000"/>
            </w:tcBorders>
            <w:vAlign w:val="center"/>
            <w:hideMark/>
          </w:tcPr>
          <w:p w14:paraId="44F5BB8A" w14:textId="77777777" w:rsidR="006A78BE" w:rsidRPr="00FD1416" w:rsidRDefault="006A78BE" w:rsidP="006A78BE">
            <w:pPr>
              <w:spacing w:after="0" w:line="240" w:lineRule="auto"/>
              <w:jc w:val="center"/>
              <w:rPr>
                <w:rFonts w:eastAsia="Times New Roman"/>
                <w:b/>
                <w:bCs/>
                <w:sz w:val="20"/>
                <w:szCs w:val="20"/>
                <w:lang w:eastAsia="mk-MK"/>
              </w:rPr>
            </w:pPr>
          </w:p>
        </w:tc>
      </w:tr>
      <w:tr w:rsidR="00BF1348" w:rsidRPr="006A78BE" w14:paraId="4EE2F100" w14:textId="77777777" w:rsidTr="00FD1416">
        <w:trPr>
          <w:trHeight w:val="615"/>
        </w:trPr>
        <w:tc>
          <w:tcPr>
            <w:tcW w:w="3860" w:type="dxa"/>
            <w:gridSpan w:val="2"/>
            <w:tcBorders>
              <w:top w:val="nil"/>
              <w:left w:val="single" w:sz="8" w:space="0" w:color="auto"/>
              <w:bottom w:val="nil"/>
              <w:right w:val="nil"/>
            </w:tcBorders>
            <w:shd w:val="clear" w:color="000000" w:fill="FFFF99"/>
            <w:vAlign w:val="center"/>
            <w:hideMark/>
          </w:tcPr>
          <w:p w14:paraId="050184CA" w14:textId="77777777" w:rsidR="006A78BE" w:rsidRPr="00FD1416" w:rsidRDefault="006A78BE" w:rsidP="006A78BE">
            <w:pPr>
              <w:spacing w:after="0" w:line="240" w:lineRule="auto"/>
              <w:jc w:val="center"/>
              <w:rPr>
                <w:rFonts w:eastAsia="Times New Roman"/>
                <w:b/>
                <w:bCs/>
                <w:sz w:val="20"/>
                <w:szCs w:val="20"/>
                <w:lang w:eastAsia="mk-MK"/>
              </w:rPr>
            </w:pPr>
            <w:r w:rsidRPr="00FD1416">
              <w:rPr>
                <w:rFonts w:eastAsia="Times New Roman"/>
                <w:b/>
                <w:bCs/>
                <w:sz w:val="20"/>
                <w:szCs w:val="20"/>
                <w:lang w:eastAsia="mk-MK"/>
              </w:rPr>
              <w:t>budget item</w:t>
            </w:r>
          </w:p>
        </w:tc>
        <w:tc>
          <w:tcPr>
            <w:tcW w:w="1301" w:type="dxa"/>
            <w:vMerge/>
            <w:tcBorders>
              <w:left w:val="single" w:sz="4" w:space="0" w:color="auto"/>
              <w:bottom w:val="single" w:sz="4" w:space="0" w:color="auto"/>
              <w:right w:val="single" w:sz="4" w:space="0" w:color="auto"/>
            </w:tcBorders>
            <w:vAlign w:val="center"/>
            <w:hideMark/>
          </w:tcPr>
          <w:p w14:paraId="264FE751" w14:textId="470D6411" w:rsidR="006A78BE" w:rsidRPr="00FD1416" w:rsidRDefault="006A78BE" w:rsidP="006A78BE">
            <w:pPr>
              <w:spacing w:after="0" w:line="240" w:lineRule="auto"/>
              <w:jc w:val="center"/>
              <w:rPr>
                <w:rFonts w:eastAsia="Times New Roman"/>
                <w:b/>
                <w:bCs/>
                <w:sz w:val="20"/>
                <w:szCs w:val="20"/>
                <w:lang w:eastAsia="mk-MK"/>
              </w:rPr>
            </w:pPr>
          </w:p>
        </w:tc>
        <w:tc>
          <w:tcPr>
            <w:tcW w:w="1341" w:type="dxa"/>
            <w:tcBorders>
              <w:top w:val="nil"/>
              <w:left w:val="single" w:sz="4" w:space="0" w:color="auto"/>
              <w:bottom w:val="single" w:sz="4" w:space="0" w:color="auto"/>
              <w:right w:val="single" w:sz="4" w:space="0" w:color="auto"/>
            </w:tcBorders>
            <w:shd w:val="clear" w:color="000000" w:fill="FFF2CC"/>
            <w:vAlign w:val="center"/>
            <w:hideMark/>
          </w:tcPr>
          <w:p w14:paraId="6269CF29" w14:textId="77777777" w:rsidR="006A78BE" w:rsidRPr="00FD1416" w:rsidRDefault="006A78BE" w:rsidP="006A78BE">
            <w:pPr>
              <w:spacing w:after="0" w:line="240" w:lineRule="auto"/>
              <w:jc w:val="center"/>
              <w:rPr>
                <w:rFonts w:eastAsia="Times New Roman"/>
                <w:b/>
                <w:bCs/>
                <w:sz w:val="20"/>
                <w:szCs w:val="20"/>
                <w:lang w:eastAsia="mk-MK"/>
              </w:rPr>
            </w:pPr>
            <w:r w:rsidRPr="00FD1416">
              <w:rPr>
                <w:rFonts w:eastAsia="Times New Roman"/>
                <w:b/>
                <w:bCs/>
                <w:sz w:val="20"/>
                <w:szCs w:val="20"/>
                <w:lang w:eastAsia="mk-MK"/>
              </w:rPr>
              <w:t>Domestic</w:t>
            </w:r>
            <w:r w:rsidRPr="00FD1416">
              <w:rPr>
                <w:rFonts w:eastAsia="Times New Roman"/>
                <w:b/>
                <w:bCs/>
                <w:sz w:val="20"/>
                <w:szCs w:val="20"/>
                <w:lang w:eastAsia="mk-MK"/>
              </w:rPr>
              <w:br/>
              <w:t>Financing</w:t>
            </w:r>
          </w:p>
        </w:tc>
        <w:tc>
          <w:tcPr>
            <w:tcW w:w="1284" w:type="dxa"/>
            <w:tcBorders>
              <w:top w:val="nil"/>
              <w:left w:val="single" w:sz="4" w:space="0" w:color="auto"/>
              <w:bottom w:val="single" w:sz="4" w:space="0" w:color="auto"/>
              <w:right w:val="single" w:sz="4" w:space="0" w:color="auto"/>
            </w:tcBorders>
            <w:shd w:val="clear" w:color="000000" w:fill="FFF2CC"/>
            <w:vAlign w:val="center"/>
            <w:hideMark/>
          </w:tcPr>
          <w:p w14:paraId="103D55B4" w14:textId="77777777" w:rsidR="006A78BE" w:rsidRPr="00FD1416" w:rsidRDefault="006A78BE" w:rsidP="006A78BE">
            <w:pPr>
              <w:spacing w:after="0" w:line="240" w:lineRule="auto"/>
              <w:jc w:val="center"/>
              <w:rPr>
                <w:rFonts w:eastAsia="Times New Roman"/>
                <w:b/>
                <w:bCs/>
                <w:sz w:val="20"/>
                <w:szCs w:val="20"/>
                <w:lang w:eastAsia="mk-MK"/>
              </w:rPr>
            </w:pPr>
            <w:r w:rsidRPr="00FD1416">
              <w:rPr>
                <w:rFonts w:eastAsia="Times New Roman"/>
                <w:b/>
                <w:bCs/>
                <w:sz w:val="20"/>
                <w:szCs w:val="20"/>
                <w:lang w:eastAsia="mk-MK"/>
              </w:rPr>
              <w:t>External</w:t>
            </w:r>
            <w:r w:rsidRPr="00FD1416">
              <w:rPr>
                <w:rFonts w:eastAsia="Times New Roman"/>
                <w:b/>
                <w:bCs/>
                <w:sz w:val="20"/>
                <w:szCs w:val="20"/>
                <w:lang w:eastAsia="mk-MK"/>
              </w:rPr>
              <w:br/>
              <w:t>Financing</w:t>
            </w:r>
          </w:p>
        </w:tc>
        <w:tc>
          <w:tcPr>
            <w:tcW w:w="1218" w:type="dxa"/>
            <w:tcBorders>
              <w:top w:val="nil"/>
              <w:left w:val="single" w:sz="4" w:space="0" w:color="auto"/>
              <w:bottom w:val="single" w:sz="4" w:space="0" w:color="auto"/>
              <w:right w:val="single" w:sz="8" w:space="0" w:color="auto"/>
            </w:tcBorders>
            <w:shd w:val="clear" w:color="000000" w:fill="FFF2CC"/>
            <w:vAlign w:val="center"/>
            <w:hideMark/>
          </w:tcPr>
          <w:p w14:paraId="1C0D8CE5" w14:textId="77777777" w:rsidR="006A78BE" w:rsidRPr="00FD1416" w:rsidRDefault="006A78BE" w:rsidP="006A78BE">
            <w:pPr>
              <w:spacing w:after="0" w:line="240" w:lineRule="auto"/>
              <w:jc w:val="center"/>
              <w:rPr>
                <w:rFonts w:eastAsia="Times New Roman"/>
                <w:b/>
                <w:bCs/>
                <w:sz w:val="20"/>
                <w:szCs w:val="20"/>
                <w:lang w:eastAsia="mk-MK"/>
              </w:rPr>
            </w:pPr>
            <w:r w:rsidRPr="00FD1416">
              <w:rPr>
                <w:rFonts w:eastAsia="Times New Roman"/>
                <w:b/>
                <w:bCs/>
                <w:sz w:val="20"/>
                <w:szCs w:val="20"/>
                <w:lang w:eastAsia="mk-MK"/>
              </w:rPr>
              <w:t>Financing</w:t>
            </w:r>
            <w:r w:rsidRPr="00FD1416">
              <w:rPr>
                <w:rFonts w:eastAsia="Times New Roman"/>
                <w:b/>
                <w:bCs/>
                <w:sz w:val="20"/>
                <w:szCs w:val="20"/>
                <w:lang w:eastAsia="mk-MK"/>
              </w:rPr>
              <w:br/>
              <w:t>gap</w:t>
            </w:r>
          </w:p>
        </w:tc>
      </w:tr>
      <w:tr w:rsidR="00BF1348" w:rsidRPr="006A78BE" w14:paraId="703C4068" w14:textId="77777777" w:rsidTr="00FD1416">
        <w:trPr>
          <w:trHeight w:val="780"/>
        </w:trPr>
        <w:tc>
          <w:tcPr>
            <w:tcW w:w="3860" w:type="dxa"/>
            <w:gridSpan w:val="2"/>
            <w:tcBorders>
              <w:top w:val="single" w:sz="8" w:space="0" w:color="auto"/>
              <w:left w:val="single" w:sz="8" w:space="0" w:color="auto"/>
              <w:bottom w:val="single" w:sz="4" w:space="0" w:color="auto"/>
              <w:right w:val="single" w:sz="4" w:space="0" w:color="auto"/>
            </w:tcBorders>
            <w:shd w:val="clear" w:color="000000" w:fill="00B0F0"/>
            <w:vAlign w:val="bottom"/>
            <w:hideMark/>
          </w:tcPr>
          <w:p w14:paraId="005B790B" w14:textId="4C782777" w:rsidR="006A78BE" w:rsidRPr="006A78BE" w:rsidRDefault="00FF78CB" w:rsidP="00FF78CB">
            <w:pPr>
              <w:spacing w:after="0" w:line="240" w:lineRule="auto"/>
              <w:rPr>
                <w:rFonts w:eastAsia="Times New Roman"/>
                <w:b/>
                <w:bCs/>
                <w:lang w:eastAsia="mk-MK"/>
              </w:rPr>
            </w:pPr>
            <w:r>
              <w:rPr>
                <w:rFonts w:eastAsia="Times New Roman"/>
                <w:b/>
                <w:bCs/>
                <w:lang w:val="en-US" w:eastAsia="mk-MK"/>
              </w:rPr>
              <w:t xml:space="preserve">I. </w:t>
            </w:r>
            <w:r w:rsidR="006A78BE" w:rsidRPr="006A78BE">
              <w:rPr>
                <w:rFonts w:eastAsia="Times New Roman"/>
                <w:b/>
                <w:bCs/>
                <w:lang w:eastAsia="mk-MK"/>
              </w:rPr>
              <w:t xml:space="preserve">Pillar </w:t>
            </w:r>
            <w:r>
              <w:rPr>
                <w:rFonts w:eastAsia="Times New Roman"/>
                <w:b/>
                <w:bCs/>
                <w:lang w:val="en-US" w:eastAsia="mk-MK"/>
              </w:rPr>
              <w:t xml:space="preserve">- </w:t>
            </w:r>
            <w:r w:rsidR="006A78BE" w:rsidRPr="006A78BE">
              <w:rPr>
                <w:rFonts w:eastAsia="Times New Roman"/>
                <w:b/>
                <w:bCs/>
                <w:lang w:eastAsia="mk-MK"/>
              </w:rPr>
              <w:t xml:space="preserve">Economic </w:t>
            </w:r>
            <w:proofErr w:type="gramStart"/>
            <w:r w:rsidR="006A78BE" w:rsidRPr="006A78BE">
              <w:rPr>
                <w:rFonts w:eastAsia="Times New Roman"/>
                <w:b/>
                <w:bCs/>
                <w:lang w:eastAsia="mk-MK"/>
              </w:rPr>
              <w:t>Analysis,Macroeconomic</w:t>
            </w:r>
            <w:proofErr w:type="gramEnd"/>
            <w:r w:rsidR="006A78BE" w:rsidRPr="006A78BE">
              <w:rPr>
                <w:rFonts w:eastAsia="Times New Roman"/>
                <w:b/>
                <w:bCs/>
                <w:lang w:eastAsia="mk-MK"/>
              </w:rPr>
              <w:t xml:space="preserve"> and Fiscal Framework</w:t>
            </w:r>
          </w:p>
        </w:tc>
        <w:tc>
          <w:tcPr>
            <w:tcW w:w="1301" w:type="dxa"/>
            <w:tcBorders>
              <w:top w:val="single" w:sz="4" w:space="0" w:color="auto"/>
              <w:left w:val="nil"/>
              <w:bottom w:val="single" w:sz="4" w:space="0" w:color="auto"/>
              <w:right w:val="single" w:sz="4" w:space="0" w:color="auto"/>
            </w:tcBorders>
            <w:shd w:val="clear" w:color="000000" w:fill="00B0F0"/>
            <w:noWrap/>
            <w:vAlign w:val="bottom"/>
            <w:hideMark/>
          </w:tcPr>
          <w:p w14:paraId="503F4AC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1,474,000</w:t>
            </w:r>
          </w:p>
        </w:tc>
        <w:tc>
          <w:tcPr>
            <w:tcW w:w="1341" w:type="dxa"/>
            <w:tcBorders>
              <w:top w:val="single" w:sz="8" w:space="0" w:color="auto"/>
              <w:left w:val="nil"/>
              <w:bottom w:val="single" w:sz="4" w:space="0" w:color="auto"/>
              <w:right w:val="single" w:sz="4" w:space="0" w:color="auto"/>
            </w:tcBorders>
            <w:shd w:val="clear" w:color="000000" w:fill="00B0F0"/>
            <w:noWrap/>
            <w:vAlign w:val="bottom"/>
            <w:hideMark/>
          </w:tcPr>
          <w:p w14:paraId="27256FF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404,000</w:t>
            </w:r>
          </w:p>
        </w:tc>
        <w:tc>
          <w:tcPr>
            <w:tcW w:w="1284" w:type="dxa"/>
            <w:tcBorders>
              <w:top w:val="single" w:sz="8" w:space="0" w:color="auto"/>
              <w:left w:val="nil"/>
              <w:bottom w:val="single" w:sz="4" w:space="0" w:color="auto"/>
              <w:right w:val="single" w:sz="4" w:space="0" w:color="auto"/>
            </w:tcBorders>
            <w:shd w:val="clear" w:color="000000" w:fill="00B0F0"/>
            <w:noWrap/>
            <w:vAlign w:val="bottom"/>
            <w:hideMark/>
          </w:tcPr>
          <w:p w14:paraId="6245489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1,070,000</w:t>
            </w:r>
          </w:p>
        </w:tc>
        <w:tc>
          <w:tcPr>
            <w:tcW w:w="1218" w:type="dxa"/>
            <w:tcBorders>
              <w:top w:val="single" w:sz="8" w:space="0" w:color="auto"/>
              <w:left w:val="nil"/>
              <w:bottom w:val="single" w:sz="4" w:space="0" w:color="auto"/>
              <w:right w:val="single" w:sz="8" w:space="0" w:color="auto"/>
            </w:tcBorders>
            <w:shd w:val="clear" w:color="000000" w:fill="00B0F0"/>
            <w:noWrap/>
            <w:vAlign w:val="bottom"/>
            <w:hideMark/>
          </w:tcPr>
          <w:p w14:paraId="16FFD93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0385637B"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527FCF8A" w14:textId="1087FEA8"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0C49C16B"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Revenue forecasting and reporting</w:t>
            </w:r>
          </w:p>
        </w:tc>
        <w:tc>
          <w:tcPr>
            <w:tcW w:w="1301" w:type="dxa"/>
            <w:tcBorders>
              <w:top w:val="nil"/>
              <w:left w:val="nil"/>
              <w:bottom w:val="single" w:sz="4" w:space="0" w:color="auto"/>
              <w:right w:val="single" w:sz="4" w:space="0" w:color="auto"/>
            </w:tcBorders>
            <w:shd w:val="clear" w:color="000000" w:fill="00FF00"/>
            <w:noWrap/>
            <w:hideMark/>
          </w:tcPr>
          <w:p w14:paraId="048DE90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330,000</w:t>
            </w:r>
          </w:p>
        </w:tc>
        <w:tc>
          <w:tcPr>
            <w:tcW w:w="1341" w:type="dxa"/>
            <w:tcBorders>
              <w:top w:val="nil"/>
              <w:left w:val="nil"/>
              <w:bottom w:val="single" w:sz="4" w:space="0" w:color="auto"/>
              <w:right w:val="single" w:sz="4" w:space="0" w:color="auto"/>
            </w:tcBorders>
            <w:shd w:val="clear" w:color="000000" w:fill="00FF00"/>
            <w:noWrap/>
            <w:hideMark/>
          </w:tcPr>
          <w:p w14:paraId="5330C1F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108E5BE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330,000</w:t>
            </w:r>
          </w:p>
        </w:tc>
        <w:tc>
          <w:tcPr>
            <w:tcW w:w="1218" w:type="dxa"/>
            <w:tcBorders>
              <w:top w:val="nil"/>
              <w:left w:val="nil"/>
              <w:bottom w:val="single" w:sz="4" w:space="0" w:color="auto"/>
              <w:right w:val="single" w:sz="8" w:space="0" w:color="auto"/>
            </w:tcBorders>
            <w:shd w:val="clear" w:color="000000" w:fill="00FF00"/>
            <w:noWrap/>
            <w:hideMark/>
          </w:tcPr>
          <w:p w14:paraId="40687CB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384CEB86"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2F4627D9"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31737238"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Improving tax and customs reporting in accordance with the EU best practices</w:t>
            </w:r>
          </w:p>
        </w:tc>
        <w:tc>
          <w:tcPr>
            <w:tcW w:w="1301" w:type="dxa"/>
            <w:tcBorders>
              <w:top w:val="nil"/>
              <w:left w:val="nil"/>
              <w:bottom w:val="single" w:sz="4" w:space="0" w:color="auto"/>
              <w:right w:val="single" w:sz="4" w:space="0" w:color="auto"/>
            </w:tcBorders>
            <w:shd w:val="clear" w:color="000000" w:fill="FFFF00"/>
            <w:noWrap/>
            <w:hideMark/>
          </w:tcPr>
          <w:p w14:paraId="34F1A5A3"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165,000</w:t>
            </w:r>
          </w:p>
        </w:tc>
        <w:tc>
          <w:tcPr>
            <w:tcW w:w="1341" w:type="dxa"/>
            <w:tcBorders>
              <w:top w:val="nil"/>
              <w:left w:val="nil"/>
              <w:bottom w:val="single" w:sz="4" w:space="0" w:color="auto"/>
              <w:right w:val="single" w:sz="4" w:space="0" w:color="auto"/>
            </w:tcBorders>
            <w:shd w:val="clear" w:color="000000" w:fill="FFFF00"/>
            <w:noWrap/>
            <w:hideMark/>
          </w:tcPr>
          <w:p w14:paraId="356C292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11733C7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165,000</w:t>
            </w:r>
          </w:p>
        </w:tc>
        <w:tc>
          <w:tcPr>
            <w:tcW w:w="1218" w:type="dxa"/>
            <w:tcBorders>
              <w:top w:val="nil"/>
              <w:left w:val="nil"/>
              <w:bottom w:val="single" w:sz="4" w:space="0" w:color="auto"/>
              <w:right w:val="single" w:sz="8" w:space="0" w:color="auto"/>
            </w:tcBorders>
            <w:shd w:val="clear" w:color="000000" w:fill="FFFF00"/>
            <w:noWrap/>
            <w:hideMark/>
          </w:tcPr>
          <w:p w14:paraId="0CE495A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33CF0D83"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9F449B2"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2BBC1F96" w14:textId="4C41375E"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Enhancing tax and customs modelling capacity</w:t>
            </w:r>
          </w:p>
        </w:tc>
        <w:tc>
          <w:tcPr>
            <w:tcW w:w="1301" w:type="dxa"/>
            <w:tcBorders>
              <w:top w:val="nil"/>
              <w:left w:val="nil"/>
              <w:bottom w:val="single" w:sz="4" w:space="0" w:color="auto"/>
              <w:right w:val="single" w:sz="4" w:space="0" w:color="auto"/>
            </w:tcBorders>
            <w:shd w:val="clear" w:color="000000" w:fill="FFFF00"/>
            <w:noWrap/>
            <w:hideMark/>
          </w:tcPr>
          <w:p w14:paraId="6B1482F3"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165,000</w:t>
            </w:r>
          </w:p>
        </w:tc>
        <w:tc>
          <w:tcPr>
            <w:tcW w:w="1341" w:type="dxa"/>
            <w:tcBorders>
              <w:top w:val="nil"/>
              <w:left w:val="nil"/>
              <w:bottom w:val="single" w:sz="4" w:space="0" w:color="auto"/>
              <w:right w:val="single" w:sz="4" w:space="0" w:color="auto"/>
            </w:tcBorders>
            <w:shd w:val="clear" w:color="000000" w:fill="FFFF00"/>
            <w:noWrap/>
            <w:hideMark/>
          </w:tcPr>
          <w:p w14:paraId="0CF08CB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3539D81"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165,000</w:t>
            </w:r>
          </w:p>
        </w:tc>
        <w:tc>
          <w:tcPr>
            <w:tcW w:w="1218" w:type="dxa"/>
            <w:tcBorders>
              <w:top w:val="nil"/>
              <w:left w:val="nil"/>
              <w:bottom w:val="single" w:sz="4" w:space="0" w:color="auto"/>
              <w:right w:val="single" w:sz="8" w:space="0" w:color="auto"/>
            </w:tcBorders>
            <w:shd w:val="clear" w:color="000000" w:fill="FFFF00"/>
            <w:noWrap/>
            <w:hideMark/>
          </w:tcPr>
          <w:p w14:paraId="39CE20DA"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6C999CFA" w14:textId="77777777" w:rsidTr="00FD1416">
        <w:trPr>
          <w:trHeight w:val="375"/>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29461B8E" w14:textId="7CF5DDCC"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019BDC93"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Economic analysis and Macroeconomic forecasting</w:t>
            </w:r>
          </w:p>
        </w:tc>
        <w:tc>
          <w:tcPr>
            <w:tcW w:w="1301" w:type="dxa"/>
            <w:tcBorders>
              <w:top w:val="nil"/>
              <w:left w:val="nil"/>
              <w:bottom w:val="single" w:sz="4" w:space="0" w:color="auto"/>
              <w:right w:val="single" w:sz="4" w:space="0" w:color="auto"/>
            </w:tcBorders>
            <w:shd w:val="clear" w:color="000000" w:fill="00FF00"/>
            <w:noWrap/>
            <w:hideMark/>
          </w:tcPr>
          <w:p w14:paraId="5369998A"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1,020,000</w:t>
            </w:r>
          </w:p>
        </w:tc>
        <w:tc>
          <w:tcPr>
            <w:tcW w:w="1341" w:type="dxa"/>
            <w:tcBorders>
              <w:top w:val="nil"/>
              <w:left w:val="nil"/>
              <w:bottom w:val="single" w:sz="4" w:space="0" w:color="auto"/>
              <w:right w:val="single" w:sz="4" w:space="0" w:color="auto"/>
            </w:tcBorders>
            <w:shd w:val="clear" w:color="000000" w:fill="00FF00"/>
            <w:noWrap/>
            <w:hideMark/>
          </w:tcPr>
          <w:p w14:paraId="15342E6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280,000</w:t>
            </w:r>
          </w:p>
        </w:tc>
        <w:tc>
          <w:tcPr>
            <w:tcW w:w="1284" w:type="dxa"/>
            <w:tcBorders>
              <w:top w:val="nil"/>
              <w:left w:val="nil"/>
              <w:bottom w:val="single" w:sz="4" w:space="0" w:color="auto"/>
              <w:right w:val="single" w:sz="4" w:space="0" w:color="auto"/>
            </w:tcBorders>
            <w:shd w:val="clear" w:color="000000" w:fill="00FF00"/>
            <w:noWrap/>
            <w:hideMark/>
          </w:tcPr>
          <w:p w14:paraId="0DE61B7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740,000</w:t>
            </w:r>
          </w:p>
        </w:tc>
        <w:tc>
          <w:tcPr>
            <w:tcW w:w="1218" w:type="dxa"/>
            <w:tcBorders>
              <w:top w:val="nil"/>
              <w:left w:val="nil"/>
              <w:bottom w:val="single" w:sz="4" w:space="0" w:color="auto"/>
              <w:right w:val="single" w:sz="8" w:space="0" w:color="auto"/>
            </w:tcBorders>
            <w:shd w:val="clear" w:color="000000" w:fill="00FF00"/>
            <w:noWrap/>
            <w:hideMark/>
          </w:tcPr>
          <w:p w14:paraId="4FB84E1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1DDB020C"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5C2818FB"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09534043" w14:textId="7F4AD45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Capacity building for economic analysis</w:t>
            </w:r>
          </w:p>
        </w:tc>
        <w:tc>
          <w:tcPr>
            <w:tcW w:w="1301" w:type="dxa"/>
            <w:tcBorders>
              <w:top w:val="nil"/>
              <w:left w:val="nil"/>
              <w:bottom w:val="single" w:sz="4" w:space="0" w:color="auto"/>
              <w:right w:val="single" w:sz="4" w:space="0" w:color="auto"/>
            </w:tcBorders>
            <w:shd w:val="clear" w:color="000000" w:fill="FFFF00"/>
            <w:noWrap/>
            <w:hideMark/>
          </w:tcPr>
          <w:p w14:paraId="59D4ED1B"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210,000</w:t>
            </w:r>
          </w:p>
        </w:tc>
        <w:tc>
          <w:tcPr>
            <w:tcW w:w="1341" w:type="dxa"/>
            <w:tcBorders>
              <w:top w:val="nil"/>
              <w:left w:val="nil"/>
              <w:bottom w:val="single" w:sz="4" w:space="0" w:color="auto"/>
              <w:right w:val="single" w:sz="4" w:space="0" w:color="auto"/>
            </w:tcBorders>
            <w:shd w:val="clear" w:color="000000" w:fill="FFFF00"/>
            <w:noWrap/>
            <w:hideMark/>
          </w:tcPr>
          <w:p w14:paraId="5899097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20BE55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210,000</w:t>
            </w:r>
          </w:p>
        </w:tc>
        <w:tc>
          <w:tcPr>
            <w:tcW w:w="1218" w:type="dxa"/>
            <w:tcBorders>
              <w:top w:val="nil"/>
              <w:left w:val="nil"/>
              <w:bottom w:val="single" w:sz="4" w:space="0" w:color="auto"/>
              <w:right w:val="single" w:sz="8" w:space="0" w:color="auto"/>
            </w:tcBorders>
            <w:shd w:val="clear" w:color="000000" w:fill="FFFF00"/>
            <w:noWrap/>
            <w:hideMark/>
          </w:tcPr>
          <w:p w14:paraId="1D6A9B78"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77138689"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5EA3A5B"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35CDB782" w14:textId="74C109E9"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Developing new macroeconomic models</w:t>
            </w:r>
          </w:p>
        </w:tc>
        <w:tc>
          <w:tcPr>
            <w:tcW w:w="1301" w:type="dxa"/>
            <w:tcBorders>
              <w:top w:val="nil"/>
              <w:left w:val="nil"/>
              <w:bottom w:val="single" w:sz="4" w:space="0" w:color="auto"/>
              <w:right w:val="single" w:sz="4" w:space="0" w:color="auto"/>
            </w:tcBorders>
            <w:shd w:val="clear" w:color="000000" w:fill="FFFF00"/>
            <w:noWrap/>
            <w:hideMark/>
          </w:tcPr>
          <w:p w14:paraId="3005D93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210,000</w:t>
            </w:r>
          </w:p>
        </w:tc>
        <w:tc>
          <w:tcPr>
            <w:tcW w:w="1341" w:type="dxa"/>
            <w:tcBorders>
              <w:top w:val="nil"/>
              <w:left w:val="nil"/>
              <w:bottom w:val="single" w:sz="4" w:space="0" w:color="auto"/>
              <w:right w:val="single" w:sz="4" w:space="0" w:color="auto"/>
            </w:tcBorders>
            <w:shd w:val="clear" w:color="000000" w:fill="FFFF00"/>
            <w:noWrap/>
            <w:hideMark/>
          </w:tcPr>
          <w:p w14:paraId="6B6A9E1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743EEDE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210,000</w:t>
            </w:r>
          </w:p>
        </w:tc>
        <w:tc>
          <w:tcPr>
            <w:tcW w:w="1218" w:type="dxa"/>
            <w:tcBorders>
              <w:top w:val="nil"/>
              <w:left w:val="nil"/>
              <w:bottom w:val="single" w:sz="4" w:space="0" w:color="auto"/>
              <w:right w:val="single" w:sz="8" w:space="0" w:color="auto"/>
            </w:tcBorders>
            <w:shd w:val="clear" w:color="000000" w:fill="FFFF00"/>
            <w:noWrap/>
            <w:hideMark/>
          </w:tcPr>
          <w:p w14:paraId="2D38CCB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2964720D"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431D3D17"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53BD76FE"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Fiscal risks</w:t>
            </w:r>
          </w:p>
        </w:tc>
        <w:tc>
          <w:tcPr>
            <w:tcW w:w="1301" w:type="dxa"/>
            <w:tcBorders>
              <w:top w:val="nil"/>
              <w:left w:val="nil"/>
              <w:bottom w:val="single" w:sz="4" w:space="0" w:color="auto"/>
              <w:right w:val="single" w:sz="4" w:space="0" w:color="auto"/>
            </w:tcBorders>
            <w:shd w:val="clear" w:color="000000" w:fill="FFFF00"/>
            <w:noWrap/>
            <w:hideMark/>
          </w:tcPr>
          <w:p w14:paraId="268ACDB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300,000</w:t>
            </w:r>
          </w:p>
        </w:tc>
        <w:tc>
          <w:tcPr>
            <w:tcW w:w="1341" w:type="dxa"/>
            <w:tcBorders>
              <w:top w:val="nil"/>
              <w:left w:val="nil"/>
              <w:bottom w:val="single" w:sz="4" w:space="0" w:color="auto"/>
              <w:right w:val="single" w:sz="4" w:space="0" w:color="auto"/>
            </w:tcBorders>
            <w:shd w:val="clear" w:color="000000" w:fill="FFFF00"/>
            <w:noWrap/>
            <w:hideMark/>
          </w:tcPr>
          <w:p w14:paraId="3603688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3BCD1A7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300,000</w:t>
            </w:r>
          </w:p>
        </w:tc>
        <w:tc>
          <w:tcPr>
            <w:tcW w:w="1218" w:type="dxa"/>
            <w:tcBorders>
              <w:top w:val="nil"/>
              <w:left w:val="nil"/>
              <w:bottom w:val="single" w:sz="4" w:space="0" w:color="auto"/>
              <w:right w:val="single" w:sz="8" w:space="0" w:color="auto"/>
            </w:tcBorders>
            <w:shd w:val="clear" w:color="000000" w:fill="FFFF00"/>
            <w:noWrap/>
            <w:hideMark/>
          </w:tcPr>
          <w:p w14:paraId="467C4B6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18F88936"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0D781DD7"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4</w:t>
            </w:r>
          </w:p>
        </w:tc>
        <w:tc>
          <w:tcPr>
            <w:tcW w:w="2736" w:type="dxa"/>
            <w:tcBorders>
              <w:top w:val="nil"/>
              <w:left w:val="nil"/>
              <w:bottom w:val="single" w:sz="4" w:space="0" w:color="auto"/>
              <w:right w:val="single" w:sz="4" w:space="0" w:color="auto"/>
            </w:tcBorders>
            <w:shd w:val="clear" w:color="000000" w:fill="FFFF00"/>
            <w:hideMark/>
          </w:tcPr>
          <w:p w14:paraId="541D6EA9"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Fiscal Council Development</w:t>
            </w:r>
          </w:p>
        </w:tc>
        <w:tc>
          <w:tcPr>
            <w:tcW w:w="1301" w:type="dxa"/>
            <w:tcBorders>
              <w:top w:val="nil"/>
              <w:left w:val="nil"/>
              <w:bottom w:val="single" w:sz="4" w:space="0" w:color="auto"/>
              <w:right w:val="single" w:sz="4" w:space="0" w:color="auto"/>
            </w:tcBorders>
            <w:shd w:val="clear" w:color="000000" w:fill="FFFF00"/>
            <w:noWrap/>
            <w:hideMark/>
          </w:tcPr>
          <w:p w14:paraId="082B340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300,000</w:t>
            </w:r>
          </w:p>
        </w:tc>
        <w:tc>
          <w:tcPr>
            <w:tcW w:w="1341" w:type="dxa"/>
            <w:tcBorders>
              <w:top w:val="nil"/>
              <w:left w:val="nil"/>
              <w:bottom w:val="single" w:sz="4" w:space="0" w:color="auto"/>
              <w:right w:val="single" w:sz="4" w:space="0" w:color="auto"/>
            </w:tcBorders>
            <w:shd w:val="clear" w:color="000000" w:fill="FFFF00"/>
            <w:noWrap/>
            <w:hideMark/>
          </w:tcPr>
          <w:p w14:paraId="7C77697F"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280,000</w:t>
            </w:r>
          </w:p>
        </w:tc>
        <w:tc>
          <w:tcPr>
            <w:tcW w:w="1284" w:type="dxa"/>
            <w:tcBorders>
              <w:top w:val="nil"/>
              <w:left w:val="nil"/>
              <w:bottom w:val="single" w:sz="4" w:space="0" w:color="auto"/>
              <w:right w:val="single" w:sz="4" w:space="0" w:color="auto"/>
            </w:tcBorders>
            <w:shd w:val="clear" w:color="000000" w:fill="FFFF00"/>
            <w:noWrap/>
            <w:hideMark/>
          </w:tcPr>
          <w:p w14:paraId="0C172A7F"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20,000</w:t>
            </w:r>
          </w:p>
        </w:tc>
        <w:tc>
          <w:tcPr>
            <w:tcW w:w="1218" w:type="dxa"/>
            <w:tcBorders>
              <w:top w:val="nil"/>
              <w:left w:val="nil"/>
              <w:bottom w:val="single" w:sz="4" w:space="0" w:color="auto"/>
              <w:right w:val="single" w:sz="8" w:space="0" w:color="auto"/>
            </w:tcBorders>
            <w:shd w:val="clear" w:color="000000" w:fill="FFFF00"/>
            <w:noWrap/>
            <w:hideMark/>
          </w:tcPr>
          <w:p w14:paraId="6FC5F944"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7114AC09"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11B4987D"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Priority 3.</w:t>
            </w:r>
          </w:p>
        </w:tc>
        <w:tc>
          <w:tcPr>
            <w:tcW w:w="2736" w:type="dxa"/>
            <w:tcBorders>
              <w:top w:val="nil"/>
              <w:left w:val="nil"/>
              <w:bottom w:val="single" w:sz="4" w:space="0" w:color="auto"/>
              <w:right w:val="single" w:sz="4" w:space="0" w:color="auto"/>
            </w:tcBorders>
            <w:shd w:val="clear" w:color="000000" w:fill="00FF00"/>
            <w:hideMark/>
          </w:tcPr>
          <w:p w14:paraId="584AABE8"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Debt management</w:t>
            </w:r>
          </w:p>
        </w:tc>
        <w:tc>
          <w:tcPr>
            <w:tcW w:w="1301" w:type="dxa"/>
            <w:tcBorders>
              <w:top w:val="nil"/>
              <w:left w:val="nil"/>
              <w:bottom w:val="single" w:sz="4" w:space="0" w:color="auto"/>
              <w:right w:val="single" w:sz="4" w:space="0" w:color="auto"/>
            </w:tcBorders>
            <w:shd w:val="clear" w:color="000000" w:fill="00FF00"/>
            <w:noWrap/>
            <w:hideMark/>
          </w:tcPr>
          <w:p w14:paraId="43B1BB7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124,000</w:t>
            </w:r>
          </w:p>
        </w:tc>
        <w:tc>
          <w:tcPr>
            <w:tcW w:w="1341" w:type="dxa"/>
            <w:tcBorders>
              <w:top w:val="nil"/>
              <w:left w:val="nil"/>
              <w:bottom w:val="single" w:sz="4" w:space="0" w:color="auto"/>
              <w:right w:val="single" w:sz="4" w:space="0" w:color="auto"/>
            </w:tcBorders>
            <w:shd w:val="clear" w:color="000000" w:fill="00FF00"/>
            <w:noWrap/>
            <w:hideMark/>
          </w:tcPr>
          <w:p w14:paraId="1471E2C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124,000</w:t>
            </w:r>
          </w:p>
        </w:tc>
        <w:tc>
          <w:tcPr>
            <w:tcW w:w="1284" w:type="dxa"/>
            <w:tcBorders>
              <w:top w:val="nil"/>
              <w:left w:val="nil"/>
              <w:bottom w:val="single" w:sz="4" w:space="0" w:color="auto"/>
              <w:right w:val="single" w:sz="4" w:space="0" w:color="auto"/>
            </w:tcBorders>
            <w:shd w:val="clear" w:color="000000" w:fill="00FF00"/>
            <w:noWrap/>
            <w:hideMark/>
          </w:tcPr>
          <w:p w14:paraId="7015D39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106440B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696A88EA"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4118CE8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6FB700CE"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Reducing of operational risks at public debt management</w:t>
            </w:r>
          </w:p>
        </w:tc>
        <w:tc>
          <w:tcPr>
            <w:tcW w:w="1301" w:type="dxa"/>
            <w:tcBorders>
              <w:top w:val="nil"/>
              <w:left w:val="nil"/>
              <w:bottom w:val="single" w:sz="4" w:space="0" w:color="auto"/>
              <w:right w:val="single" w:sz="4" w:space="0" w:color="auto"/>
            </w:tcBorders>
            <w:shd w:val="clear" w:color="000000" w:fill="FFFF00"/>
            <w:noWrap/>
            <w:hideMark/>
          </w:tcPr>
          <w:p w14:paraId="5AA6C5C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124,000</w:t>
            </w:r>
          </w:p>
        </w:tc>
        <w:tc>
          <w:tcPr>
            <w:tcW w:w="1341" w:type="dxa"/>
            <w:tcBorders>
              <w:top w:val="nil"/>
              <w:left w:val="nil"/>
              <w:bottom w:val="single" w:sz="4" w:space="0" w:color="auto"/>
              <w:right w:val="single" w:sz="4" w:space="0" w:color="auto"/>
            </w:tcBorders>
            <w:shd w:val="clear" w:color="000000" w:fill="FFFF00"/>
            <w:noWrap/>
            <w:hideMark/>
          </w:tcPr>
          <w:p w14:paraId="4AFEA00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124,000</w:t>
            </w:r>
          </w:p>
        </w:tc>
        <w:tc>
          <w:tcPr>
            <w:tcW w:w="1284" w:type="dxa"/>
            <w:tcBorders>
              <w:top w:val="nil"/>
              <w:left w:val="nil"/>
              <w:bottom w:val="single" w:sz="4" w:space="0" w:color="auto"/>
              <w:right w:val="single" w:sz="4" w:space="0" w:color="auto"/>
            </w:tcBorders>
            <w:shd w:val="clear" w:color="000000" w:fill="FFFF00"/>
            <w:noWrap/>
            <w:hideMark/>
          </w:tcPr>
          <w:p w14:paraId="254E685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4C04A63E"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3130EF98"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7136488"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lastRenderedPageBreak/>
              <w:t>Measure 2</w:t>
            </w:r>
          </w:p>
        </w:tc>
        <w:tc>
          <w:tcPr>
            <w:tcW w:w="2736" w:type="dxa"/>
            <w:tcBorders>
              <w:top w:val="nil"/>
              <w:left w:val="nil"/>
              <w:bottom w:val="single" w:sz="4" w:space="0" w:color="auto"/>
              <w:right w:val="single" w:sz="4" w:space="0" w:color="auto"/>
            </w:tcBorders>
            <w:shd w:val="clear" w:color="000000" w:fill="FFFF00"/>
            <w:hideMark/>
          </w:tcPr>
          <w:p w14:paraId="7E0481FB" w14:textId="77777777" w:rsidR="006A78BE" w:rsidRPr="006A78BE" w:rsidRDefault="006A78BE" w:rsidP="006A78BE">
            <w:pPr>
              <w:spacing w:after="0" w:line="240" w:lineRule="auto"/>
              <w:jc w:val="both"/>
              <w:rPr>
                <w:rFonts w:eastAsia="Times New Roman"/>
                <w:b/>
                <w:bCs/>
                <w:sz w:val="18"/>
                <w:szCs w:val="18"/>
                <w:lang w:eastAsia="mk-MK"/>
              </w:rPr>
            </w:pPr>
            <w:r w:rsidRPr="004473B1">
              <w:rPr>
                <w:rFonts w:eastAsia="Times New Roman"/>
                <w:b/>
                <w:bCs/>
                <w:sz w:val="18"/>
                <w:szCs w:val="18"/>
                <w:lang w:val="en-US" w:eastAsia="mk-MK"/>
              </w:rPr>
              <w:t>Increasing</w:t>
            </w:r>
            <w:r w:rsidRPr="006A78BE">
              <w:rPr>
                <w:rFonts w:eastAsia="Times New Roman"/>
                <w:b/>
                <w:bCs/>
                <w:sz w:val="18"/>
                <w:szCs w:val="18"/>
                <w:lang w:eastAsia="mk-MK"/>
              </w:rPr>
              <w:t xml:space="preserve"> public debt transparency</w:t>
            </w:r>
          </w:p>
        </w:tc>
        <w:tc>
          <w:tcPr>
            <w:tcW w:w="1301" w:type="dxa"/>
            <w:tcBorders>
              <w:top w:val="nil"/>
              <w:left w:val="nil"/>
              <w:bottom w:val="single" w:sz="4" w:space="0" w:color="auto"/>
              <w:right w:val="single" w:sz="4" w:space="0" w:color="auto"/>
            </w:tcBorders>
            <w:shd w:val="clear" w:color="000000" w:fill="FFFF00"/>
            <w:noWrap/>
            <w:hideMark/>
          </w:tcPr>
          <w:p w14:paraId="0DFB6C74"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017C51C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1959ABD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20211BB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6EE64BAA"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D646D94"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50CC904F"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Introducing new debt instruments</w:t>
            </w:r>
          </w:p>
        </w:tc>
        <w:tc>
          <w:tcPr>
            <w:tcW w:w="1301" w:type="dxa"/>
            <w:tcBorders>
              <w:top w:val="nil"/>
              <w:left w:val="nil"/>
              <w:bottom w:val="single" w:sz="4" w:space="0" w:color="auto"/>
              <w:right w:val="single" w:sz="4" w:space="0" w:color="auto"/>
            </w:tcBorders>
            <w:shd w:val="clear" w:color="000000" w:fill="FFFF00"/>
            <w:noWrap/>
            <w:hideMark/>
          </w:tcPr>
          <w:p w14:paraId="52C8F81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02E1AE6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26ED1D9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7194A76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2FC6C170"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13F1BCB6" w14:textId="77777777"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II.Pillar-Revenie mobilization</w:t>
            </w:r>
          </w:p>
        </w:tc>
        <w:tc>
          <w:tcPr>
            <w:tcW w:w="1301" w:type="dxa"/>
            <w:tcBorders>
              <w:top w:val="nil"/>
              <w:left w:val="nil"/>
              <w:bottom w:val="single" w:sz="4" w:space="0" w:color="auto"/>
              <w:right w:val="single" w:sz="4" w:space="0" w:color="auto"/>
            </w:tcBorders>
            <w:shd w:val="clear" w:color="000000" w:fill="00B0F0"/>
            <w:noWrap/>
            <w:vAlign w:val="bottom"/>
            <w:hideMark/>
          </w:tcPr>
          <w:p w14:paraId="3BE140A6" w14:textId="008A7EC8"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w:t>
            </w:r>
            <w:r w:rsidR="00B95D4E">
              <w:rPr>
                <w:rFonts w:eastAsia="Times New Roman"/>
                <w:b/>
                <w:bCs/>
                <w:sz w:val="18"/>
                <w:szCs w:val="18"/>
                <w:lang w:val="en-US" w:eastAsia="mk-MK"/>
              </w:rPr>
              <w:t>0</w:t>
            </w:r>
            <w:r w:rsidRPr="00FD1416">
              <w:rPr>
                <w:rFonts w:eastAsia="Times New Roman"/>
                <w:b/>
                <w:bCs/>
                <w:sz w:val="18"/>
                <w:szCs w:val="18"/>
                <w:lang w:eastAsia="mk-MK"/>
              </w:rPr>
              <w:t>,607,000</w:t>
            </w:r>
          </w:p>
        </w:tc>
        <w:tc>
          <w:tcPr>
            <w:tcW w:w="1341" w:type="dxa"/>
            <w:tcBorders>
              <w:top w:val="nil"/>
              <w:left w:val="nil"/>
              <w:bottom w:val="single" w:sz="4" w:space="0" w:color="auto"/>
              <w:right w:val="single" w:sz="4" w:space="0" w:color="auto"/>
            </w:tcBorders>
            <w:shd w:val="clear" w:color="000000" w:fill="00B0F0"/>
            <w:noWrap/>
            <w:vAlign w:val="bottom"/>
            <w:hideMark/>
          </w:tcPr>
          <w:p w14:paraId="4B79F26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13,357,000</w:t>
            </w:r>
          </w:p>
        </w:tc>
        <w:tc>
          <w:tcPr>
            <w:tcW w:w="1284" w:type="dxa"/>
            <w:tcBorders>
              <w:top w:val="nil"/>
              <w:left w:val="nil"/>
              <w:bottom w:val="single" w:sz="4" w:space="0" w:color="auto"/>
              <w:right w:val="single" w:sz="4" w:space="0" w:color="auto"/>
            </w:tcBorders>
            <w:shd w:val="clear" w:color="000000" w:fill="00B0F0"/>
            <w:noWrap/>
            <w:vAlign w:val="bottom"/>
            <w:hideMark/>
          </w:tcPr>
          <w:p w14:paraId="20561C70" w14:textId="3EE7CFE7" w:rsidR="006A78BE" w:rsidRPr="00FD1416" w:rsidRDefault="00B95D4E" w:rsidP="006A78BE">
            <w:pPr>
              <w:spacing w:after="0" w:line="240" w:lineRule="auto"/>
              <w:jc w:val="center"/>
              <w:rPr>
                <w:rFonts w:eastAsia="Times New Roman"/>
                <w:b/>
                <w:bCs/>
                <w:sz w:val="18"/>
                <w:szCs w:val="18"/>
                <w:lang w:eastAsia="mk-MK"/>
              </w:rPr>
            </w:pPr>
            <w:r>
              <w:rPr>
                <w:rFonts w:eastAsia="Times New Roman"/>
                <w:b/>
                <w:bCs/>
                <w:sz w:val="18"/>
                <w:szCs w:val="18"/>
                <w:lang w:val="en-US" w:eastAsia="mk-MK"/>
              </w:rPr>
              <w:t>8</w:t>
            </w:r>
            <w:r w:rsidR="006A78BE" w:rsidRPr="00FD1416">
              <w:rPr>
                <w:rFonts w:eastAsia="Times New Roman"/>
                <w:b/>
                <w:bCs/>
                <w:sz w:val="18"/>
                <w:szCs w:val="18"/>
                <w:lang w:eastAsia="mk-MK"/>
              </w:rPr>
              <w:t>,250,000</w:t>
            </w:r>
          </w:p>
        </w:tc>
        <w:tc>
          <w:tcPr>
            <w:tcW w:w="1218" w:type="dxa"/>
            <w:tcBorders>
              <w:top w:val="nil"/>
              <w:left w:val="nil"/>
              <w:bottom w:val="single" w:sz="4" w:space="0" w:color="auto"/>
              <w:right w:val="single" w:sz="8" w:space="0" w:color="auto"/>
            </w:tcBorders>
            <w:shd w:val="clear" w:color="000000" w:fill="00B0F0"/>
            <w:noWrap/>
            <w:vAlign w:val="bottom"/>
            <w:hideMark/>
          </w:tcPr>
          <w:p w14:paraId="228DAA3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9,000,000</w:t>
            </w:r>
          </w:p>
        </w:tc>
      </w:tr>
      <w:tr w:rsidR="00BF1348" w:rsidRPr="006A78BE" w14:paraId="540EEA9E"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76F7C2E5" w14:textId="2CA616AC"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19FCC9E6"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Tax and customs policy</w:t>
            </w:r>
          </w:p>
        </w:tc>
        <w:tc>
          <w:tcPr>
            <w:tcW w:w="1301" w:type="dxa"/>
            <w:tcBorders>
              <w:top w:val="nil"/>
              <w:left w:val="nil"/>
              <w:bottom w:val="single" w:sz="4" w:space="0" w:color="auto"/>
              <w:right w:val="single" w:sz="4" w:space="0" w:color="auto"/>
            </w:tcBorders>
            <w:shd w:val="clear" w:color="000000" w:fill="00FF00"/>
            <w:noWrap/>
            <w:hideMark/>
          </w:tcPr>
          <w:p w14:paraId="11DA360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250,000</w:t>
            </w:r>
          </w:p>
        </w:tc>
        <w:tc>
          <w:tcPr>
            <w:tcW w:w="1341" w:type="dxa"/>
            <w:tcBorders>
              <w:top w:val="nil"/>
              <w:left w:val="nil"/>
              <w:bottom w:val="single" w:sz="4" w:space="0" w:color="auto"/>
              <w:right w:val="single" w:sz="4" w:space="0" w:color="auto"/>
            </w:tcBorders>
            <w:shd w:val="clear" w:color="000000" w:fill="00FF00"/>
            <w:noWrap/>
            <w:hideMark/>
          </w:tcPr>
          <w:p w14:paraId="7B576A3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6393426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250,000</w:t>
            </w:r>
          </w:p>
        </w:tc>
        <w:tc>
          <w:tcPr>
            <w:tcW w:w="1218" w:type="dxa"/>
            <w:tcBorders>
              <w:top w:val="nil"/>
              <w:left w:val="nil"/>
              <w:bottom w:val="single" w:sz="4" w:space="0" w:color="auto"/>
              <w:right w:val="single" w:sz="8" w:space="0" w:color="auto"/>
            </w:tcBorders>
            <w:shd w:val="clear" w:color="000000" w:fill="00FF00"/>
            <w:noWrap/>
            <w:hideMark/>
          </w:tcPr>
          <w:p w14:paraId="23677C0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4750E5C8" w14:textId="77777777" w:rsidTr="00FD1416">
        <w:trPr>
          <w:trHeight w:val="6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5B4B9ED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7F189595" w14:textId="7AC0950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Improved revenue legislation framework, harmonized with the EU acquis and best practices</w:t>
            </w:r>
          </w:p>
        </w:tc>
        <w:tc>
          <w:tcPr>
            <w:tcW w:w="1301" w:type="dxa"/>
            <w:tcBorders>
              <w:top w:val="nil"/>
              <w:left w:val="nil"/>
              <w:bottom w:val="single" w:sz="4" w:space="0" w:color="auto"/>
              <w:right w:val="single" w:sz="4" w:space="0" w:color="auto"/>
            </w:tcBorders>
            <w:shd w:val="clear" w:color="000000" w:fill="FFFF00"/>
            <w:noWrap/>
            <w:hideMark/>
          </w:tcPr>
          <w:p w14:paraId="6D2F774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250,000</w:t>
            </w:r>
          </w:p>
        </w:tc>
        <w:tc>
          <w:tcPr>
            <w:tcW w:w="1341" w:type="dxa"/>
            <w:tcBorders>
              <w:top w:val="nil"/>
              <w:left w:val="nil"/>
              <w:bottom w:val="single" w:sz="4" w:space="0" w:color="auto"/>
              <w:right w:val="single" w:sz="4" w:space="0" w:color="auto"/>
            </w:tcBorders>
            <w:shd w:val="clear" w:color="000000" w:fill="FFFF00"/>
            <w:noWrap/>
            <w:hideMark/>
          </w:tcPr>
          <w:p w14:paraId="50FFCC4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04C0EB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250,000</w:t>
            </w:r>
          </w:p>
        </w:tc>
        <w:tc>
          <w:tcPr>
            <w:tcW w:w="1218" w:type="dxa"/>
            <w:tcBorders>
              <w:top w:val="nil"/>
              <w:left w:val="nil"/>
              <w:bottom w:val="single" w:sz="4" w:space="0" w:color="auto"/>
              <w:right w:val="single" w:sz="8" w:space="0" w:color="auto"/>
            </w:tcBorders>
            <w:shd w:val="clear" w:color="000000" w:fill="FFFF00"/>
            <w:noWrap/>
            <w:hideMark/>
          </w:tcPr>
          <w:p w14:paraId="00DD5D4C"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6FA7A2F3"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058C0236" w14:textId="77777777"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673D9487"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Tax administration</w:t>
            </w:r>
          </w:p>
        </w:tc>
        <w:tc>
          <w:tcPr>
            <w:tcW w:w="1301" w:type="dxa"/>
            <w:tcBorders>
              <w:top w:val="nil"/>
              <w:left w:val="nil"/>
              <w:bottom w:val="single" w:sz="4" w:space="0" w:color="auto"/>
              <w:right w:val="single" w:sz="4" w:space="0" w:color="auto"/>
            </w:tcBorders>
            <w:shd w:val="clear" w:color="000000" w:fill="00FF00"/>
            <w:noWrap/>
            <w:hideMark/>
          </w:tcPr>
          <w:p w14:paraId="4077E0C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13,357,000</w:t>
            </w:r>
          </w:p>
        </w:tc>
        <w:tc>
          <w:tcPr>
            <w:tcW w:w="1341" w:type="dxa"/>
            <w:tcBorders>
              <w:top w:val="nil"/>
              <w:left w:val="nil"/>
              <w:bottom w:val="single" w:sz="4" w:space="0" w:color="auto"/>
              <w:right w:val="single" w:sz="4" w:space="0" w:color="auto"/>
            </w:tcBorders>
            <w:shd w:val="clear" w:color="000000" w:fill="00FF00"/>
            <w:noWrap/>
            <w:hideMark/>
          </w:tcPr>
          <w:p w14:paraId="51F5FA32"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13,357,000</w:t>
            </w:r>
          </w:p>
        </w:tc>
        <w:tc>
          <w:tcPr>
            <w:tcW w:w="1284" w:type="dxa"/>
            <w:tcBorders>
              <w:top w:val="nil"/>
              <w:left w:val="nil"/>
              <w:bottom w:val="single" w:sz="4" w:space="0" w:color="auto"/>
              <w:right w:val="single" w:sz="4" w:space="0" w:color="auto"/>
            </w:tcBorders>
            <w:shd w:val="clear" w:color="000000" w:fill="00FF00"/>
            <w:noWrap/>
            <w:hideMark/>
          </w:tcPr>
          <w:p w14:paraId="648C1ED6"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6E87ED4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70C2AF3B" w14:textId="77777777" w:rsidTr="00FD1416">
        <w:trPr>
          <w:trHeight w:val="645"/>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0D232769"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18ABA69D"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 administrative capacity for better revenue collection and tax compliance</w:t>
            </w:r>
          </w:p>
        </w:tc>
        <w:tc>
          <w:tcPr>
            <w:tcW w:w="1301" w:type="dxa"/>
            <w:tcBorders>
              <w:top w:val="nil"/>
              <w:left w:val="nil"/>
              <w:bottom w:val="single" w:sz="4" w:space="0" w:color="auto"/>
              <w:right w:val="single" w:sz="4" w:space="0" w:color="auto"/>
            </w:tcBorders>
            <w:shd w:val="clear" w:color="000000" w:fill="FFFF00"/>
            <w:noWrap/>
            <w:hideMark/>
          </w:tcPr>
          <w:p w14:paraId="0C2382B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212,000</w:t>
            </w:r>
          </w:p>
        </w:tc>
        <w:tc>
          <w:tcPr>
            <w:tcW w:w="1341" w:type="dxa"/>
            <w:tcBorders>
              <w:top w:val="nil"/>
              <w:left w:val="nil"/>
              <w:bottom w:val="single" w:sz="4" w:space="0" w:color="auto"/>
              <w:right w:val="single" w:sz="4" w:space="0" w:color="auto"/>
            </w:tcBorders>
            <w:shd w:val="clear" w:color="000000" w:fill="FFFF00"/>
            <w:noWrap/>
            <w:hideMark/>
          </w:tcPr>
          <w:p w14:paraId="495B8538"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212,000</w:t>
            </w:r>
          </w:p>
        </w:tc>
        <w:tc>
          <w:tcPr>
            <w:tcW w:w="1284" w:type="dxa"/>
            <w:tcBorders>
              <w:top w:val="nil"/>
              <w:left w:val="nil"/>
              <w:bottom w:val="single" w:sz="4" w:space="0" w:color="auto"/>
              <w:right w:val="single" w:sz="4" w:space="0" w:color="auto"/>
            </w:tcBorders>
            <w:shd w:val="clear" w:color="000000" w:fill="FFFF00"/>
            <w:noWrap/>
            <w:hideMark/>
          </w:tcPr>
          <w:p w14:paraId="57129926"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7F8A1E8B"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1EDBDC50" w14:textId="77777777" w:rsidTr="00FD1416">
        <w:trPr>
          <w:trHeight w:val="928"/>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7C96AA2"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050CC0F7" w14:textId="77777777" w:rsidR="006A78BE" w:rsidRPr="006A78BE" w:rsidRDefault="006A78BE" w:rsidP="006A78BE">
            <w:pPr>
              <w:spacing w:after="240" w:line="240" w:lineRule="auto"/>
              <w:jc w:val="both"/>
              <w:rPr>
                <w:rFonts w:eastAsia="Times New Roman"/>
                <w:b/>
                <w:bCs/>
                <w:sz w:val="18"/>
                <w:szCs w:val="18"/>
                <w:lang w:eastAsia="mk-MK"/>
              </w:rPr>
            </w:pPr>
            <w:r w:rsidRPr="006A78BE">
              <w:rPr>
                <w:rFonts w:eastAsia="Times New Roman"/>
                <w:b/>
                <w:bCs/>
                <w:sz w:val="18"/>
                <w:szCs w:val="18"/>
                <w:lang w:eastAsia="mk-MK"/>
              </w:rPr>
              <w:t>Digital transformation of the PRO with the establishment of an Integrated Tax Information System (ITIS)</w:t>
            </w:r>
          </w:p>
        </w:tc>
        <w:tc>
          <w:tcPr>
            <w:tcW w:w="1301" w:type="dxa"/>
            <w:tcBorders>
              <w:top w:val="nil"/>
              <w:left w:val="nil"/>
              <w:bottom w:val="single" w:sz="4" w:space="0" w:color="auto"/>
              <w:right w:val="single" w:sz="4" w:space="0" w:color="auto"/>
            </w:tcBorders>
            <w:shd w:val="clear" w:color="000000" w:fill="FFFF00"/>
            <w:noWrap/>
            <w:hideMark/>
          </w:tcPr>
          <w:p w14:paraId="55537DC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13,145,000</w:t>
            </w:r>
          </w:p>
        </w:tc>
        <w:tc>
          <w:tcPr>
            <w:tcW w:w="1341" w:type="dxa"/>
            <w:tcBorders>
              <w:top w:val="nil"/>
              <w:left w:val="nil"/>
              <w:bottom w:val="single" w:sz="4" w:space="0" w:color="auto"/>
              <w:right w:val="single" w:sz="4" w:space="0" w:color="auto"/>
            </w:tcBorders>
            <w:shd w:val="clear" w:color="000000" w:fill="FFFF00"/>
            <w:noWrap/>
            <w:hideMark/>
          </w:tcPr>
          <w:p w14:paraId="7F0DF28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13,145,000</w:t>
            </w:r>
          </w:p>
        </w:tc>
        <w:tc>
          <w:tcPr>
            <w:tcW w:w="1284" w:type="dxa"/>
            <w:tcBorders>
              <w:top w:val="nil"/>
              <w:left w:val="nil"/>
              <w:bottom w:val="single" w:sz="4" w:space="0" w:color="auto"/>
              <w:right w:val="single" w:sz="4" w:space="0" w:color="auto"/>
            </w:tcBorders>
            <w:shd w:val="clear" w:color="000000" w:fill="FFFF00"/>
            <w:noWrap/>
            <w:hideMark/>
          </w:tcPr>
          <w:p w14:paraId="551EACD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14DA898E"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61933577"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739FA6BA" w14:textId="77777777"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3.</w:t>
            </w:r>
          </w:p>
        </w:tc>
        <w:tc>
          <w:tcPr>
            <w:tcW w:w="2736" w:type="dxa"/>
            <w:tcBorders>
              <w:top w:val="nil"/>
              <w:left w:val="nil"/>
              <w:bottom w:val="single" w:sz="4" w:space="0" w:color="auto"/>
              <w:right w:val="single" w:sz="4" w:space="0" w:color="auto"/>
            </w:tcBorders>
            <w:shd w:val="clear" w:color="000000" w:fill="00FF00"/>
            <w:hideMark/>
          </w:tcPr>
          <w:p w14:paraId="4ECC1A37"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Customs</w:t>
            </w:r>
          </w:p>
        </w:tc>
        <w:tc>
          <w:tcPr>
            <w:tcW w:w="1301" w:type="dxa"/>
            <w:tcBorders>
              <w:top w:val="nil"/>
              <w:left w:val="nil"/>
              <w:bottom w:val="single" w:sz="4" w:space="0" w:color="auto"/>
              <w:right w:val="single" w:sz="4" w:space="0" w:color="auto"/>
            </w:tcBorders>
            <w:shd w:val="clear" w:color="000000" w:fill="00FF00"/>
            <w:noWrap/>
            <w:hideMark/>
          </w:tcPr>
          <w:p w14:paraId="07169882" w14:textId="38FCFCF2"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w:t>
            </w:r>
            <w:r w:rsidR="00B95D4E">
              <w:rPr>
                <w:rFonts w:eastAsia="Times New Roman"/>
                <w:b/>
                <w:bCs/>
                <w:sz w:val="18"/>
                <w:szCs w:val="18"/>
                <w:lang w:val="en-US" w:eastAsia="mk-MK"/>
              </w:rPr>
              <w:t>7</w:t>
            </w:r>
            <w:r w:rsidRPr="00FD1416">
              <w:rPr>
                <w:rFonts w:eastAsia="Times New Roman"/>
                <w:b/>
                <w:bCs/>
                <w:sz w:val="18"/>
                <w:szCs w:val="18"/>
                <w:lang w:eastAsia="mk-MK"/>
              </w:rPr>
              <w:t>,000,000</w:t>
            </w:r>
          </w:p>
        </w:tc>
        <w:tc>
          <w:tcPr>
            <w:tcW w:w="1341" w:type="dxa"/>
            <w:tcBorders>
              <w:top w:val="nil"/>
              <w:left w:val="nil"/>
              <w:bottom w:val="single" w:sz="4" w:space="0" w:color="auto"/>
              <w:right w:val="single" w:sz="4" w:space="0" w:color="auto"/>
            </w:tcBorders>
            <w:shd w:val="clear" w:color="000000" w:fill="00FF00"/>
            <w:noWrap/>
            <w:hideMark/>
          </w:tcPr>
          <w:p w14:paraId="08E5759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65DDDF53" w14:textId="0F662E56" w:rsidR="006A78BE" w:rsidRPr="00FD1416" w:rsidRDefault="00B95D4E" w:rsidP="006A78BE">
            <w:pPr>
              <w:spacing w:after="0" w:line="240" w:lineRule="auto"/>
              <w:jc w:val="center"/>
              <w:rPr>
                <w:rFonts w:eastAsia="Times New Roman"/>
                <w:b/>
                <w:bCs/>
                <w:sz w:val="18"/>
                <w:szCs w:val="18"/>
                <w:lang w:eastAsia="mk-MK"/>
              </w:rPr>
            </w:pPr>
            <w:r>
              <w:rPr>
                <w:rFonts w:eastAsia="Times New Roman"/>
                <w:b/>
                <w:bCs/>
                <w:sz w:val="18"/>
                <w:szCs w:val="18"/>
                <w:lang w:val="en-US" w:eastAsia="mk-MK"/>
              </w:rPr>
              <w:t>8</w:t>
            </w:r>
            <w:r w:rsidR="006A78BE" w:rsidRPr="00FD1416">
              <w:rPr>
                <w:rFonts w:eastAsia="Times New Roman"/>
                <w:b/>
                <w:bCs/>
                <w:sz w:val="18"/>
                <w:szCs w:val="18"/>
                <w:lang w:eastAsia="mk-MK"/>
              </w:rPr>
              <w:t>,000,000</w:t>
            </w:r>
          </w:p>
        </w:tc>
        <w:tc>
          <w:tcPr>
            <w:tcW w:w="1218" w:type="dxa"/>
            <w:tcBorders>
              <w:top w:val="nil"/>
              <w:left w:val="nil"/>
              <w:bottom w:val="single" w:sz="4" w:space="0" w:color="auto"/>
              <w:right w:val="single" w:sz="8" w:space="0" w:color="auto"/>
            </w:tcBorders>
            <w:shd w:val="clear" w:color="000000" w:fill="00FF00"/>
            <w:noWrap/>
            <w:hideMark/>
          </w:tcPr>
          <w:p w14:paraId="0BCD647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9,000,000</w:t>
            </w:r>
          </w:p>
        </w:tc>
      </w:tr>
      <w:tr w:rsidR="00BF1348" w:rsidRPr="006A78BE" w14:paraId="630176E3"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6776FE14"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5AFE3C07"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joint control mechanisms and capacities in order to combat illegal trade and organized crime</w:t>
            </w:r>
          </w:p>
        </w:tc>
        <w:tc>
          <w:tcPr>
            <w:tcW w:w="1301" w:type="dxa"/>
            <w:tcBorders>
              <w:top w:val="nil"/>
              <w:left w:val="nil"/>
              <w:bottom w:val="single" w:sz="4" w:space="0" w:color="auto"/>
              <w:right w:val="single" w:sz="4" w:space="0" w:color="auto"/>
            </w:tcBorders>
            <w:shd w:val="clear" w:color="000000" w:fill="FFFF00"/>
            <w:noWrap/>
            <w:hideMark/>
          </w:tcPr>
          <w:p w14:paraId="6651AE8F" w14:textId="6397923C" w:rsidR="006A78BE" w:rsidRPr="00FD1416" w:rsidRDefault="00EF14C9" w:rsidP="006A78BE">
            <w:pPr>
              <w:spacing w:after="0" w:line="240" w:lineRule="auto"/>
              <w:jc w:val="center"/>
              <w:rPr>
                <w:rFonts w:eastAsia="Times New Roman"/>
                <w:sz w:val="18"/>
                <w:szCs w:val="18"/>
                <w:lang w:eastAsia="mk-MK"/>
              </w:rPr>
            </w:pPr>
            <w:r>
              <w:rPr>
                <w:rFonts w:eastAsia="Times New Roman"/>
                <w:sz w:val="18"/>
                <w:szCs w:val="18"/>
                <w:lang w:val="en-US" w:eastAsia="mk-MK"/>
              </w:rPr>
              <w:t>2</w:t>
            </w:r>
            <w:r w:rsidR="006A78BE" w:rsidRPr="00FD1416">
              <w:rPr>
                <w:rFonts w:eastAsia="Times New Roman"/>
                <w:sz w:val="18"/>
                <w:szCs w:val="18"/>
                <w:lang w:eastAsia="mk-MK"/>
              </w:rPr>
              <w:t>,000,000</w:t>
            </w:r>
          </w:p>
        </w:tc>
        <w:tc>
          <w:tcPr>
            <w:tcW w:w="1341" w:type="dxa"/>
            <w:tcBorders>
              <w:top w:val="nil"/>
              <w:left w:val="nil"/>
              <w:bottom w:val="single" w:sz="4" w:space="0" w:color="auto"/>
              <w:right w:val="single" w:sz="4" w:space="0" w:color="auto"/>
            </w:tcBorders>
            <w:shd w:val="clear" w:color="000000" w:fill="FFFF00"/>
            <w:noWrap/>
            <w:hideMark/>
          </w:tcPr>
          <w:p w14:paraId="66A291DE"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5C2DD66" w14:textId="4FF8CA62" w:rsidR="006A78BE" w:rsidRPr="00FD1416" w:rsidRDefault="00EB65DB" w:rsidP="006A78BE">
            <w:pPr>
              <w:spacing w:after="0" w:line="240" w:lineRule="auto"/>
              <w:jc w:val="center"/>
              <w:rPr>
                <w:rFonts w:eastAsia="Times New Roman"/>
                <w:sz w:val="18"/>
                <w:szCs w:val="18"/>
                <w:lang w:eastAsia="mk-MK"/>
              </w:rPr>
            </w:pPr>
            <w:r>
              <w:rPr>
                <w:rFonts w:eastAsia="Times New Roman"/>
                <w:sz w:val="18"/>
                <w:szCs w:val="18"/>
                <w:lang w:val="en-US" w:eastAsia="mk-MK"/>
              </w:rPr>
              <w:t>2</w:t>
            </w:r>
            <w:r w:rsidR="006A78BE" w:rsidRPr="00FD1416">
              <w:rPr>
                <w:rFonts w:eastAsia="Times New Roman"/>
                <w:sz w:val="18"/>
                <w:szCs w:val="18"/>
                <w:lang w:eastAsia="mk-MK"/>
              </w:rPr>
              <w:t>,000,000</w:t>
            </w:r>
          </w:p>
        </w:tc>
        <w:tc>
          <w:tcPr>
            <w:tcW w:w="1218" w:type="dxa"/>
            <w:tcBorders>
              <w:top w:val="nil"/>
              <w:left w:val="nil"/>
              <w:bottom w:val="single" w:sz="4" w:space="0" w:color="auto"/>
              <w:right w:val="single" w:sz="8" w:space="0" w:color="auto"/>
            </w:tcBorders>
            <w:shd w:val="clear" w:color="000000" w:fill="FFFF00"/>
            <w:noWrap/>
            <w:hideMark/>
          </w:tcPr>
          <w:p w14:paraId="1FB44D2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5260CE55"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4A3ABD8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4A84CBF0" w14:textId="492237DC"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Modernization of customs services and their digitalization</w:t>
            </w:r>
          </w:p>
        </w:tc>
        <w:tc>
          <w:tcPr>
            <w:tcW w:w="1301" w:type="dxa"/>
            <w:tcBorders>
              <w:top w:val="nil"/>
              <w:left w:val="nil"/>
              <w:bottom w:val="single" w:sz="4" w:space="0" w:color="auto"/>
              <w:right w:val="single" w:sz="4" w:space="0" w:color="auto"/>
            </w:tcBorders>
            <w:shd w:val="clear" w:color="000000" w:fill="FFFF00"/>
            <w:noWrap/>
            <w:hideMark/>
          </w:tcPr>
          <w:p w14:paraId="63909A5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15,000,000</w:t>
            </w:r>
          </w:p>
        </w:tc>
        <w:tc>
          <w:tcPr>
            <w:tcW w:w="1341" w:type="dxa"/>
            <w:tcBorders>
              <w:top w:val="nil"/>
              <w:left w:val="nil"/>
              <w:bottom w:val="single" w:sz="4" w:space="0" w:color="auto"/>
              <w:right w:val="single" w:sz="4" w:space="0" w:color="auto"/>
            </w:tcBorders>
            <w:shd w:val="clear" w:color="000000" w:fill="FFFF00"/>
            <w:noWrap/>
            <w:hideMark/>
          </w:tcPr>
          <w:p w14:paraId="3D7EDC5E"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46D8E248"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6,000,000</w:t>
            </w:r>
          </w:p>
        </w:tc>
        <w:tc>
          <w:tcPr>
            <w:tcW w:w="1218" w:type="dxa"/>
            <w:tcBorders>
              <w:top w:val="nil"/>
              <w:left w:val="nil"/>
              <w:bottom w:val="single" w:sz="4" w:space="0" w:color="auto"/>
              <w:right w:val="single" w:sz="8" w:space="0" w:color="auto"/>
            </w:tcBorders>
            <w:shd w:val="clear" w:color="000000" w:fill="FFFF00"/>
            <w:noWrap/>
            <w:hideMark/>
          </w:tcPr>
          <w:p w14:paraId="096DBFB9"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9,000,000</w:t>
            </w:r>
          </w:p>
        </w:tc>
      </w:tr>
      <w:tr w:rsidR="00EA4DEC" w:rsidRPr="006A78BE" w14:paraId="29254259"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tcPr>
          <w:p w14:paraId="78B6677A" w14:textId="00F623CB" w:rsidR="00EA4DEC" w:rsidRPr="00EA4DEC" w:rsidRDefault="00EA4DEC"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Measure 3.</w:t>
            </w:r>
          </w:p>
        </w:tc>
        <w:tc>
          <w:tcPr>
            <w:tcW w:w="2736" w:type="dxa"/>
            <w:tcBorders>
              <w:top w:val="nil"/>
              <w:left w:val="nil"/>
              <w:bottom w:val="single" w:sz="4" w:space="0" w:color="auto"/>
              <w:right w:val="single" w:sz="4" w:space="0" w:color="auto"/>
            </w:tcBorders>
            <w:shd w:val="clear" w:color="000000" w:fill="FFFF00"/>
          </w:tcPr>
          <w:p w14:paraId="08ACA178" w14:textId="78B9A020" w:rsidR="00EA4DEC" w:rsidRPr="006A78BE" w:rsidRDefault="00EA4DEC" w:rsidP="006A78BE">
            <w:pPr>
              <w:spacing w:after="0" w:line="240" w:lineRule="auto"/>
              <w:jc w:val="both"/>
              <w:rPr>
                <w:rFonts w:eastAsia="Times New Roman"/>
                <w:b/>
                <w:bCs/>
                <w:sz w:val="18"/>
                <w:szCs w:val="18"/>
                <w:lang w:eastAsia="mk-MK"/>
              </w:rPr>
            </w:pPr>
            <w:r w:rsidRPr="00EA4DEC">
              <w:rPr>
                <w:rFonts w:eastAsia="Times New Roman"/>
                <w:b/>
                <w:bCs/>
                <w:sz w:val="18"/>
                <w:szCs w:val="18"/>
                <w:lang w:eastAsia="mk-MK"/>
              </w:rPr>
              <w:t>Adequate monitoring of excise good sand collection of excise duties</w:t>
            </w:r>
          </w:p>
        </w:tc>
        <w:tc>
          <w:tcPr>
            <w:tcW w:w="1301" w:type="dxa"/>
            <w:tcBorders>
              <w:top w:val="nil"/>
              <w:left w:val="nil"/>
              <w:bottom w:val="single" w:sz="4" w:space="0" w:color="auto"/>
              <w:right w:val="single" w:sz="4" w:space="0" w:color="auto"/>
            </w:tcBorders>
            <w:shd w:val="clear" w:color="000000" w:fill="FFFF00"/>
            <w:noWrap/>
          </w:tcPr>
          <w:p w14:paraId="61BB2CAB" w14:textId="797AE70F" w:rsidR="00EA4DEC" w:rsidRPr="00EA4DEC" w:rsidRDefault="00EA4DEC" w:rsidP="006A78BE">
            <w:pPr>
              <w:spacing w:after="0" w:line="240" w:lineRule="auto"/>
              <w:jc w:val="center"/>
              <w:rPr>
                <w:rFonts w:eastAsia="Times New Roman"/>
                <w:sz w:val="18"/>
                <w:szCs w:val="18"/>
                <w:lang w:val="en-US" w:eastAsia="mk-MK"/>
              </w:rPr>
            </w:pPr>
            <w:r>
              <w:rPr>
                <w:rFonts w:eastAsia="Times New Roman"/>
                <w:sz w:val="18"/>
                <w:szCs w:val="18"/>
                <w:lang w:val="en-US" w:eastAsia="mk-MK"/>
              </w:rPr>
              <w:t>0</w:t>
            </w:r>
          </w:p>
        </w:tc>
        <w:tc>
          <w:tcPr>
            <w:tcW w:w="1341" w:type="dxa"/>
            <w:tcBorders>
              <w:top w:val="nil"/>
              <w:left w:val="nil"/>
              <w:bottom w:val="single" w:sz="4" w:space="0" w:color="auto"/>
              <w:right w:val="single" w:sz="4" w:space="0" w:color="auto"/>
            </w:tcBorders>
            <w:shd w:val="clear" w:color="000000" w:fill="FFFF00"/>
            <w:noWrap/>
          </w:tcPr>
          <w:p w14:paraId="64AD7F2D" w14:textId="7AFF2B19" w:rsidR="00EA4DEC" w:rsidRPr="00EA4DEC" w:rsidRDefault="00EA4DEC" w:rsidP="006A78BE">
            <w:pPr>
              <w:spacing w:after="0" w:line="240" w:lineRule="auto"/>
              <w:jc w:val="center"/>
              <w:rPr>
                <w:rFonts w:eastAsia="Times New Roman"/>
                <w:sz w:val="18"/>
                <w:szCs w:val="18"/>
                <w:lang w:val="en-US" w:eastAsia="mk-MK"/>
              </w:rPr>
            </w:pPr>
            <w:r>
              <w:rPr>
                <w:rFonts w:eastAsia="Times New Roman"/>
                <w:sz w:val="18"/>
                <w:szCs w:val="18"/>
                <w:lang w:val="en-US" w:eastAsia="mk-MK"/>
              </w:rPr>
              <w:t>0</w:t>
            </w:r>
          </w:p>
        </w:tc>
        <w:tc>
          <w:tcPr>
            <w:tcW w:w="1284" w:type="dxa"/>
            <w:tcBorders>
              <w:top w:val="nil"/>
              <w:left w:val="nil"/>
              <w:bottom w:val="single" w:sz="4" w:space="0" w:color="auto"/>
              <w:right w:val="single" w:sz="4" w:space="0" w:color="auto"/>
            </w:tcBorders>
            <w:shd w:val="clear" w:color="000000" w:fill="FFFF00"/>
            <w:noWrap/>
          </w:tcPr>
          <w:p w14:paraId="6EF4C021" w14:textId="2A2559A4" w:rsidR="00EA4DEC" w:rsidRPr="00EA4DEC" w:rsidRDefault="00EA4DEC" w:rsidP="006A78BE">
            <w:pPr>
              <w:spacing w:after="0" w:line="240" w:lineRule="auto"/>
              <w:jc w:val="center"/>
              <w:rPr>
                <w:rFonts w:eastAsia="Times New Roman"/>
                <w:sz w:val="18"/>
                <w:szCs w:val="18"/>
                <w:lang w:val="en-US" w:eastAsia="mk-MK"/>
              </w:rPr>
            </w:pPr>
            <w:r>
              <w:rPr>
                <w:rFonts w:eastAsia="Times New Roman"/>
                <w:sz w:val="18"/>
                <w:szCs w:val="18"/>
                <w:lang w:val="en-US" w:eastAsia="mk-MK"/>
              </w:rPr>
              <w:t>0</w:t>
            </w:r>
          </w:p>
        </w:tc>
        <w:tc>
          <w:tcPr>
            <w:tcW w:w="1218" w:type="dxa"/>
            <w:tcBorders>
              <w:top w:val="nil"/>
              <w:left w:val="nil"/>
              <w:bottom w:val="single" w:sz="4" w:space="0" w:color="auto"/>
              <w:right w:val="single" w:sz="8" w:space="0" w:color="auto"/>
            </w:tcBorders>
            <w:shd w:val="clear" w:color="000000" w:fill="FFFF00"/>
            <w:noWrap/>
          </w:tcPr>
          <w:p w14:paraId="3E7BA993" w14:textId="75ECB048" w:rsidR="00EA4DEC" w:rsidRPr="00EA4DEC" w:rsidRDefault="00EA4DEC" w:rsidP="006A78BE">
            <w:pPr>
              <w:spacing w:after="0" w:line="240" w:lineRule="auto"/>
              <w:jc w:val="center"/>
              <w:rPr>
                <w:rFonts w:eastAsia="Times New Roman"/>
                <w:sz w:val="18"/>
                <w:szCs w:val="18"/>
                <w:lang w:val="en-US" w:eastAsia="mk-MK"/>
              </w:rPr>
            </w:pPr>
            <w:r>
              <w:rPr>
                <w:rFonts w:eastAsia="Times New Roman"/>
                <w:sz w:val="18"/>
                <w:szCs w:val="18"/>
                <w:lang w:val="en-US" w:eastAsia="mk-MK"/>
              </w:rPr>
              <w:t>0</w:t>
            </w:r>
          </w:p>
        </w:tc>
      </w:tr>
      <w:tr w:rsidR="00BF1348" w:rsidRPr="006A78BE" w14:paraId="127AFD8F"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66D88092" w14:textId="77777777"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III.Pillar-Planning and budgeting</w:t>
            </w:r>
          </w:p>
        </w:tc>
        <w:tc>
          <w:tcPr>
            <w:tcW w:w="1301" w:type="dxa"/>
            <w:tcBorders>
              <w:top w:val="nil"/>
              <w:left w:val="nil"/>
              <w:bottom w:val="single" w:sz="4" w:space="0" w:color="auto"/>
              <w:right w:val="single" w:sz="4" w:space="0" w:color="auto"/>
            </w:tcBorders>
            <w:shd w:val="clear" w:color="000000" w:fill="00B0F0"/>
            <w:noWrap/>
            <w:vAlign w:val="bottom"/>
            <w:hideMark/>
          </w:tcPr>
          <w:p w14:paraId="1AC95E3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2,677,000</w:t>
            </w:r>
          </w:p>
        </w:tc>
        <w:tc>
          <w:tcPr>
            <w:tcW w:w="1341" w:type="dxa"/>
            <w:tcBorders>
              <w:top w:val="nil"/>
              <w:left w:val="nil"/>
              <w:bottom w:val="single" w:sz="4" w:space="0" w:color="auto"/>
              <w:right w:val="single" w:sz="4" w:space="0" w:color="auto"/>
            </w:tcBorders>
            <w:shd w:val="clear" w:color="000000" w:fill="00B0F0"/>
            <w:noWrap/>
            <w:vAlign w:val="bottom"/>
            <w:hideMark/>
          </w:tcPr>
          <w:p w14:paraId="3A315E5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380,000</w:t>
            </w:r>
          </w:p>
        </w:tc>
        <w:tc>
          <w:tcPr>
            <w:tcW w:w="1284" w:type="dxa"/>
            <w:tcBorders>
              <w:top w:val="nil"/>
              <w:left w:val="nil"/>
              <w:bottom w:val="single" w:sz="4" w:space="0" w:color="auto"/>
              <w:right w:val="single" w:sz="4" w:space="0" w:color="auto"/>
            </w:tcBorders>
            <w:shd w:val="clear" w:color="000000" w:fill="00B0F0"/>
            <w:noWrap/>
            <w:vAlign w:val="bottom"/>
            <w:hideMark/>
          </w:tcPr>
          <w:p w14:paraId="12FE20E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2,297,000</w:t>
            </w:r>
          </w:p>
        </w:tc>
        <w:tc>
          <w:tcPr>
            <w:tcW w:w="1218" w:type="dxa"/>
            <w:tcBorders>
              <w:top w:val="nil"/>
              <w:left w:val="nil"/>
              <w:bottom w:val="single" w:sz="4" w:space="0" w:color="auto"/>
              <w:right w:val="single" w:sz="8" w:space="0" w:color="auto"/>
            </w:tcBorders>
            <w:shd w:val="clear" w:color="000000" w:fill="00B0F0"/>
            <w:noWrap/>
            <w:vAlign w:val="bottom"/>
            <w:hideMark/>
          </w:tcPr>
          <w:p w14:paraId="3A4209B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0936E6A0"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135E0F26" w14:textId="40C5D8C0"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1A77E120"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Budget planning</w:t>
            </w:r>
          </w:p>
        </w:tc>
        <w:tc>
          <w:tcPr>
            <w:tcW w:w="1301" w:type="dxa"/>
            <w:tcBorders>
              <w:top w:val="nil"/>
              <w:left w:val="nil"/>
              <w:bottom w:val="single" w:sz="4" w:space="0" w:color="auto"/>
              <w:right w:val="single" w:sz="4" w:space="0" w:color="auto"/>
            </w:tcBorders>
            <w:shd w:val="clear" w:color="000000" w:fill="00FF00"/>
            <w:noWrap/>
            <w:hideMark/>
          </w:tcPr>
          <w:p w14:paraId="04044492"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1,992,000</w:t>
            </w:r>
          </w:p>
        </w:tc>
        <w:tc>
          <w:tcPr>
            <w:tcW w:w="1341" w:type="dxa"/>
            <w:tcBorders>
              <w:top w:val="nil"/>
              <w:left w:val="nil"/>
              <w:bottom w:val="single" w:sz="4" w:space="0" w:color="auto"/>
              <w:right w:val="single" w:sz="4" w:space="0" w:color="auto"/>
            </w:tcBorders>
            <w:shd w:val="clear" w:color="000000" w:fill="00FF00"/>
            <w:noWrap/>
            <w:hideMark/>
          </w:tcPr>
          <w:p w14:paraId="32C75481"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2401ACE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1,992,000</w:t>
            </w:r>
          </w:p>
        </w:tc>
        <w:tc>
          <w:tcPr>
            <w:tcW w:w="1218" w:type="dxa"/>
            <w:tcBorders>
              <w:top w:val="nil"/>
              <w:left w:val="nil"/>
              <w:bottom w:val="single" w:sz="4" w:space="0" w:color="auto"/>
              <w:right w:val="single" w:sz="8" w:space="0" w:color="auto"/>
            </w:tcBorders>
            <w:shd w:val="clear" w:color="000000" w:fill="00FF00"/>
            <w:noWrap/>
            <w:hideMark/>
          </w:tcPr>
          <w:p w14:paraId="6F541F05"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44ACF61C"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A3A398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46BCD83D"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Improving medium-term planning</w:t>
            </w:r>
          </w:p>
        </w:tc>
        <w:tc>
          <w:tcPr>
            <w:tcW w:w="1301" w:type="dxa"/>
            <w:tcBorders>
              <w:top w:val="nil"/>
              <w:left w:val="nil"/>
              <w:bottom w:val="single" w:sz="4" w:space="0" w:color="auto"/>
              <w:right w:val="single" w:sz="4" w:space="0" w:color="auto"/>
            </w:tcBorders>
            <w:shd w:val="clear" w:color="000000" w:fill="FFFF00"/>
            <w:noWrap/>
            <w:hideMark/>
          </w:tcPr>
          <w:p w14:paraId="55C075D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5375EFEE"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6E825F1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1A86E93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0E121891"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A6A6CEF"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1FE1E1B8"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Improving sectoral approach of budget planning and development by implementation of bylaws</w:t>
            </w:r>
          </w:p>
        </w:tc>
        <w:tc>
          <w:tcPr>
            <w:tcW w:w="1301" w:type="dxa"/>
            <w:tcBorders>
              <w:top w:val="nil"/>
              <w:left w:val="nil"/>
              <w:bottom w:val="single" w:sz="4" w:space="0" w:color="auto"/>
              <w:right w:val="single" w:sz="4" w:space="0" w:color="auto"/>
            </w:tcBorders>
            <w:shd w:val="clear" w:color="000000" w:fill="FFFF00"/>
            <w:noWrap/>
            <w:hideMark/>
          </w:tcPr>
          <w:p w14:paraId="379D21F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1,826,000</w:t>
            </w:r>
          </w:p>
        </w:tc>
        <w:tc>
          <w:tcPr>
            <w:tcW w:w="1341" w:type="dxa"/>
            <w:tcBorders>
              <w:top w:val="nil"/>
              <w:left w:val="nil"/>
              <w:bottom w:val="single" w:sz="4" w:space="0" w:color="auto"/>
              <w:right w:val="single" w:sz="4" w:space="0" w:color="auto"/>
            </w:tcBorders>
            <w:shd w:val="clear" w:color="000000" w:fill="FFFF00"/>
            <w:noWrap/>
            <w:hideMark/>
          </w:tcPr>
          <w:p w14:paraId="222CDD9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2E3CDF8A"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1,826,000</w:t>
            </w:r>
          </w:p>
        </w:tc>
        <w:tc>
          <w:tcPr>
            <w:tcW w:w="1218" w:type="dxa"/>
            <w:tcBorders>
              <w:top w:val="nil"/>
              <w:left w:val="nil"/>
              <w:bottom w:val="single" w:sz="4" w:space="0" w:color="auto"/>
              <w:right w:val="single" w:sz="8" w:space="0" w:color="auto"/>
            </w:tcBorders>
            <w:shd w:val="clear" w:color="000000" w:fill="FFFF00"/>
            <w:noWrap/>
            <w:hideMark/>
          </w:tcPr>
          <w:p w14:paraId="70587F2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39376EF7"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674524A7"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629BFA6D" w14:textId="43C407F8" w:rsidR="006A78BE" w:rsidRPr="001C4890" w:rsidRDefault="001C4890" w:rsidP="006A78BE">
            <w:pPr>
              <w:spacing w:after="0" w:line="240" w:lineRule="auto"/>
              <w:jc w:val="both"/>
              <w:rPr>
                <w:rFonts w:eastAsia="Times New Roman"/>
                <w:b/>
                <w:bCs/>
                <w:sz w:val="18"/>
                <w:szCs w:val="18"/>
                <w:lang w:val="en-US" w:eastAsia="mk-MK"/>
              </w:rPr>
            </w:pPr>
            <w:r w:rsidRPr="001C4890">
              <w:rPr>
                <w:rFonts w:eastAsia="Times New Roman"/>
                <w:b/>
                <w:bCs/>
                <w:sz w:val="18"/>
                <w:szCs w:val="18"/>
                <w:lang w:eastAsia="mk-MK"/>
              </w:rPr>
              <w:t>Introducing performance based budget (value for</w:t>
            </w:r>
            <w:r>
              <w:rPr>
                <w:rFonts w:eastAsia="Times New Roman"/>
                <w:b/>
                <w:bCs/>
                <w:sz w:val="18"/>
                <w:szCs w:val="18"/>
                <w:lang w:val="en-US" w:eastAsia="mk-MK"/>
              </w:rPr>
              <w:t xml:space="preserve"> </w:t>
            </w:r>
            <w:r w:rsidRPr="001C4890">
              <w:rPr>
                <w:rFonts w:eastAsia="Times New Roman"/>
                <w:b/>
                <w:bCs/>
                <w:sz w:val="18"/>
                <w:szCs w:val="18"/>
                <w:lang w:eastAsia="mk-MK"/>
              </w:rPr>
              <w:t>money)</w:t>
            </w:r>
          </w:p>
        </w:tc>
        <w:tc>
          <w:tcPr>
            <w:tcW w:w="1301" w:type="dxa"/>
            <w:tcBorders>
              <w:top w:val="nil"/>
              <w:left w:val="nil"/>
              <w:bottom w:val="single" w:sz="4" w:space="0" w:color="auto"/>
              <w:right w:val="single" w:sz="4" w:space="0" w:color="auto"/>
            </w:tcBorders>
            <w:shd w:val="clear" w:color="000000" w:fill="FFFF00"/>
            <w:noWrap/>
            <w:hideMark/>
          </w:tcPr>
          <w:p w14:paraId="14E306A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166,000</w:t>
            </w:r>
          </w:p>
        </w:tc>
        <w:tc>
          <w:tcPr>
            <w:tcW w:w="1341" w:type="dxa"/>
            <w:tcBorders>
              <w:top w:val="nil"/>
              <w:left w:val="nil"/>
              <w:bottom w:val="single" w:sz="4" w:space="0" w:color="auto"/>
              <w:right w:val="single" w:sz="4" w:space="0" w:color="auto"/>
            </w:tcBorders>
            <w:shd w:val="clear" w:color="000000" w:fill="FFFF00"/>
            <w:noWrap/>
            <w:hideMark/>
          </w:tcPr>
          <w:p w14:paraId="64842E4E"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3DF15228"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166,000</w:t>
            </w:r>
          </w:p>
        </w:tc>
        <w:tc>
          <w:tcPr>
            <w:tcW w:w="1218" w:type="dxa"/>
            <w:tcBorders>
              <w:top w:val="nil"/>
              <w:left w:val="nil"/>
              <w:bottom w:val="single" w:sz="4" w:space="0" w:color="auto"/>
              <w:right w:val="single" w:sz="8" w:space="0" w:color="auto"/>
            </w:tcBorders>
            <w:shd w:val="clear" w:color="000000" w:fill="FFFF00"/>
            <w:noWrap/>
            <w:hideMark/>
          </w:tcPr>
          <w:p w14:paraId="6DE9B0FB"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2CD8D4E7"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EA8D538"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4.</w:t>
            </w:r>
          </w:p>
        </w:tc>
        <w:tc>
          <w:tcPr>
            <w:tcW w:w="2736" w:type="dxa"/>
            <w:tcBorders>
              <w:top w:val="nil"/>
              <w:left w:val="nil"/>
              <w:bottom w:val="single" w:sz="4" w:space="0" w:color="auto"/>
              <w:right w:val="single" w:sz="4" w:space="0" w:color="auto"/>
            </w:tcBorders>
            <w:shd w:val="clear" w:color="000000" w:fill="FFFF00"/>
            <w:hideMark/>
          </w:tcPr>
          <w:p w14:paraId="4E0896DD"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Spending review</w:t>
            </w:r>
          </w:p>
        </w:tc>
        <w:tc>
          <w:tcPr>
            <w:tcW w:w="1301" w:type="dxa"/>
            <w:tcBorders>
              <w:top w:val="nil"/>
              <w:left w:val="nil"/>
              <w:bottom w:val="single" w:sz="4" w:space="0" w:color="auto"/>
              <w:right w:val="single" w:sz="4" w:space="0" w:color="auto"/>
            </w:tcBorders>
            <w:shd w:val="clear" w:color="000000" w:fill="FFFF00"/>
            <w:noWrap/>
            <w:hideMark/>
          </w:tcPr>
          <w:p w14:paraId="3A908E1A"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56A851E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125B4904"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530CCB1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1EF3EB81"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156C72B2" w14:textId="011911D3"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7C78C2CB"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Strengthened public investment management</w:t>
            </w:r>
          </w:p>
        </w:tc>
        <w:tc>
          <w:tcPr>
            <w:tcW w:w="1301" w:type="dxa"/>
            <w:tcBorders>
              <w:top w:val="nil"/>
              <w:left w:val="nil"/>
              <w:bottom w:val="single" w:sz="4" w:space="0" w:color="auto"/>
              <w:right w:val="single" w:sz="4" w:space="0" w:color="auto"/>
            </w:tcBorders>
            <w:shd w:val="clear" w:color="000000" w:fill="00FF00"/>
            <w:noWrap/>
            <w:hideMark/>
          </w:tcPr>
          <w:p w14:paraId="3FD5E56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675,000</w:t>
            </w:r>
          </w:p>
        </w:tc>
        <w:tc>
          <w:tcPr>
            <w:tcW w:w="1341" w:type="dxa"/>
            <w:tcBorders>
              <w:top w:val="nil"/>
              <w:left w:val="nil"/>
              <w:bottom w:val="single" w:sz="4" w:space="0" w:color="auto"/>
              <w:right w:val="single" w:sz="4" w:space="0" w:color="auto"/>
            </w:tcBorders>
            <w:shd w:val="clear" w:color="000000" w:fill="00FF00"/>
            <w:noWrap/>
            <w:hideMark/>
          </w:tcPr>
          <w:p w14:paraId="0BCF4DDC"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380,000</w:t>
            </w:r>
          </w:p>
        </w:tc>
        <w:tc>
          <w:tcPr>
            <w:tcW w:w="1284" w:type="dxa"/>
            <w:tcBorders>
              <w:top w:val="nil"/>
              <w:left w:val="nil"/>
              <w:bottom w:val="single" w:sz="4" w:space="0" w:color="auto"/>
              <w:right w:val="single" w:sz="4" w:space="0" w:color="auto"/>
            </w:tcBorders>
            <w:shd w:val="clear" w:color="000000" w:fill="00FF00"/>
            <w:noWrap/>
            <w:hideMark/>
          </w:tcPr>
          <w:p w14:paraId="2AEA9A6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295,000</w:t>
            </w:r>
          </w:p>
        </w:tc>
        <w:tc>
          <w:tcPr>
            <w:tcW w:w="1218" w:type="dxa"/>
            <w:tcBorders>
              <w:top w:val="nil"/>
              <w:left w:val="nil"/>
              <w:bottom w:val="single" w:sz="4" w:space="0" w:color="auto"/>
              <w:right w:val="single" w:sz="8" w:space="0" w:color="auto"/>
            </w:tcBorders>
            <w:shd w:val="clear" w:color="000000" w:fill="00FF00"/>
            <w:noWrap/>
            <w:hideMark/>
          </w:tcPr>
          <w:p w14:paraId="05335FE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5790A958"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0E9E76A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7039ABE4"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Efficient coordination and development of public investment management processes</w:t>
            </w:r>
          </w:p>
        </w:tc>
        <w:tc>
          <w:tcPr>
            <w:tcW w:w="1301" w:type="dxa"/>
            <w:tcBorders>
              <w:top w:val="nil"/>
              <w:left w:val="nil"/>
              <w:bottom w:val="single" w:sz="4" w:space="0" w:color="auto"/>
              <w:right w:val="single" w:sz="4" w:space="0" w:color="auto"/>
            </w:tcBorders>
            <w:shd w:val="clear" w:color="000000" w:fill="FFFF00"/>
            <w:noWrap/>
            <w:hideMark/>
          </w:tcPr>
          <w:p w14:paraId="6F844CE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400,000</w:t>
            </w:r>
          </w:p>
        </w:tc>
        <w:tc>
          <w:tcPr>
            <w:tcW w:w="1341" w:type="dxa"/>
            <w:tcBorders>
              <w:top w:val="nil"/>
              <w:left w:val="nil"/>
              <w:bottom w:val="single" w:sz="4" w:space="0" w:color="auto"/>
              <w:right w:val="single" w:sz="4" w:space="0" w:color="auto"/>
            </w:tcBorders>
            <w:shd w:val="clear" w:color="000000" w:fill="FFFF00"/>
            <w:noWrap/>
            <w:hideMark/>
          </w:tcPr>
          <w:p w14:paraId="418621BD"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350,000</w:t>
            </w:r>
          </w:p>
        </w:tc>
        <w:tc>
          <w:tcPr>
            <w:tcW w:w="1284" w:type="dxa"/>
            <w:tcBorders>
              <w:top w:val="nil"/>
              <w:left w:val="nil"/>
              <w:bottom w:val="single" w:sz="4" w:space="0" w:color="auto"/>
              <w:right w:val="single" w:sz="4" w:space="0" w:color="auto"/>
            </w:tcBorders>
            <w:shd w:val="clear" w:color="000000" w:fill="FFFF00"/>
            <w:noWrap/>
            <w:hideMark/>
          </w:tcPr>
          <w:p w14:paraId="51C92CF2"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50,000</w:t>
            </w:r>
          </w:p>
        </w:tc>
        <w:tc>
          <w:tcPr>
            <w:tcW w:w="1218" w:type="dxa"/>
            <w:tcBorders>
              <w:top w:val="nil"/>
              <w:left w:val="nil"/>
              <w:bottom w:val="single" w:sz="4" w:space="0" w:color="auto"/>
              <w:right w:val="single" w:sz="8" w:space="0" w:color="auto"/>
            </w:tcBorders>
            <w:shd w:val="clear" w:color="000000" w:fill="FFFF00"/>
            <w:noWrap/>
            <w:hideMark/>
          </w:tcPr>
          <w:p w14:paraId="2DCE1F3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67FA560B"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63BD746D"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7628632B"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Established single pipeline of appraised capital public investment projects</w:t>
            </w:r>
          </w:p>
        </w:tc>
        <w:tc>
          <w:tcPr>
            <w:tcW w:w="1301" w:type="dxa"/>
            <w:tcBorders>
              <w:top w:val="nil"/>
              <w:left w:val="nil"/>
              <w:bottom w:val="single" w:sz="4" w:space="0" w:color="auto"/>
              <w:right w:val="single" w:sz="4" w:space="0" w:color="auto"/>
            </w:tcBorders>
            <w:shd w:val="clear" w:color="000000" w:fill="FFFF00"/>
            <w:noWrap/>
            <w:hideMark/>
          </w:tcPr>
          <w:p w14:paraId="06716634"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140,000</w:t>
            </w:r>
          </w:p>
        </w:tc>
        <w:tc>
          <w:tcPr>
            <w:tcW w:w="1341" w:type="dxa"/>
            <w:tcBorders>
              <w:top w:val="nil"/>
              <w:left w:val="nil"/>
              <w:bottom w:val="single" w:sz="4" w:space="0" w:color="auto"/>
              <w:right w:val="single" w:sz="4" w:space="0" w:color="auto"/>
            </w:tcBorders>
            <w:shd w:val="clear" w:color="000000" w:fill="FFFF00"/>
            <w:noWrap/>
            <w:hideMark/>
          </w:tcPr>
          <w:p w14:paraId="476A9CDA"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30,000</w:t>
            </w:r>
          </w:p>
        </w:tc>
        <w:tc>
          <w:tcPr>
            <w:tcW w:w="1284" w:type="dxa"/>
            <w:tcBorders>
              <w:top w:val="nil"/>
              <w:left w:val="nil"/>
              <w:bottom w:val="single" w:sz="4" w:space="0" w:color="auto"/>
              <w:right w:val="single" w:sz="4" w:space="0" w:color="auto"/>
            </w:tcBorders>
            <w:shd w:val="clear" w:color="000000" w:fill="FFFF00"/>
            <w:noWrap/>
            <w:hideMark/>
          </w:tcPr>
          <w:p w14:paraId="6010275E"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110,000</w:t>
            </w:r>
          </w:p>
        </w:tc>
        <w:tc>
          <w:tcPr>
            <w:tcW w:w="1218" w:type="dxa"/>
            <w:tcBorders>
              <w:top w:val="nil"/>
              <w:left w:val="nil"/>
              <w:bottom w:val="single" w:sz="4" w:space="0" w:color="auto"/>
              <w:right w:val="single" w:sz="8" w:space="0" w:color="auto"/>
            </w:tcBorders>
            <w:shd w:val="clear" w:color="000000" w:fill="FFFF00"/>
            <w:noWrap/>
            <w:hideMark/>
          </w:tcPr>
          <w:p w14:paraId="66C3289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048494BF"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09C3CE9F"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37DA6F72"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Efficient and effective monitoring of capital investments</w:t>
            </w:r>
          </w:p>
        </w:tc>
        <w:tc>
          <w:tcPr>
            <w:tcW w:w="1301" w:type="dxa"/>
            <w:tcBorders>
              <w:top w:val="nil"/>
              <w:left w:val="nil"/>
              <w:bottom w:val="single" w:sz="4" w:space="0" w:color="auto"/>
              <w:right w:val="single" w:sz="4" w:space="0" w:color="auto"/>
            </w:tcBorders>
            <w:shd w:val="clear" w:color="000000" w:fill="FFFF00"/>
            <w:noWrap/>
            <w:hideMark/>
          </w:tcPr>
          <w:p w14:paraId="51F23F68"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135,000</w:t>
            </w:r>
          </w:p>
        </w:tc>
        <w:tc>
          <w:tcPr>
            <w:tcW w:w="1341" w:type="dxa"/>
            <w:tcBorders>
              <w:top w:val="nil"/>
              <w:left w:val="nil"/>
              <w:bottom w:val="single" w:sz="4" w:space="0" w:color="auto"/>
              <w:right w:val="single" w:sz="4" w:space="0" w:color="auto"/>
            </w:tcBorders>
            <w:shd w:val="clear" w:color="000000" w:fill="FFFF00"/>
            <w:noWrap/>
            <w:hideMark/>
          </w:tcPr>
          <w:p w14:paraId="55774E33"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5CFFD71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135,000</w:t>
            </w:r>
          </w:p>
        </w:tc>
        <w:tc>
          <w:tcPr>
            <w:tcW w:w="1218" w:type="dxa"/>
            <w:tcBorders>
              <w:top w:val="nil"/>
              <w:left w:val="nil"/>
              <w:bottom w:val="single" w:sz="4" w:space="0" w:color="auto"/>
              <w:right w:val="single" w:sz="8" w:space="0" w:color="auto"/>
            </w:tcBorders>
            <w:shd w:val="clear" w:color="000000" w:fill="FFFF00"/>
            <w:noWrap/>
            <w:hideMark/>
          </w:tcPr>
          <w:p w14:paraId="5DEA672A"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6680BF42"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6D4B18BC" w14:textId="39CD777C"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3.</w:t>
            </w:r>
          </w:p>
        </w:tc>
        <w:tc>
          <w:tcPr>
            <w:tcW w:w="2736" w:type="dxa"/>
            <w:tcBorders>
              <w:top w:val="nil"/>
              <w:left w:val="nil"/>
              <w:bottom w:val="single" w:sz="4" w:space="0" w:color="auto"/>
              <w:right w:val="single" w:sz="4" w:space="0" w:color="auto"/>
            </w:tcBorders>
            <w:shd w:val="clear" w:color="000000" w:fill="00FF00"/>
            <w:hideMark/>
          </w:tcPr>
          <w:p w14:paraId="7500CAB9"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 the accounting of budgets and budget users</w:t>
            </w:r>
          </w:p>
        </w:tc>
        <w:tc>
          <w:tcPr>
            <w:tcW w:w="1301" w:type="dxa"/>
            <w:tcBorders>
              <w:top w:val="nil"/>
              <w:left w:val="nil"/>
              <w:bottom w:val="single" w:sz="4" w:space="0" w:color="auto"/>
              <w:right w:val="single" w:sz="4" w:space="0" w:color="auto"/>
            </w:tcBorders>
            <w:shd w:val="clear" w:color="000000" w:fill="00FF00"/>
            <w:noWrap/>
            <w:hideMark/>
          </w:tcPr>
          <w:p w14:paraId="3A6E00BC"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10,000</w:t>
            </w:r>
          </w:p>
        </w:tc>
        <w:tc>
          <w:tcPr>
            <w:tcW w:w="1341" w:type="dxa"/>
            <w:tcBorders>
              <w:top w:val="nil"/>
              <w:left w:val="nil"/>
              <w:bottom w:val="single" w:sz="4" w:space="0" w:color="auto"/>
              <w:right w:val="single" w:sz="4" w:space="0" w:color="auto"/>
            </w:tcBorders>
            <w:shd w:val="clear" w:color="000000" w:fill="00FF00"/>
            <w:noWrap/>
            <w:hideMark/>
          </w:tcPr>
          <w:p w14:paraId="291F0AEF"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26F3361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10,000</w:t>
            </w:r>
          </w:p>
        </w:tc>
        <w:tc>
          <w:tcPr>
            <w:tcW w:w="1218" w:type="dxa"/>
            <w:tcBorders>
              <w:top w:val="nil"/>
              <w:left w:val="nil"/>
              <w:bottom w:val="single" w:sz="4" w:space="0" w:color="auto"/>
              <w:right w:val="single" w:sz="8" w:space="0" w:color="auto"/>
            </w:tcBorders>
            <w:shd w:val="clear" w:color="000000" w:fill="00FF00"/>
            <w:noWrap/>
            <w:hideMark/>
          </w:tcPr>
          <w:p w14:paraId="5B6FAE5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310FF753"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4363DE3"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5FF1116B"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the accounting system by applying new accounting practices</w:t>
            </w:r>
          </w:p>
        </w:tc>
        <w:tc>
          <w:tcPr>
            <w:tcW w:w="1301" w:type="dxa"/>
            <w:tcBorders>
              <w:top w:val="nil"/>
              <w:left w:val="nil"/>
              <w:bottom w:val="single" w:sz="4" w:space="0" w:color="auto"/>
              <w:right w:val="single" w:sz="4" w:space="0" w:color="auto"/>
            </w:tcBorders>
            <w:shd w:val="clear" w:color="000000" w:fill="FFFF00"/>
            <w:noWrap/>
            <w:hideMark/>
          </w:tcPr>
          <w:p w14:paraId="3E361BB3"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10,000</w:t>
            </w:r>
          </w:p>
        </w:tc>
        <w:tc>
          <w:tcPr>
            <w:tcW w:w="1341" w:type="dxa"/>
            <w:tcBorders>
              <w:top w:val="nil"/>
              <w:left w:val="nil"/>
              <w:bottom w:val="single" w:sz="4" w:space="0" w:color="auto"/>
              <w:right w:val="single" w:sz="4" w:space="0" w:color="auto"/>
            </w:tcBorders>
            <w:shd w:val="clear" w:color="000000" w:fill="FFFF00"/>
            <w:noWrap/>
            <w:hideMark/>
          </w:tcPr>
          <w:p w14:paraId="3CD1761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4AAC6F4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10,000</w:t>
            </w:r>
          </w:p>
        </w:tc>
        <w:tc>
          <w:tcPr>
            <w:tcW w:w="1218" w:type="dxa"/>
            <w:tcBorders>
              <w:top w:val="nil"/>
              <w:left w:val="nil"/>
              <w:bottom w:val="single" w:sz="4" w:space="0" w:color="auto"/>
              <w:right w:val="single" w:sz="8" w:space="0" w:color="auto"/>
            </w:tcBorders>
            <w:shd w:val="clear" w:color="000000" w:fill="FFFF00"/>
            <w:noWrap/>
            <w:hideMark/>
          </w:tcPr>
          <w:p w14:paraId="5435DA9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1F094462"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63EC9F01" w14:textId="77777777"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IV.Pillar-Public Procurement</w:t>
            </w:r>
          </w:p>
        </w:tc>
        <w:tc>
          <w:tcPr>
            <w:tcW w:w="1301" w:type="dxa"/>
            <w:tcBorders>
              <w:top w:val="nil"/>
              <w:left w:val="nil"/>
              <w:bottom w:val="single" w:sz="4" w:space="0" w:color="auto"/>
              <w:right w:val="single" w:sz="4" w:space="0" w:color="auto"/>
            </w:tcBorders>
            <w:shd w:val="clear" w:color="000000" w:fill="00B0F0"/>
            <w:noWrap/>
            <w:vAlign w:val="bottom"/>
            <w:hideMark/>
          </w:tcPr>
          <w:p w14:paraId="079CE11A"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1,202,000</w:t>
            </w:r>
          </w:p>
        </w:tc>
        <w:tc>
          <w:tcPr>
            <w:tcW w:w="1341" w:type="dxa"/>
            <w:tcBorders>
              <w:top w:val="nil"/>
              <w:left w:val="nil"/>
              <w:bottom w:val="single" w:sz="4" w:space="0" w:color="auto"/>
              <w:right w:val="single" w:sz="4" w:space="0" w:color="auto"/>
            </w:tcBorders>
            <w:shd w:val="clear" w:color="000000" w:fill="00B0F0"/>
            <w:noWrap/>
            <w:vAlign w:val="bottom"/>
            <w:hideMark/>
          </w:tcPr>
          <w:p w14:paraId="28745FF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84,000</w:t>
            </w:r>
          </w:p>
        </w:tc>
        <w:tc>
          <w:tcPr>
            <w:tcW w:w="1284" w:type="dxa"/>
            <w:tcBorders>
              <w:top w:val="nil"/>
              <w:left w:val="nil"/>
              <w:bottom w:val="single" w:sz="4" w:space="0" w:color="auto"/>
              <w:right w:val="single" w:sz="4" w:space="0" w:color="auto"/>
            </w:tcBorders>
            <w:shd w:val="clear" w:color="000000" w:fill="00B0F0"/>
            <w:noWrap/>
            <w:vAlign w:val="bottom"/>
            <w:hideMark/>
          </w:tcPr>
          <w:p w14:paraId="13923F14"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B0F0"/>
            <w:noWrap/>
            <w:vAlign w:val="bottom"/>
            <w:hideMark/>
          </w:tcPr>
          <w:p w14:paraId="6C8AAC84"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1,118,000</w:t>
            </w:r>
          </w:p>
        </w:tc>
      </w:tr>
      <w:tr w:rsidR="00BF1348" w:rsidRPr="006A78BE" w14:paraId="185FF3F9"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419123F7" w14:textId="1A6DB3DB"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781D95B1"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PUBLIC PROCUREMENT POLICY</w:t>
            </w:r>
          </w:p>
        </w:tc>
        <w:tc>
          <w:tcPr>
            <w:tcW w:w="1301" w:type="dxa"/>
            <w:tcBorders>
              <w:top w:val="nil"/>
              <w:left w:val="nil"/>
              <w:bottom w:val="single" w:sz="4" w:space="0" w:color="auto"/>
              <w:right w:val="single" w:sz="4" w:space="0" w:color="auto"/>
            </w:tcBorders>
            <w:shd w:val="clear" w:color="000000" w:fill="00FF00"/>
            <w:noWrap/>
            <w:hideMark/>
          </w:tcPr>
          <w:p w14:paraId="220494C6"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84,000</w:t>
            </w:r>
          </w:p>
        </w:tc>
        <w:tc>
          <w:tcPr>
            <w:tcW w:w="1341" w:type="dxa"/>
            <w:tcBorders>
              <w:top w:val="nil"/>
              <w:left w:val="nil"/>
              <w:bottom w:val="single" w:sz="4" w:space="0" w:color="auto"/>
              <w:right w:val="single" w:sz="4" w:space="0" w:color="auto"/>
            </w:tcBorders>
            <w:shd w:val="clear" w:color="000000" w:fill="00FF00"/>
            <w:noWrap/>
            <w:hideMark/>
          </w:tcPr>
          <w:p w14:paraId="24CC31F2"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84,000</w:t>
            </w:r>
          </w:p>
        </w:tc>
        <w:tc>
          <w:tcPr>
            <w:tcW w:w="1284" w:type="dxa"/>
            <w:tcBorders>
              <w:top w:val="nil"/>
              <w:left w:val="nil"/>
              <w:bottom w:val="single" w:sz="4" w:space="0" w:color="auto"/>
              <w:right w:val="single" w:sz="4" w:space="0" w:color="auto"/>
            </w:tcBorders>
            <w:shd w:val="clear" w:color="000000" w:fill="00FF00"/>
            <w:noWrap/>
            <w:hideMark/>
          </w:tcPr>
          <w:p w14:paraId="48A4C55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74346051"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42CC7BFE" w14:textId="77777777" w:rsidTr="00FD1416">
        <w:trPr>
          <w:trHeight w:val="6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41F4457"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lastRenderedPageBreak/>
              <w:t>Measure 1.</w:t>
            </w:r>
          </w:p>
        </w:tc>
        <w:tc>
          <w:tcPr>
            <w:tcW w:w="2736" w:type="dxa"/>
            <w:tcBorders>
              <w:top w:val="nil"/>
              <w:left w:val="nil"/>
              <w:bottom w:val="single" w:sz="4" w:space="0" w:color="auto"/>
              <w:right w:val="single" w:sz="4" w:space="0" w:color="auto"/>
            </w:tcBorders>
            <w:shd w:val="clear" w:color="000000" w:fill="FFFF00"/>
            <w:hideMark/>
          </w:tcPr>
          <w:p w14:paraId="2E8D8FE1" w14:textId="3D123DC7" w:rsidR="006A78BE" w:rsidRPr="006A78BE" w:rsidRDefault="00A30E6E" w:rsidP="006A78BE">
            <w:pPr>
              <w:spacing w:after="0" w:line="240" w:lineRule="auto"/>
              <w:jc w:val="both"/>
              <w:rPr>
                <w:rFonts w:eastAsia="Times New Roman"/>
                <w:b/>
                <w:bCs/>
                <w:sz w:val="18"/>
                <w:szCs w:val="18"/>
                <w:lang w:eastAsia="mk-MK"/>
              </w:rPr>
            </w:pPr>
            <w:r w:rsidRPr="009E4E58">
              <w:rPr>
                <w:rFonts w:eastAsia="Times New Roman"/>
                <w:b/>
                <w:bCs/>
                <w:sz w:val="18"/>
                <w:szCs w:val="18"/>
                <w:lang w:eastAsia="mk-MK"/>
              </w:rPr>
              <w:t>Improving the cooperation among the key institutions in the public procurement system</w:t>
            </w:r>
          </w:p>
        </w:tc>
        <w:tc>
          <w:tcPr>
            <w:tcW w:w="1301" w:type="dxa"/>
            <w:tcBorders>
              <w:top w:val="nil"/>
              <w:left w:val="nil"/>
              <w:bottom w:val="single" w:sz="4" w:space="0" w:color="auto"/>
              <w:right w:val="single" w:sz="4" w:space="0" w:color="auto"/>
            </w:tcBorders>
            <w:shd w:val="clear" w:color="000000" w:fill="FFFF00"/>
            <w:noWrap/>
            <w:hideMark/>
          </w:tcPr>
          <w:p w14:paraId="07D56F27" w14:textId="01917985" w:rsidR="006A78BE" w:rsidRPr="00C04C60" w:rsidRDefault="00C04C60" w:rsidP="006A78BE">
            <w:pPr>
              <w:spacing w:after="0" w:line="240" w:lineRule="auto"/>
              <w:jc w:val="center"/>
              <w:rPr>
                <w:rFonts w:eastAsia="Times New Roman"/>
                <w:color w:val="000000"/>
                <w:sz w:val="18"/>
                <w:szCs w:val="18"/>
                <w:lang w:val="en-US" w:eastAsia="mk-MK"/>
              </w:rPr>
            </w:pPr>
            <w:r>
              <w:rPr>
                <w:rFonts w:eastAsia="Times New Roman"/>
                <w:color w:val="000000"/>
                <w:sz w:val="18"/>
                <w:szCs w:val="18"/>
                <w:lang w:val="en-US" w:eastAsia="mk-MK"/>
              </w:rPr>
              <w:t>0</w:t>
            </w:r>
          </w:p>
        </w:tc>
        <w:tc>
          <w:tcPr>
            <w:tcW w:w="1341" w:type="dxa"/>
            <w:tcBorders>
              <w:top w:val="nil"/>
              <w:left w:val="nil"/>
              <w:bottom w:val="single" w:sz="4" w:space="0" w:color="auto"/>
              <w:right w:val="single" w:sz="4" w:space="0" w:color="auto"/>
            </w:tcBorders>
            <w:shd w:val="clear" w:color="000000" w:fill="FFFF00"/>
            <w:noWrap/>
            <w:hideMark/>
          </w:tcPr>
          <w:p w14:paraId="2215D86D" w14:textId="1CD352D9" w:rsidR="006A78BE" w:rsidRPr="00C04C60" w:rsidRDefault="00C04C60" w:rsidP="006A78BE">
            <w:pPr>
              <w:spacing w:after="0" w:line="240" w:lineRule="auto"/>
              <w:jc w:val="center"/>
              <w:rPr>
                <w:rFonts w:eastAsia="Times New Roman"/>
                <w:color w:val="000000"/>
                <w:sz w:val="18"/>
                <w:szCs w:val="18"/>
                <w:lang w:val="en-US" w:eastAsia="mk-MK"/>
              </w:rPr>
            </w:pPr>
            <w:r>
              <w:rPr>
                <w:rFonts w:eastAsia="Times New Roman"/>
                <w:color w:val="000000"/>
                <w:sz w:val="18"/>
                <w:szCs w:val="18"/>
                <w:lang w:val="en-US" w:eastAsia="mk-MK"/>
              </w:rPr>
              <w:t>0</w:t>
            </w:r>
          </w:p>
        </w:tc>
        <w:tc>
          <w:tcPr>
            <w:tcW w:w="1284" w:type="dxa"/>
            <w:tcBorders>
              <w:top w:val="nil"/>
              <w:left w:val="nil"/>
              <w:bottom w:val="single" w:sz="4" w:space="0" w:color="auto"/>
              <w:right w:val="single" w:sz="4" w:space="0" w:color="auto"/>
            </w:tcBorders>
            <w:shd w:val="clear" w:color="000000" w:fill="FFFF00"/>
            <w:noWrap/>
            <w:hideMark/>
          </w:tcPr>
          <w:p w14:paraId="3B1C9C5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53A6D880"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A30E6E" w:rsidRPr="006A78BE" w14:paraId="10451745" w14:textId="77777777" w:rsidTr="000331F8">
        <w:trPr>
          <w:trHeight w:val="300"/>
        </w:trPr>
        <w:tc>
          <w:tcPr>
            <w:tcW w:w="1124" w:type="dxa"/>
            <w:tcBorders>
              <w:top w:val="single" w:sz="4" w:space="0" w:color="auto"/>
              <w:left w:val="single" w:sz="8" w:space="0" w:color="auto"/>
              <w:bottom w:val="single" w:sz="4" w:space="0" w:color="auto"/>
              <w:right w:val="single" w:sz="4" w:space="0" w:color="auto"/>
            </w:tcBorders>
            <w:shd w:val="clear" w:color="auto" w:fill="FFFF00"/>
            <w:noWrap/>
          </w:tcPr>
          <w:p w14:paraId="60495321" w14:textId="09CBD0FF" w:rsidR="00A30E6E" w:rsidRPr="000331F8" w:rsidRDefault="00A30E6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 xml:space="preserve">Measure </w:t>
            </w:r>
            <w:r>
              <w:rPr>
                <w:rFonts w:eastAsia="Times New Roman"/>
                <w:b/>
                <w:bCs/>
                <w:sz w:val="18"/>
                <w:szCs w:val="18"/>
                <w:lang w:eastAsia="mk-MK"/>
              </w:rPr>
              <w:t>2</w:t>
            </w:r>
            <w:r w:rsidRPr="006A78BE">
              <w:rPr>
                <w:rFonts w:eastAsia="Times New Roman"/>
                <w:b/>
                <w:bCs/>
                <w:sz w:val="18"/>
                <w:szCs w:val="18"/>
                <w:lang w:eastAsia="mk-MK"/>
              </w:rPr>
              <w:t>.</w:t>
            </w:r>
          </w:p>
        </w:tc>
        <w:tc>
          <w:tcPr>
            <w:tcW w:w="2736" w:type="dxa"/>
            <w:tcBorders>
              <w:top w:val="nil"/>
              <w:left w:val="nil"/>
              <w:bottom w:val="single" w:sz="4" w:space="0" w:color="auto"/>
              <w:right w:val="single" w:sz="4" w:space="0" w:color="auto"/>
            </w:tcBorders>
            <w:shd w:val="clear" w:color="auto" w:fill="FFFF00"/>
          </w:tcPr>
          <w:p w14:paraId="7806FB97" w14:textId="67FAF882" w:rsidR="00A30E6E" w:rsidRPr="006A78BE" w:rsidRDefault="00A30E6E" w:rsidP="006A78BE">
            <w:pPr>
              <w:spacing w:after="0" w:line="240" w:lineRule="auto"/>
              <w:jc w:val="both"/>
              <w:rPr>
                <w:rFonts w:eastAsia="Times New Roman"/>
                <w:b/>
                <w:bCs/>
                <w:sz w:val="18"/>
                <w:szCs w:val="18"/>
                <w:lang w:eastAsia="mk-MK"/>
              </w:rPr>
            </w:pPr>
            <w:r w:rsidRPr="00282C5F">
              <w:rPr>
                <w:rFonts w:eastAsia="Times New Roman"/>
                <w:b/>
                <w:bCs/>
                <w:sz w:val="18"/>
                <w:szCs w:val="18"/>
                <w:lang w:eastAsia="mk-MK"/>
              </w:rPr>
              <w:t>Combating corruption in public procurement</w:t>
            </w:r>
          </w:p>
        </w:tc>
        <w:tc>
          <w:tcPr>
            <w:tcW w:w="1301" w:type="dxa"/>
            <w:tcBorders>
              <w:top w:val="nil"/>
              <w:left w:val="nil"/>
              <w:bottom w:val="single" w:sz="4" w:space="0" w:color="auto"/>
              <w:right w:val="single" w:sz="4" w:space="0" w:color="auto"/>
            </w:tcBorders>
            <w:shd w:val="clear" w:color="auto" w:fill="FFFF00"/>
            <w:noWrap/>
          </w:tcPr>
          <w:p w14:paraId="3EEED18F" w14:textId="0D415B5F"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341" w:type="dxa"/>
            <w:tcBorders>
              <w:top w:val="nil"/>
              <w:left w:val="nil"/>
              <w:bottom w:val="single" w:sz="4" w:space="0" w:color="auto"/>
              <w:right w:val="single" w:sz="4" w:space="0" w:color="auto"/>
            </w:tcBorders>
            <w:shd w:val="clear" w:color="auto" w:fill="FFFF00"/>
            <w:noWrap/>
          </w:tcPr>
          <w:p w14:paraId="6AEA1E9B" w14:textId="2B498709"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284" w:type="dxa"/>
            <w:tcBorders>
              <w:top w:val="nil"/>
              <w:left w:val="nil"/>
              <w:bottom w:val="single" w:sz="4" w:space="0" w:color="auto"/>
              <w:right w:val="single" w:sz="4" w:space="0" w:color="auto"/>
            </w:tcBorders>
            <w:shd w:val="clear" w:color="auto" w:fill="FFFF00"/>
            <w:noWrap/>
          </w:tcPr>
          <w:p w14:paraId="32A52156" w14:textId="3DBCD08F"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218" w:type="dxa"/>
            <w:tcBorders>
              <w:top w:val="nil"/>
              <w:left w:val="nil"/>
              <w:bottom w:val="single" w:sz="4" w:space="0" w:color="auto"/>
              <w:right w:val="single" w:sz="8" w:space="0" w:color="auto"/>
            </w:tcBorders>
            <w:shd w:val="clear" w:color="auto" w:fill="FFFF00"/>
            <w:noWrap/>
          </w:tcPr>
          <w:p w14:paraId="03FCB1FE" w14:textId="49EBC05F"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r>
      <w:tr w:rsidR="00A30E6E" w:rsidRPr="006A78BE" w14:paraId="42FC401D" w14:textId="77777777" w:rsidTr="000331F8">
        <w:trPr>
          <w:trHeight w:val="300"/>
        </w:trPr>
        <w:tc>
          <w:tcPr>
            <w:tcW w:w="1124" w:type="dxa"/>
            <w:tcBorders>
              <w:top w:val="single" w:sz="4" w:space="0" w:color="auto"/>
              <w:left w:val="single" w:sz="8" w:space="0" w:color="auto"/>
              <w:bottom w:val="single" w:sz="4" w:space="0" w:color="auto"/>
              <w:right w:val="single" w:sz="4" w:space="0" w:color="auto"/>
            </w:tcBorders>
            <w:shd w:val="clear" w:color="auto" w:fill="FFFF00"/>
            <w:noWrap/>
          </w:tcPr>
          <w:p w14:paraId="7DCE5D70" w14:textId="5D084FFD" w:rsidR="00A30E6E" w:rsidRPr="000331F8" w:rsidRDefault="00A30E6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 xml:space="preserve">Measure </w:t>
            </w:r>
            <w:r>
              <w:rPr>
                <w:rFonts w:eastAsia="Times New Roman"/>
                <w:b/>
                <w:bCs/>
                <w:sz w:val="18"/>
                <w:szCs w:val="18"/>
                <w:lang w:eastAsia="mk-MK"/>
              </w:rPr>
              <w:t>3</w:t>
            </w:r>
            <w:r w:rsidRPr="006A78BE">
              <w:rPr>
                <w:rFonts w:eastAsia="Times New Roman"/>
                <w:b/>
                <w:bCs/>
                <w:sz w:val="18"/>
                <w:szCs w:val="18"/>
                <w:lang w:eastAsia="mk-MK"/>
              </w:rPr>
              <w:t>.</w:t>
            </w:r>
          </w:p>
        </w:tc>
        <w:tc>
          <w:tcPr>
            <w:tcW w:w="2736" w:type="dxa"/>
            <w:tcBorders>
              <w:top w:val="nil"/>
              <w:left w:val="nil"/>
              <w:bottom w:val="single" w:sz="4" w:space="0" w:color="auto"/>
              <w:right w:val="single" w:sz="4" w:space="0" w:color="auto"/>
            </w:tcBorders>
            <w:shd w:val="clear" w:color="auto" w:fill="FFFF00"/>
          </w:tcPr>
          <w:p w14:paraId="70E3824D" w14:textId="63184F69" w:rsidR="00A30E6E" w:rsidRPr="006A78BE" w:rsidRDefault="00A30E6E" w:rsidP="006A78BE">
            <w:pPr>
              <w:spacing w:after="0" w:line="240" w:lineRule="auto"/>
              <w:jc w:val="both"/>
              <w:rPr>
                <w:rFonts w:eastAsia="Times New Roman"/>
                <w:b/>
                <w:bCs/>
                <w:sz w:val="18"/>
                <w:szCs w:val="18"/>
                <w:lang w:eastAsia="mk-MK"/>
              </w:rPr>
            </w:pPr>
            <w:r w:rsidRPr="00282C5F">
              <w:rPr>
                <w:rFonts w:eastAsia="Times New Roman"/>
                <w:b/>
                <w:bCs/>
                <w:sz w:val="18"/>
                <w:szCs w:val="18"/>
                <w:lang w:eastAsia="mk-MK"/>
              </w:rPr>
              <w:t>Introducing new system for education within PPB</w:t>
            </w:r>
          </w:p>
        </w:tc>
        <w:tc>
          <w:tcPr>
            <w:tcW w:w="1301" w:type="dxa"/>
            <w:tcBorders>
              <w:top w:val="nil"/>
              <w:left w:val="nil"/>
              <w:bottom w:val="single" w:sz="4" w:space="0" w:color="auto"/>
              <w:right w:val="single" w:sz="4" w:space="0" w:color="auto"/>
            </w:tcBorders>
            <w:shd w:val="clear" w:color="auto" w:fill="FFFF00"/>
            <w:noWrap/>
          </w:tcPr>
          <w:p w14:paraId="630AC479" w14:textId="3190D951"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341" w:type="dxa"/>
            <w:tcBorders>
              <w:top w:val="nil"/>
              <w:left w:val="nil"/>
              <w:bottom w:val="single" w:sz="4" w:space="0" w:color="auto"/>
              <w:right w:val="single" w:sz="4" w:space="0" w:color="auto"/>
            </w:tcBorders>
            <w:shd w:val="clear" w:color="auto" w:fill="FFFF00"/>
            <w:noWrap/>
          </w:tcPr>
          <w:p w14:paraId="2F204394" w14:textId="789BC637"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284" w:type="dxa"/>
            <w:tcBorders>
              <w:top w:val="nil"/>
              <w:left w:val="nil"/>
              <w:bottom w:val="single" w:sz="4" w:space="0" w:color="auto"/>
              <w:right w:val="single" w:sz="4" w:space="0" w:color="auto"/>
            </w:tcBorders>
            <w:shd w:val="clear" w:color="auto" w:fill="FFFF00"/>
            <w:noWrap/>
          </w:tcPr>
          <w:p w14:paraId="03CD54A5" w14:textId="4D037DA8"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c>
          <w:tcPr>
            <w:tcW w:w="1218" w:type="dxa"/>
            <w:tcBorders>
              <w:top w:val="nil"/>
              <w:left w:val="nil"/>
              <w:bottom w:val="single" w:sz="4" w:space="0" w:color="auto"/>
              <w:right w:val="single" w:sz="8" w:space="0" w:color="auto"/>
            </w:tcBorders>
            <w:shd w:val="clear" w:color="auto" w:fill="FFFF00"/>
            <w:noWrap/>
          </w:tcPr>
          <w:p w14:paraId="7734E32D" w14:textId="30591085" w:rsidR="00A30E6E" w:rsidRPr="00C04C60" w:rsidRDefault="00C04C60" w:rsidP="006A78BE">
            <w:pPr>
              <w:spacing w:after="0" w:line="240" w:lineRule="auto"/>
              <w:jc w:val="center"/>
              <w:rPr>
                <w:rFonts w:eastAsia="Times New Roman"/>
                <w:b/>
                <w:bCs/>
                <w:sz w:val="18"/>
                <w:szCs w:val="18"/>
                <w:lang w:val="en-US" w:eastAsia="mk-MK"/>
              </w:rPr>
            </w:pPr>
            <w:r>
              <w:rPr>
                <w:rFonts w:eastAsia="Times New Roman"/>
                <w:b/>
                <w:bCs/>
                <w:sz w:val="18"/>
                <w:szCs w:val="18"/>
                <w:lang w:val="en-US" w:eastAsia="mk-MK"/>
              </w:rPr>
              <w:t>0</w:t>
            </w:r>
          </w:p>
        </w:tc>
      </w:tr>
      <w:tr w:rsidR="00C04C60" w:rsidRPr="006A78BE" w14:paraId="15BFBD83" w14:textId="77777777" w:rsidTr="000331F8">
        <w:trPr>
          <w:trHeight w:val="300"/>
        </w:trPr>
        <w:tc>
          <w:tcPr>
            <w:tcW w:w="1124" w:type="dxa"/>
            <w:tcBorders>
              <w:top w:val="single" w:sz="4" w:space="0" w:color="auto"/>
              <w:left w:val="single" w:sz="8" w:space="0" w:color="auto"/>
              <w:bottom w:val="single" w:sz="4" w:space="0" w:color="auto"/>
              <w:right w:val="single" w:sz="4" w:space="0" w:color="auto"/>
            </w:tcBorders>
            <w:shd w:val="clear" w:color="auto" w:fill="FFFF00"/>
            <w:noWrap/>
          </w:tcPr>
          <w:p w14:paraId="37623F8E" w14:textId="24F8FC68" w:rsidR="00C04C60" w:rsidRPr="000331F8" w:rsidRDefault="00C04C60" w:rsidP="00C04C60">
            <w:pPr>
              <w:spacing w:after="0" w:line="240" w:lineRule="auto"/>
              <w:jc w:val="center"/>
              <w:rPr>
                <w:rFonts w:eastAsia="Times New Roman"/>
                <w:b/>
                <w:bCs/>
                <w:sz w:val="18"/>
                <w:szCs w:val="18"/>
                <w:lang w:eastAsia="mk-MK"/>
              </w:rPr>
            </w:pPr>
            <w:r w:rsidRPr="006A78BE">
              <w:rPr>
                <w:rFonts w:eastAsia="Times New Roman"/>
                <w:b/>
                <w:bCs/>
                <w:sz w:val="18"/>
                <w:szCs w:val="18"/>
                <w:lang w:eastAsia="mk-MK"/>
              </w:rPr>
              <w:t xml:space="preserve">Measure </w:t>
            </w:r>
            <w:r>
              <w:rPr>
                <w:rFonts w:eastAsia="Times New Roman"/>
                <w:b/>
                <w:bCs/>
                <w:sz w:val="18"/>
                <w:szCs w:val="18"/>
                <w:lang w:eastAsia="mk-MK"/>
              </w:rPr>
              <w:t>4</w:t>
            </w:r>
            <w:r w:rsidRPr="006A78BE">
              <w:rPr>
                <w:rFonts w:eastAsia="Times New Roman"/>
                <w:b/>
                <w:bCs/>
                <w:sz w:val="18"/>
                <w:szCs w:val="18"/>
                <w:lang w:eastAsia="mk-MK"/>
              </w:rPr>
              <w:t>.</w:t>
            </w:r>
          </w:p>
        </w:tc>
        <w:tc>
          <w:tcPr>
            <w:tcW w:w="2736" w:type="dxa"/>
            <w:tcBorders>
              <w:top w:val="nil"/>
              <w:left w:val="nil"/>
              <w:bottom w:val="single" w:sz="4" w:space="0" w:color="auto"/>
              <w:right w:val="single" w:sz="4" w:space="0" w:color="auto"/>
            </w:tcBorders>
            <w:shd w:val="clear" w:color="auto" w:fill="FFFF00"/>
          </w:tcPr>
          <w:p w14:paraId="4F2CED6C" w14:textId="3CE0DA7E" w:rsidR="00C04C60" w:rsidRPr="006A78BE" w:rsidRDefault="00C04C60" w:rsidP="00C04C60">
            <w:pPr>
              <w:spacing w:after="0" w:line="240" w:lineRule="auto"/>
              <w:jc w:val="both"/>
              <w:rPr>
                <w:rFonts w:eastAsia="Times New Roman"/>
                <w:b/>
                <w:bCs/>
                <w:sz w:val="18"/>
                <w:szCs w:val="18"/>
                <w:lang w:eastAsia="mk-MK"/>
              </w:rPr>
            </w:pPr>
            <w:r w:rsidRPr="00282C5F">
              <w:rPr>
                <w:rFonts w:eastAsia="Times New Roman"/>
                <w:b/>
                <w:bCs/>
                <w:sz w:val="18"/>
                <w:szCs w:val="18"/>
                <w:lang w:eastAsia="mk-MK"/>
              </w:rPr>
              <w:t>Increasing the administrative capacities of the SAC</w:t>
            </w:r>
          </w:p>
        </w:tc>
        <w:tc>
          <w:tcPr>
            <w:tcW w:w="1301" w:type="dxa"/>
            <w:tcBorders>
              <w:top w:val="nil"/>
              <w:left w:val="nil"/>
              <w:bottom w:val="single" w:sz="4" w:space="0" w:color="auto"/>
              <w:right w:val="single" w:sz="4" w:space="0" w:color="auto"/>
            </w:tcBorders>
            <w:shd w:val="clear" w:color="auto" w:fill="FFFF00"/>
            <w:noWrap/>
          </w:tcPr>
          <w:p w14:paraId="099D22FA" w14:textId="1FA8AB94" w:rsidR="00C04C60" w:rsidRPr="00FD1416" w:rsidRDefault="00C04C60" w:rsidP="00C04C60">
            <w:pPr>
              <w:spacing w:after="0" w:line="240" w:lineRule="auto"/>
              <w:jc w:val="center"/>
              <w:rPr>
                <w:rFonts w:eastAsia="Times New Roman"/>
                <w:b/>
                <w:bCs/>
                <w:sz w:val="18"/>
                <w:szCs w:val="18"/>
                <w:lang w:eastAsia="mk-MK"/>
              </w:rPr>
            </w:pPr>
            <w:r w:rsidRPr="00FD1416">
              <w:rPr>
                <w:rFonts w:eastAsia="Times New Roman"/>
                <w:color w:val="000000"/>
                <w:sz w:val="18"/>
                <w:szCs w:val="18"/>
                <w:lang w:eastAsia="mk-MK"/>
              </w:rPr>
              <w:t>84,000</w:t>
            </w:r>
          </w:p>
        </w:tc>
        <w:tc>
          <w:tcPr>
            <w:tcW w:w="1341" w:type="dxa"/>
            <w:tcBorders>
              <w:top w:val="nil"/>
              <w:left w:val="nil"/>
              <w:bottom w:val="single" w:sz="4" w:space="0" w:color="auto"/>
              <w:right w:val="single" w:sz="4" w:space="0" w:color="auto"/>
            </w:tcBorders>
            <w:shd w:val="clear" w:color="auto" w:fill="FFFF00"/>
            <w:noWrap/>
          </w:tcPr>
          <w:p w14:paraId="6C538305" w14:textId="24CB1FCA" w:rsidR="00C04C60" w:rsidRPr="00FD1416" w:rsidRDefault="00C04C60" w:rsidP="00C04C60">
            <w:pPr>
              <w:spacing w:after="0" w:line="240" w:lineRule="auto"/>
              <w:jc w:val="center"/>
              <w:rPr>
                <w:rFonts w:eastAsia="Times New Roman"/>
                <w:b/>
                <w:bCs/>
                <w:sz w:val="18"/>
                <w:szCs w:val="18"/>
                <w:lang w:eastAsia="mk-MK"/>
              </w:rPr>
            </w:pPr>
            <w:r w:rsidRPr="00FD1416">
              <w:rPr>
                <w:rFonts w:eastAsia="Times New Roman"/>
                <w:color w:val="000000"/>
                <w:sz w:val="18"/>
                <w:szCs w:val="18"/>
                <w:lang w:eastAsia="mk-MK"/>
              </w:rPr>
              <w:t>84,000</w:t>
            </w:r>
          </w:p>
        </w:tc>
        <w:tc>
          <w:tcPr>
            <w:tcW w:w="1284" w:type="dxa"/>
            <w:tcBorders>
              <w:top w:val="nil"/>
              <w:left w:val="nil"/>
              <w:bottom w:val="single" w:sz="4" w:space="0" w:color="auto"/>
              <w:right w:val="single" w:sz="4" w:space="0" w:color="auto"/>
            </w:tcBorders>
            <w:shd w:val="clear" w:color="auto" w:fill="FFFF00"/>
            <w:noWrap/>
          </w:tcPr>
          <w:p w14:paraId="5AD64B7A" w14:textId="1F8F45C0" w:rsidR="00C04C60" w:rsidRPr="00FD1416" w:rsidRDefault="00C04C60" w:rsidP="00C04C60">
            <w:pPr>
              <w:spacing w:after="0" w:line="240" w:lineRule="auto"/>
              <w:jc w:val="center"/>
              <w:rPr>
                <w:rFonts w:eastAsia="Times New Roman"/>
                <w:b/>
                <w:bCs/>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auto" w:fill="FFFF00"/>
            <w:noWrap/>
          </w:tcPr>
          <w:p w14:paraId="6A1A807A" w14:textId="5673A786" w:rsidR="00C04C60" w:rsidRPr="00FD1416" w:rsidRDefault="00C04C60" w:rsidP="00C04C60">
            <w:pPr>
              <w:spacing w:after="0" w:line="240" w:lineRule="auto"/>
              <w:jc w:val="center"/>
              <w:rPr>
                <w:rFonts w:eastAsia="Times New Roman"/>
                <w:b/>
                <w:bCs/>
                <w:sz w:val="18"/>
                <w:szCs w:val="18"/>
                <w:lang w:eastAsia="mk-MK"/>
              </w:rPr>
            </w:pPr>
            <w:r w:rsidRPr="00FD1416">
              <w:rPr>
                <w:rFonts w:eastAsia="Times New Roman"/>
                <w:color w:val="000000"/>
                <w:sz w:val="18"/>
                <w:szCs w:val="18"/>
                <w:lang w:eastAsia="mk-MK"/>
              </w:rPr>
              <w:t>0</w:t>
            </w:r>
          </w:p>
        </w:tc>
      </w:tr>
      <w:tr w:rsidR="00BF1348" w:rsidRPr="006A78BE" w14:paraId="09446002"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39BDA2C7" w14:textId="080556C8"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3B1A8E86"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Public private partnership (PPP)</w:t>
            </w:r>
          </w:p>
        </w:tc>
        <w:tc>
          <w:tcPr>
            <w:tcW w:w="1301" w:type="dxa"/>
            <w:tcBorders>
              <w:top w:val="nil"/>
              <w:left w:val="nil"/>
              <w:bottom w:val="single" w:sz="4" w:space="0" w:color="auto"/>
              <w:right w:val="single" w:sz="4" w:space="0" w:color="auto"/>
            </w:tcBorders>
            <w:shd w:val="clear" w:color="000000" w:fill="00FF00"/>
            <w:noWrap/>
            <w:hideMark/>
          </w:tcPr>
          <w:p w14:paraId="04DA898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1,118,000</w:t>
            </w:r>
          </w:p>
        </w:tc>
        <w:tc>
          <w:tcPr>
            <w:tcW w:w="1341" w:type="dxa"/>
            <w:tcBorders>
              <w:top w:val="nil"/>
              <w:left w:val="nil"/>
              <w:bottom w:val="single" w:sz="4" w:space="0" w:color="auto"/>
              <w:right w:val="single" w:sz="4" w:space="0" w:color="auto"/>
            </w:tcBorders>
            <w:shd w:val="clear" w:color="000000" w:fill="00FF00"/>
            <w:noWrap/>
            <w:hideMark/>
          </w:tcPr>
          <w:p w14:paraId="4EDB4B5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4DE580F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7891B7C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1,118,000</w:t>
            </w:r>
          </w:p>
        </w:tc>
      </w:tr>
      <w:tr w:rsidR="00BF1348" w:rsidRPr="006A78BE" w14:paraId="2940F216"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F23D304"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3C631353"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Establishment of the Unique Electronic Public Private Partnership System (UEPPP)</w:t>
            </w:r>
          </w:p>
        </w:tc>
        <w:tc>
          <w:tcPr>
            <w:tcW w:w="1301" w:type="dxa"/>
            <w:tcBorders>
              <w:top w:val="nil"/>
              <w:left w:val="nil"/>
              <w:bottom w:val="single" w:sz="4" w:space="0" w:color="auto"/>
              <w:right w:val="single" w:sz="4" w:space="0" w:color="auto"/>
            </w:tcBorders>
            <w:shd w:val="clear" w:color="000000" w:fill="FFFF00"/>
            <w:noWrap/>
            <w:hideMark/>
          </w:tcPr>
          <w:p w14:paraId="3FE92CF2"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1,000,000</w:t>
            </w:r>
          </w:p>
        </w:tc>
        <w:tc>
          <w:tcPr>
            <w:tcW w:w="1341" w:type="dxa"/>
            <w:tcBorders>
              <w:top w:val="nil"/>
              <w:left w:val="nil"/>
              <w:bottom w:val="single" w:sz="4" w:space="0" w:color="auto"/>
              <w:right w:val="single" w:sz="4" w:space="0" w:color="auto"/>
            </w:tcBorders>
            <w:shd w:val="clear" w:color="000000" w:fill="FFFF00"/>
            <w:noWrap/>
            <w:hideMark/>
          </w:tcPr>
          <w:p w14:paraId="6F6E18E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6DBF343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5B42B5AF"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1,000,000</w:t>
            </w:r>
          </w:p>
        </w:tc>
      </w:tr>
      <w:tr w:rsidR="00BF1348" w:rsidRPr="006A78BE" w14:paraId="775437B0"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B9404F8"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388F62CE"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Completion of the legal and regulatory framework in the field of public-private partnership</w:t>
            </w:r>
          </w:p>
        </w:tc>
        <w:tc>
          <w:tcPr>
            <w:tcW w:w="1301" w:type="dxa"/>
            <w:tcBorders>
              <w:top w:val="nil"/>
              <w:left w:val="nil"/>
              <w:bottom w:val="single" w:sz="4" w:space="0" w:color="auto"/>
              <w:right w:val="single" w:sz="4" w:space="0" w:color="auto"/>
            </w:tcBorders>
            <w:shd w:val="clear" w:color="000000" w:fill="FFFF00"/>
            <w:noWrap/>
            <w:hideMark/>
          </w:tcPr>
          <w:p w14:paraId="6FCE41F7"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22,000</w:t>
            </w:r>
          </w:p>
        </w:tc>
        <w:tc>
          <w:tcPr>
            <w:tcW w:w="1341" w:type="dxa"/>
            <w:tcBorders>
              <w:top w:val="nil"/>
              <w:left w:val="nil"/>
              <w:bottom w:val="single" w:sz="4" w:space="0" w:color="auto"/>
              <w:right w:val="single" w:sz="4" w:space="0" w:color="auto"/>
            </w:tcBorders>
            <w:shd w:val="clear" w:color="000000" w:fill="FFFF00"/>
            <w:noWrap/>
            <w:hideMark/>
          </w:tcPr>
          <w:p w14:paraId="56C5855C"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7299F229"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16EC03A3"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22,000</w:t>
            </w:r>
          </w:p>
        </w:tc>
      </w:tr>
      <w:tr w:rsidR="00BF1348" w:rsidRPr="006A78BE" w14:paraId="69F5BB1B"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4E952F8"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3620F3FF"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and developing the capacities of the Ministry of Economy in the field of public-private partnership</w:t>
            </w:r>
          </w:p>
        </w:tc>
        <w:tc>
          <w:tcPr>
            <w:tcW w:w="1301" w:type="dxa"/>
            <w:tcBorders>
              <w:top w:val="nil"/>
              <w:left w:val="nil"/>
              <w:bottom w:val="single" w:sz="4" w:space="0" w:color="auto"/>
              <w:right w:val="single" w:sz="4" w:space="0" w:color="auto"/>
            </w:tcBorders>
            <w:shd w:val="clear" w:color="000000" w:fill="FFFF00"/>
            <w:noWrap/>
            <w:hideMark/>
          </w:tcPr>
          <w:p w14:paraId="293D59E0"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96,000</w:t>
            </w:r>
          </w:p>
        </w:tc>
        <w:tc>
          <w:tcPr>
            <w:tcW w:w="1341" w:type="dxa"/>
            <w:tcBorders>
              <w:top w:val="nil"/>
              <w:left w:val="nil"/>
              <w:bottom w:val="single" w:sz="4" w:space="0" w:color="auto"/>
              <w:right w:val="single" w:sz="4" w:space="0" w:color="auto"/>
            </w:tcBorders>
            <w:shd w:val="clear" w:color="000000" w:fill="FFFF00"/>
            <w:noWrap/>
            <w:hideMark/>
          </w:tcPr>
          <w:p w14:paraId="31ADB0D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6F668A29"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4BCF4779"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96,000</w:t>
            </w:r>
          </w:p>
        </w:tc>
      </w:tr>
      <w:tr w:rsidR="00BF1348" w:rsidRPr="006A78BE" w14:paraId="0DB01A13"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1317E5F6" w14:textId="36F72EE1"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V.</w:t>
            </w:r>
            <w:r w:rsidR="00432D15" w:rsidRPr="006A78BE">
              <w:rPr>
                <w:rFonts w:eastAsia="Times New Roman"/>
                <w:b/>
                <w:bCs/>
                <w:lang w:eastAsia="mk-MK"/>
              </w:rPr>
              <w:t xml:space="preserve"> Pillar</w:t>
            </w:r>
            <w:r w:rsidR="00432D15">
              <w:rPr>
                <w:rFonts w:eastAsia="Times New Roman"/>
                <w:b/>
                <w:bCs/>
                <w:lang w:eastAsia="mk-MK"/>
              </w:rPr>
              <w:t xml:space="preserve"> </w:t>
            </w:r>
            <w:r w:rsidR="00A11215">
              <w:rPr>
                <w:rFonts w:eastAsia="Times New Roman"/>
                <w:b/>
                <w:bCs/>
                <w:lang w:eastAsia="mk-MK"/>
              </w:rPr>
              <w:t>–</w:t>
            </w:r>
            <w:r w:rsidR="00A11215" w:rsidRPr="00A11215">
              <w:rPr>
                <w:rFonts w:eastAsia="Times New Roman"/>
                <w:b/>
                <w:bCs/>
                <w:lang w:eastAsia="mk-MK"/>
              </w:rPr>
              <w:t xml:space="preserve"> Public finance digitalisation and </w:t>
            </w:r>
            <w:r w:rsidR="001111E8" w:rsidRPr="001111E8">
              <w:rPr>
                <w:rFonts w:eastAsia="Times New Roman"/>
                <w:b/>
                <w:bCs/>
                <w:lang w:eastAsia="mk-MK"/>
              </w:rPr>
              <w:t>continuоus</w:t>
            </w:r>
            <w:r w:rsidR="00A11215" w:rsidRPr="00A11215">
              <w:rPr>
                <w:rFonts w:eastAsia="Times New Roman"/>
                <w:b/>
                <w:bCs/>
                <w:lang w:eastAsia="mk-MK"/>
              </w:rPr>
              <w:t> learning</w:t>
            </w:r>
          </w:p>
        </w:tc>
        <w:tc>
          <w:tcPr>
            <w:tcW w:w="1301" w:type="dxa"/>
            <w:tcBorders>
              <w:top w:val="nil"/>
              <w:left w:val="nil"/>
              <w:bottom w:val="single" w:sz="4" w:space="0" w:color="auto"/>
              <w:right w:val="single" w:sz="4" w:space="0" w:color="auto"/>
            </w:tcBorders>
            <w:shd w:val="clear" w:color="000000" w:fill="00B0F0"/>
            <w:noWrap/>
            <w:vAlign w:val="bottom"/>
            <w:hideMark/>
          </w:tcPr>
          <w:p w14:paraId="16DDB81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85,000</w:t>
            </w:r>
          </w:p>
        </w:tc>
        <w:tc>
          <w:tcPr>
            <w:tcW w:w="1341" w:type="dxa"/>
            <w:tcBorders>
              <w:top w:val="nil"/>
              <w:left w:val="nil"/>
              <w:bottom w:val="single" w:sz="4" w:space="0" w:color="auto"/>
              <w:right w:val="single" w:sz="4" w:space="0" w:color="auto"/>
            </w:tcBorders>
            <w:shd w:val="clear" w:color="000000" w:fill="00B0F0"/>
            <w:noWrap/>
            <w:vAlign w:val="bottom"/>
            <w:hideMark/>
          </w:tcPr>
          <w:p w14:paraId="52EC9DF4"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B0F0"/>
            <w:noWrap/>
            <w:vAlign w:val="bottom"/>
            <w:hideMark/>
          </w:tcPr>
          <w:p w14:paraId="5A7471A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85,000</w:t>
            </w:r>
          </w:p>
        </w:tc>
        <w:tc>
          <w:tcPr>
            <w:tcW w:w="1218" w:type="dxa"/>
            <w:tcBorders>
              <w:top w:val="nil"/>
              <w:left w:val="nil"/>
              <w:bottom w:val="single" w:sz="4" w:space="0" w:color="auto"/>
              <w:right w:val="single" w:sz="8" w:space="0" w:color="auto"/>
            </w:tcBorders>
            <w:shd w:val="clear" w:color="000000" w:fill="00B0F0"/>
            <w:noWrap/>
            <w:vAlign w:val="bottom"/>
            <w:hideMark/>
          </w:tcPr>
          <w:p w14:paraId="403A0A76"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16799454"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37E51023" w14:textId="4FDED959"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69A8E242" w14:textId="334508FE"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Implementation of an Integrated Financial Management Information System (IFMIS)</w:t>
            </w:r>
          </w:p>
        </w:tc>
        <w:tc>
          <w:tcPr>
            <w:tcW w:w="1301" w:type="dxa"/>
            <w:tcBorders>
              <w:top w:val="nil"/>
              <w:left w:val="nil"/>
              <w:bottom w:val="single" w:sz="4" w:space="0" w:color="auto"/>
              <w:right w:val="single" w:sz="4" w:space="0" w:color="auto"/>
            </w:tcBorders>
            <w:shd w:val="clear" w:color="000000" w:fill="00FF00"/>
            <w:noWrap/>
            <w:hideMark/>
          </w:tcPr>
          <w:p w14:paraId="0EFCEC2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341" w:type="dxa"/>
            <w:tcBorders>
              <w:top w:val="nil"/>
              <w:left w:val="nil"/>
              <w:bottom w:val="single" w:sz="4" w:space="0" w:color="auto"/>
              <w:right w:val="single" w:sz="4" w:space="0" w:color="auto"/>
            </w:tcBorders>
            <w:shd w:val="clear" w:color="000000" w:fill="00FF00"/>
            <w:noWrap/>
            <w:hideMark/>
          </w:tcPr>
          <w:p w14:paraId="17FB3B8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1C28655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54C4A1A2"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20F92052" w14:textId="77777777" w:rsidTr="00FD1416">
        <w:trPr>
          <w:trHeight w:val="615"/>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513C1123"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086A5584" w14:textId="476C7D56"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Development of IFMIS as an integrated centralized web-based system</w:t>
            </w:r>
          </w:p>
        </w:tc>
        <w:tc>
          <w:tcPr>
            <w:tcW w:w="1301" w:type="dxa"/>
            <w:tcBorders>
              <w:top w:val="nil"/>
              <w:left w:val="nil"/>
              <w:bottom w:val="single" w:sz="4" w:space="0" w:color="auto"/>
              <w:right w:val="single" w:sz="4" w:space="0" w:color="auto"/>
            </w:tcBorders>
            <w:shd w:val="clear" w:color="000000" w:fill="FFFF00"/>
            <w:noWrap/>
            <w:hideMark/>
          </w:tcPr>
          <w:p w14:paraId="725F6EB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52271A14"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412042B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0DAC2AF8"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08BA939E" w14:textId="77777777" w:rsidTr="00FD1416">
        <w:trPr>
          <w:trHeight w:val="555"/>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059B46C"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5C6B4369"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Expansion of MoF ICT infrastructure (in line with whole-of-government approach) to host new IFMIS</w:t>
            </w:r>
          </w:p>
        </w:tc>
        <w:tc>
          <w:tcPr>
            <w:tcW w:w="1301" w:type="dxa"/>
            <w:tcBorders>
              <w:top w:val="nil"/>
              <w:left w:val="nil"/>
              <w:bottom w:val="single" w:sz="4" w:space="0" w:color="auto"/>
              <w:right w:val="single" w:sz="4" w:space="0" w:color="auto"/>
            </w:tcBorders>
            <w:shd w:val="clear" w:color="000000" w:fill="FFFF00"/>
            <w:noWrap/>
            <w:hideMark/>
          </w:tcPr>
          <w:p w14:paraId="1A060B7B"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74F33C9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3268043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5B773F0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29549BEF" w14:textId="77777777" w:rsidTr="00FD1416">
        <w:trPr>
          <w:trHeight w:val="705"/>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8BDC938"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23DD6BB9" w14:textId="19A0FBC8"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Capacity strengthening training and change management to support OBL reforms and IFMIS operations</w:t>
            </w:r>
          </w:p>
        </w:tc>
        <w:tc>
          <w:tcPr>
            <w:tcW w:w="1301" w:type="dxa"/>
            <w:tcBorders>
              <w:top w:val="nil"/>
              <w:left w:val="nil"/>
              <w:bottom w:val="single" w:sz="4" w:space="0" w:color="auto"/>
              <w:right w:val="single" w:sz="4" w:space="0" w:color="auto"/>
            </w:tcBorders>
            <w:shd w:val="clear" w:color="000000" w:fill="FFFF00"/>
            <w:noWrap/>
            <w:hideMark/>
          </w:tcPr>
          <w:p w14:paraId="007A4DC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341" w:type="dxa"/>
            <w:tcBorders>
              <w:top w:val="nil"/>
              <w:left w:val="nil"/>
              <w:bottom w:val="single" w:sz="4" w:space="0" w:color="auto"/>
              <w:right w:val="single" w:sz="4" w:space="0" w:color="auto"/>
            </w:tcBorders>
            <w:shd w:val="clear" w:color="000000" w:fill="FFFF00"/>
            <w:noWrap/>
            <w:hideMark/>
          </w:tcPr>
          <w:p w14:paraId="6F06C69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71FEC13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55473F4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0D4944DC"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2DEED852" w14:textId="7A76D40F"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3EED99FB" w14:textId="3BB230D8"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Public finance academy</w:t>
            </w:r>
          </w:p>
        </w:tc>
        <w:tc>
          <w:tcPr>
            <w:tcW w:w="1301" w:type="dxa"/>
            <w:tcBorders>
              <w:top w:val="nil"/>
              <w:left w:val="nil"/>
              <w:bottom w:val="single" w:sz="4" w:space="0" w:color="auto"/>
              <w:right w:val="single" w:sz="4" w:space="0" w:color="auto"/>
            </w:tcBorders>
            <w:shd w:val="clear" w:color="000000" w:fill="00FF00"/>
            <w:noWrap/>
            <w:hideMark/>
          </w:tcPr>
          <w:p w14:paraId="3C390401"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85,000</w:t>
            </w:r>
          </w:p>
        </w:tc>
        <w:tc>
          <w:tcPr>
            <w:tcW w:w="1341" w:type="dxa"/>
            <w:tcBorders>
              <w:top w:val="nil"/>
              <w:left w:val="nil"/>
              <w:bottom w:val="single" w:sz="4" w:space="0" w:color="auto"/>
              <w:right w:val="single" w:sz="4" w:space="0" w:color="auto"/>
            </w:tcBorders>
            <w:shd w:val="clear" w:color="000000" w:fill="00FF00"/>
            <w:noWrap/>
            <w:hideMark/>
          </w:tcPr>
          <w:p w14:paraId="725B81B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3B8B294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85,000</w:t>
            </w:r>
          </w:p>
        </w:tc>
        <w:tc>
          <w:tcPr>
            <w:tcW w:w="1218" w:type="dxa"/>
            <w:tcBorders>
              <w:top w:val="nil"/>
              <w:left w:val="nil"/>
              <w:bottom w:val="single" w:sz="4" w:space="0" w:color="auto"/>
              <w:right w:val="single" w:sz="8" w:space="0" w:color="auto"/>
            </w:tcBorders>
            <w:shd w:val="clear" w:color="000000" w:fill="00FF00"/>
            <w:noWrap/>
            <w:hideMark/>
          </w:tcPr>
          <w:p w14:paraId="64BBA22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2FCECC1D"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4EE35B5A"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033464B7"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Developing and implementing a curriculum</w:t>
            </w:r>
          </w:p>
        </w:tc>
        <w:tc>
          <w:tcPr>
            <w:tcW w:w="1301" w:type="dxa"/>
            <w:tcBorders>
              <w:top w:val="nil"/>
              <w:left w:val="nil"/>
              <w:bottom w:val="single" w:sz="4" w:space="0" w:color="auto"/>
              <w:right w:val="single" w:sz="4" w:space="0" w:color="auto"/>
            </w:tcBorders>
            <w:shd w:val="clear" w:color="000000" w:fill="FFFF00"/>
            <w:noWrap/>
            <w:hideMark/>
          </w:tcPr>
          <w:p w14:paraId="0C086BDE"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5,000</w:t>
            </w:r>
          </w:p>
        </w:tc>
        <w:tc>
          <w:tcPr>
            <w:tcW w:w="1341" w:type="dxa"/>
            <w:tcBorders>
              <w:top w:val="nil"/>
              <w:left w:val="nil"/>
              <w:bottom w:val="single" w:sz="4" w:space="0" w:color="auto"/>
              <w:right w:val="single" w:sz="4" w:space="0" w:color="auto"/>
            </w:tcBorders>
            <w:shd w:val="clear" w:color="000000" w:fill="FFFF00"/>
            <w:noWrap/>
            <w:hideMark/>
          </w:tcPr>
          <w:p w14:paraId="3A1EDDA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4D29E40A"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5,000</w:t>
            </w:r>
          </w:p>
        </w:tc>
        <w:tc>
          <w:tcPr>
            <w:tcW w:w="1218" w:type="dxa"/>
            <w:tcBorders>
              <w:top w:val="nil"/>
              <w:left w:val="nil"/>
              <w:bottom w:val="single" w:sz="4" w:space="0" w:color="auto"/>
              <w:right w:val="single" w:sz="8" w:space="0" w:color="auto"/>
            </w:tcBorders>
            <w:shd w:val="clear" w:color="000000" w:fill="FFFF00"/>
            <w:noWrap/>
            <w:hideMark/>
          </w:tcPr>
          <w:p w14:paraId="5B1E2DC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09E80CB8"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2B793D7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6536E7C6"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Developing of e-learning platform</w:t>
            </w:r>
          </w:p>
        </w:tc>
        <w:tc>
          <w:tcPr>
            <w:tcW w:w="1301" w:type="dxa"/>
            <w:tcBorders>
              <w:top w:val="nil"/>
              <w:left w:val="nil"/>
              <w:bottom w:val="single" w:sz="4" w:space="0" w:color="auto"/>
              <w:right w:val="single" w:sz="4" w:space="0" w:color="auto"/>
            </w:tcBorders>
            <w:shd w:val="clear" w:color="000000" w:fill="FFFF00"/>
            <w:noWrap/>
            <w:hideMark/>
          </w:tcPr>
          <w:p w14:paraId="06667AF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50,000</w:t>
            </w:r>
          </w:p>
        </w:tc>
        <w:tc>
          <w:tcPr>
            <w:tcW w:w="1341" w:type="dxa"/>
            <w:tcBorders>
              <w:top w:val="nil"/>
              <w:left w:val="nil"/>
              <w:bottom w:val="single" w:sz="4" w:space="0" w:color="auto"/>
              <w:right w:val="single" w:sz="4" w:space="0" w:color="auto"/>
            </w:tcBorders>
            <w:shd w:val="clear" w:color="000000" w:fill="FFFF00"/>
            <w:noWrap/>
            <w:hideMark/>
          </w:tcPr>
          <w:p w14:paraId="2487F5A7"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EE7C9AF"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50,000</w:t>
            </w:r>
          </w:p>
        </w:tc>
        <w:tc>
          <w:tcPr>
            <w:tcW w:w="1218" w:type="dxa"/>
            <w:tcBorders>
              <w:top w:val="nil"/>
              <w:left w:val="nil"/>
              <w:bottom w:val="single" w:sz="4" w:space="0" w:color="auto"/>
              <w:right w:val="single" w:sz="8" w:space="0" w:color="auto"/>
            </w:tcBorders>
            <w:shd w:val="clear" w:color="000000" w:fill="FFFF00"/>
            <w:noWrap/>
            <w:hideMark/>
          </w:tcPr>
          <w:p w14:paraId="6D30F30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5AABB267"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263C92BC"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3.</w:t>
            </w:r>
          </w:p>
        </w:tc>
        <w:tc>
          <w:tcPr>
            <w:tcW w:w="2736" w:type="dxa"/>
            <w:tcBorders>
              <w:top w:val="nil"/>
              <w:left w:val="nil"/>
              <w:bottom w:val="single" w:sz="4" w:space="0" w:color="auto"/>
              <w:right w:val="single" w:sz="4" w:space="0" w:color="auto"/>
            </w:tcBorders>
            <w:shd w:val="clear" w:color="000000" w:fill="FFFF00"/>
            <w:hideMark/>
          </w:tcPr>
          <w:p w14:paraId="7CD6105B"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Developing leadership program</w:t>
            </w:r>
          </w:p>
        </w:tc>
        <w:tc>
          <w:tcPr>
            <w:tcW w:w="1301" w:type="dxa"/>
            <w:tcBorders>
              <w:top w:val="nil"/>
              <w:left w:val="nil"/>
              <w:bottom w:val="single" w:sz="4" w:space="0" w:color="auto"/>
              <w:right w:val="single" w:sz="4" w:space="0" w:color="auto"/>
            </w:tcBorders>
            <w:shd w:val="clear" w:color="000000" w:fill="FFFF00"/>
            <w:noWrap/>
            <w:hideMark/>
          </w:tcPr>
          <w:p w14:paraId="3B3E8000"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30,000</w:t>
            </w:r>
          </w:p>
        </w:tc>
        <w:tc>
          <w:tcPr>
            <w:tcW w:w="1341" w:type="dxa"/>
            <w:tcBorders>
              <w:top w:val="nil"/>
              <w:left w:val="nil"/>
              <w:bottom w:val="single" w:sz="4" w:space="0" w:color="auto"/>
              <w:right w:val="single" w:sz="4" w:space="0" w:color="auto"/>
            </w:tcBorders>
            <w:shd w:val="clear" w:color="000000" w:fill="FFFF00"/>
            <w:noWrap/>
            <w:hideMark/>
          </w:tcPr>
          <w:p w14:paraId="67C14D19"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7DB7B4C2"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30,000</w:t>
            </w:r>
          </w:p>
        </w:tc>
        <w:tc>
          <w:tcPr>
            <w:tcW w:w="1218" w:type="dxa"/>
            <w:tcBorders>
              <w:top w:val="nil"/>
              <w:left w:val="nil"/>
              <w:bottom w:val="single" w:sz="4" w:space="0" w:color="auto"/>
              <w:right w:val="single" w:sz="8" w:space="0" w:color="auto"/>
            </w:tcBorders>
            <w:shd w:val="clear" w:color="000000" w:fill="FFFF00"/>
            <w:noWrap/>
            <w:hideMark/>
          </w:tcPr>
          <w:p w14:paraId="0B9E804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6C7AD1FD"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07E8035F" w14:textId="77777777"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VI.Pillar- Public Internal Financial Control</w:t>
            </w:r>
          </w:p>
        </w:tc>
        <w:tc>
          <w:tcPr>
            <w:tcW w:w="1301" w:type="dxa"/>
            <w:tcBorders>
              <w:top w:val="nil"/>
              <w:left w:val="nil"/>
              <w:bottom w:val="single" w:sz="4" w:space="0" w:color="auto"/>
              <w:right w:val="single" w:sz="4" w:space="0" w:color="auto"/>
            </w:tcBorders>
            <w:shd w:val="clear" w:color="000000" w:fill="00B0F0"/>
            <w:noWrap/>
            <w:vAlign w:val="bottom"/>
            <w:hideMark/>
          </w:tcPr>
          <w:p w14:paraId="6AD600D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247,000</w:t>
            </w:r>
          </w:p>
        </w:tc>
        <w:tc>
          <w:tcPr>
            <w:tcW w:w="1341" w:type="dxa"/>
            <w:tcBorders>
              <w:top w:val="nil"/>
              <w:left w:val="nil"/>
              <w:bottom w:val="single" w:sz="4" w:space="0" w:color="auto"/>
              <w:right w:val="single" w:sz="4" w:space="0" w:color="auto"/>
            </w:tcBorders>
            <w:shd w:val="clear" w:color="000000" w:fill="00B0F0"/>
            <w:noWrap/>
            <w:vAlign w:val="bottom"/>
            <w:hideMark/>
          </w:tcPr>
          <w:p w14:paraId="2EEB343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207,000</w:t>
            </w:r>
          </w:p>
        </w:tc>
        <w:tc>
          <w:tcPr>
            <w:tcW w:w="1284" w:type="dxa"/>
            <w:tcBorders>
              <w:top w:val="nil"/>
              <w:left w:val="nil"/>
              <w:bottom w:val="single" w:sz="4" w:space="0" w:color="auto"/>
              <w:right w:val="single" w:sz="4" w:space="0" w:color="auto"/>
            </w:tcBorders>
            <w:shd w:val="clear" w:color="000000" w:fill="00B0F0"/>
            <w:noWrap/>
            <w:vAlign w:val="bottom"/>
            <w:hideMark/>
          </w:tcPr>
          <w:p w14:paraId="103DE77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40,000</w:t>
            </w:r>
          </w:p>
        </w:tc>
        <w:tc>
          <w:tcPr>
            <w:tcW w:w="1218" w:type="dxa"/>
            <w:tcBorders>
              <w:top w:val="nil"/>
              <w:left w:val="nil"/>
              <w:bottom w:val="single" w:sz="4" w:space="0" w:color="auto"/>
              <w:right w:val="single" w:sz="8" w:space="0" w:color="auto"/>
            </w:tcBorders>
            <w:shd w:val="clear" w:color="000000" w:fill="00B0F0"/>
            <w:noWrap/>
            <w:vAlign w:val="bottom"/>
            <w:hideMark/>
          </w:tcPr>
          <w:p w14:paraId="31E655EA"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5D7040E6"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3ED6CAE6" w14:textId="77777777"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5132BA49"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Financial management and control</w:t>
            </w:r>
          </w:p>
        </w:tc>
        <w:tc>
          <w:tcPr>
            <w:tcW w:w="1301" w:type="dxa"/>
            <w:tcBorders>
              <w:top w:val="nil"/>
              <w:left w:val="nil"/>
              <w:bottom w:val="single" w:sz="4" w:space="0" w:color="auto"/>
              <w:right w:val="single" w:sz="4" w:space="0" w:color="auto"/>
            </w:tcBorders>
            <w:shd w:val="clear" w:color="000000" w:fill="00FF00"/>
            <w:noWrap/>
            <w:hideMark/>
          </w:tcPr>
          <w:p w14:paraId="22216F7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86,000</w:t>
            </w:r>
          </w:p>
        </w:tc>
        <w:tc>
          <w:tcPr>
            <w:tcW w:w="1341" w:type="dxa"/>
            <w:tcBorders>
              <w:top w:val="nil"/>
              <w:left w:val="nil"/>
              <w:bottom w:val="single" w:sz="4" w:space="0" w:color="auto"/>
              <w:right w:val="single" w:sz="4" w:space="0" w:color="auto"/>
            </w:tcBorders>
            <w:shd w:val="clear" w:color="000000" w:fill="00FF00"/>
            <w:noWrap/>
            <w:hideMark/>
          </w:tcPr>
          <w:p w14:paraId="77BE061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86,000</w:t>
            </w:r>
          </w:p>
        </w:tc>
        <w:tc>
          <w:tcPr>
            <w:tcW w:w="1284" w:type="dxa"/>
            <w:tcBorders>
              <w:top w:val="nil"/>
              <w:left w:val="nil"/>
              <w:bottom w:val="single" w:sz="4" w:space="0" w:color="auto"/>
              <w:right w:val="single" w:sz="4" w:space="0" w:color="auto"/>
            </w:tcBorders>
            <w:shd w:val="clear" w:color="000000" w:fill="00FF00"/>
            <w:noWrap/>
            <w:hideMark/>
          </w:tcPr>
          <w:p w14:paraId="4FFD773A"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18" w:type="dxa"/>
            <w:tcBorders>
              <w:top w:val="nil"/>
              <w:left w:val="nil"/>
              <w:bottom w:val="single" w:sz="4" w:space="0" w:color="auto"/>
              <w:right w:val="single" w:sz="8" w:space="0" w:color="auto"/>
            </w:tcBorders>
            <w:shd w:val="clear" w:color="000000" w:fill="00FF00"/>
            <w:noWrap/>
            <w:hideMark/>
          </w:tcPr>
          <w:p w14:paraId="49D3CD1A"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52467EC4" w14:textId="77777777" w:rsidTr="00FD1416">
        <w:trPr>
          <w:trHeight w:val="585"/>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3676AB52"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0197349F"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Creating the conditions for improvement of a system of financial management based on risk management</w:t>
            </w:r>
          </w:p>
        </w:tc>
        <w:tc>
          <w:tcPr>
            <w:tcW w:w="1301" w:type="dxa"/>
            <w:tcBorders>
              <w:top w:val="nil"/>
              <w:left w:val="nil"/>
              <w:bottom w:val="single" w:sz="4" w:space="0" w:color="auto"/>
              <w:right w:val="single" w:sz="4" w:space="0" w:color="auto"/>
            </w:tcBorders>
            <w:shd w:val="clear" w:color="000000" w:fill="FFFF00"/>
            <w:noWrap/>
            <w:hideMark/>
          </w:tcPr>
          <w:p w14:paraId="20CA645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86,000</w:t>
            </w:r>
          </w:p>
        </w:tc>
        <w:tc>
          <w:tcPr>
            <w:tcW w:w="1341" w:type="dxa"/>
            <w:tcBorders>
              <w:top w:val="nil"/>
              <w:left w:val="nil"/>
              <w:bottom w:val="single" w:sz="4" w:space="0" w:color="auto"/>
              <w:right w:val="single" w:sz="4" w:space="0" w:color="auto"/>
            </w:tcBorders>
            <w:shd w:val="clear" w:color="000000" w:fill="FFFF00"/>
            <w:noWrap/>
            <w:hideMark/>
          </w:tcPr>
          <w:p w14:paraId="0F7860BC"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86,000</w:t>
            </w:r>
          </w:p>
        </w:tc>
        <w:tc>
          <w:tcPr>
            <w:tcW w:w="1284" w:type="dxa"/>
            <w:tcBorders>
              <w:top w:val="nil"/>
              <w:left w:val="nil"/>
              <w:bottom w:val="single" w:sz="4" w:space="0" w:color="auto"/>
              <w:right w:val="single" w:sz="4" w:space="0" w:color="auto"/>
            </w:tcBorders>
            <w:shd w:val="clear" w:color="000000" w:fill="FFFF00"/>
            <w:noWrap/>
            <w:hideMark/>
          </w:tcPr>
          <w:p w14:paraId="1823C65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c>
          <w:tcPr>
            <w:tcW w:w="1218" w:type="dxa"/>
            <w:tcBorders>
              <w:top w:val="nil"/>
              <w:left w:val="nil"/>
              <w:bottom w:val="single" w:sz="4" w:space="0" w:color="auto"/>
              <w:right w:val="single" w:sz="8" w:space="0" w:color="auto"/>
            </w:tcBorders>
            <w:shd w:val="clear" w:color="000000" w:fill="FFFF00"/>
            <w:noWrap/>
            <w:hideMark/>
          </w:tcPr>
          <w:p w14:paraId="2F7C6549"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4421793D"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757A1435" w14:textId="77777777"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67662618"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Internal audit</w:t>
            </w:r>
          </w:p>
        </w:tc>
        <w:tc>
          <w:tcPr>
            <w:tcW w:w="1301" w:type="dxa"/>
            <w:tcBorders>
              <w:top w:val="nil"/>
              <w:left w:val="nil"/>
              <w:bottom w:val="single" w:sz="4" w:space="0" w:color="auto"/>
              <w:right w:val="single" w:sz="4" w:space="0" w:color="auto"/>
            </w:tcBorders>
            <w:shd w:val="clear" w:color="000000" w:fill="00FF00"/>
            <w:noWrap/>
            <w:hideMark/>
          </w:tcPr>
          <w:p w14:paraId="54D055D6"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161,000</w:t>
            </w:r>
          </w:p>
        </w:tc>
        <w:tc>
          <w:tcPr>
            <w:tcW w:w="1341" w:type="dxa"/>
            <w:tcBorders>
              <w:top w:val="nil"/>
              <w:left w:val="nil"/>
              <w:bottom w:val="single" w:sz="4" w:space="0" w:color="auto"/>
              <w:right w:val="single" w:sz="4" w:space="0" w:color="auto"/>
            </w:tcBorders>
            <w:shd w:val="clear" w:color="000000" w:fill="00FF00"/>
            <w:noWrap/>
            <w:hideMark/>
          </w:tcPr>
          <w:p w14:paraId="5779DAE4"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121,000</w:t>
            </w:r>
          </w:p>
        </w:tc>
        <w:tc>
          <w:tcPr>
            <w:tcW w:w="1284" w:type="dxa"/>
            <w:tcBorders>
              <w:top w:val="nil"/>
              <w:left w:val="nil"/>
              <w:bottom w:val="single" w:sz="4" w:space="0" w:color="auto"/>
              <w:right w:val="single" w:sz="4" w:space="0" w:color="auto"/>
            </w:tcBorders>
            <w:shd w:val="clear" w:color="000000" w:fill="00FF00"/>
            <w:noWrap/>
            <w:hideMark/>
          </w:tcPr>
          <w:p w14:paraId="78CF491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40,000</w:t>
            </w:r>
          </w:p>
        </w:tc>
        <w:tc>
          <w:tcPr>
            <w:tcW w:w="1218" w:type="dxa"/>
            <w:tcBorders>
              <w:top w:val="nil"/>
              <w:left w:val="nil"/>
              <w:bottom w:val="single" w:sz="4" w:space="0" w:color="auto"/>
              <w:right w:val="single" w:sz="8" w:space="0" w:color="auto"/>
            </w:tcBorders>
            <w:shd w:val="clear" w:color="000000" w:fill="00FF00"/>
            <w:noWrap/>
            <w:hideMark/>
          </w:tcPr>
          <w:p w14:paraId="43342FF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15910B20"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5334F6D2"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31EDB214"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the quality of work of the internal audit units in the ministries</w:t>
            </w:r>
          </w:p>
        </w:tc>
        <w:tc>
          <w:tcPr>
            <w:tcW w:w="1301" w:type="dxa"/>
            <w:tcBorders>
              <w:top w:val="nil"/>
              <w:left w:val="nil"/>
              <w:bottom w:val="single" w:sz="4" w:space="0" w:color="auto"/>
              <w:right w:val="single" w:sz="4" w:space="0" w:color="auto"/>
            </w:tcBorders>
            <w:shd w:val="clear" w:color="000000" w:fill="FFFF00"/>
            <w:noWrap/>
            <w:hideMark/>
          </w:tcPr>
          <w:p w14:paraId="06D5704D"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136,000</w:t>
            </w:r>
          </w:p>
        </w:tc>
        <w:tc>
          <w:tcPr>
            <w:tcW w:w="1341" w:type="dxa"/>
            <w:tcBorders>
              <w:top w:val="nil"/>
              <w:left w:val="nil"/>
              <w:bottom w:val="single" w:sz="4" w:space="0" w:color="auto"/>
              <w:right w:val="single" w:sz="4" w:space="0" w:color="auto"/>
            </w:tcBorders>
            <w:shd w:val="clear" w:color="000000" w:fill="FFFF00"/>
            <w:noWrap/>
            <w:hideMark/>
          </w:tcPr>
          <w:p w14:paraId="4541F4F1"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116,000</w:t>
            </w:r>
          </w:p>
        </w:tc>
        <w:tc>
          <w:tcPr>
            <w:tcW w:w="1284" w:type="dxa"/>
            <w:tcBorders>
              <w:top w:val="nil"/>
              <w:left w:val="nil"/>
              <w:bottom w:val="single" w:sz="4" w:space="0" w:color="auto"/>
              <w:right w:val="single" w:sz="4" w:space="0" w:color="auto"/>
            </w:tcBorders>
            <w:shd w:val="clear" w:color="000000" w:fill="FFFF00"/>
            <w:noWrap/>
            <w:hideMark/>
          </w:tcPr>
          <w:p w14:paraId="0E5E998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20,000</w:t>
            </w:r>
          </w:p>
        </w:tc>
        <w:tc>
          <w:tcPr>
            <w:tcW w:w="1218" w:type="dxa"/>
            <w:tcBorders>
              <w:top w:val="nil"/>
              <w:left w:val="nil"/>
              <w:bottom w:val="single" w:sz="4" w:space="0" w:color="auto"/>
              <w:right w:val="single" w:sz="8" w:space="0" w:color="auto"/>
            </w:tcBorders>
            <w:shd w:val="clear" w:color="000000" w:fill="FFFF00"/>
            <w:noWrap/>
            <w:hideMark/>
          </w:tcPr>
          <w:p w14:paraId="5E34403B"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67AA4B5B"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8648F7B"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44E15F1D"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Improving the abilities to carry out performance and IT internal audits in the public sector institutions</w:t>
            </w:r>
          </w:p>
        </w:tc>
        <w:tc>
          <w:tcPr>
            <w:tcW w:w="1301" w:type="dxa"/>
            <w:tcBorders>
              <w:top w:val="nil"/>
              <w:left w:val="nil"/>
              <w:bottom w:val="single" w:sz="4" w:space="0" w:color="auto"/>
              <w:right w:val="single" w:sz="4" w:space="0" w:color="auto"/>
            </w:tcBorders>
            <w:shd w:val="clear" w:color="000000" w:fill="FFFF00"/>
            <w:noWrap/>
            <w:hideMark/>
          </w:tcPr>
          <w:p w14:paraId="150AB813"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25,000</w:t>
            </w:r>
          </w:p>
        </w:tc>
        <w:tc>
          <w:tcPr>
            <w:tcW w:w="1341" w:type="dxa"/>
            <w:tcBorders>
              <w:top w:val="nil"/>
              <w:left w:val="nil"/>
              <w:bottom w:val="single" w:sz="4" w:space="0" w:color="auto"/>
              <w:right w:val="single" w:sz="4" w:space="0" w:color="auto"/>
            </w:tcBorders>
            <w:shd w:val="clear" w:color="000000" w:fill="FFFF00"/>
            <w:noWrap/>
            <w:hideMark/>
          </w:tcPr>
          <w:p w14:paraId="574470E4"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5,000</w:t>
            </w:r>
          </w:p>
        </w:tc>
        <w:tc>
          <w:tcPr>
            <w:tcW w:w="1284" w:type="dxa"/>
            <w:tcBorders>
              <w:top w:val="nil"/>
              <w:left w:val="nil"/>
              <w:bottom w:val="single" w:sz="4" w:space="0" w:color="auto"/>
              <w:right w:val="single" w:sz="4" w:space="0" w:color="auto"/>
            </w:tcBorders>
            <w:shd w:val="clear" w:color="000000" w:fill="FFFF00"/>
            <w:noWrap/>
            <w:hideMark/>
          </w:tcPr>
          <w:p w14:paraId="77ABB94F"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20,000</w:t>
            </w:r>
          </w:p>
        </w:tc>
        <w:tc>
          <w:tcPr>
            <w:tcW w:w="1218" w:type="dxa"/>
            <w:tcBorders>
              <w:top w:val="nil"/>
              <w:left w:val="nil"/>
              <w:bottom w:val="single" w:sz="4" w:space="0" w:color="auto"/>
              <w:right w:val="single" w:sz="8" w:space="0" w:color="auto"/>
            </w:tcBorders>
            <w:shd w:val="clear" w:color="000000" w:fill="FFFF00"/>
            <w:noWrap/>
            <w:hideMark/>
          </w:tcPr>
          <w:p w14:paraId="11F10DC7"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0</w:t>
            </w:r>
          </w:p>
        </w:tc>
      </w:tr>
      <w:tr w:rsidR="00BF1348" w:rsidRPr="006A78BE" w14:paraId="7C6D334D" w14:textId="77777777" w:rsidTr="00FD1416">
        <w:trPr>
          <w:trHeight w:val="465"/>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vAlign w:val="bottom"/>
            <w:hideMark/>
          </w:tcPr>
          <w:p w14:paraId="0B19C784" w14:textId="0E9F6F55"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lastRenderedPageBreak/>
              <w:t>VII.Pillar</w:t>
            </w:r>
            <w:r w:rsidR="0002594F">
              <w:rPr>
                <w:rFonts w:eastAsia="Times New Roman"/>
                <w:b/>
                <w:bCs/>
                <w:lang w:val="en-US" w:eastAsia="mk-MK"/>
              </w:rPr>
              <w:t xml:space="preserve"> </w:t>
            </w:r>
            <w:r w:rsidRPr="006A78BE">
              <w:rPr>
                <w:rFonts w:eastAsia="Times New Roman"/>
                <w:b/>
                <w:bCs/>
                <w:lang w:eastAsia="mk-MK"/>
              </w:rPr>
              <w:t xml:space="preserve">- External </w:t>
            </w:r>
            <w:r w:rsidR="0002594F">
              <w:rPr>
                <w:rFonts w:eastAsia="Times New Roman"/>
                <w:b/>
                <w:bCs/>
                <w:lang w:val="en-US" w:eastAsia="mk-MK"/>
              </w:rPr>
              <w:t>audit</w:t>
            </w:r>
            <w:r w:rsidRPr="006A78BE">
              <w:rPr>
                <w:rFonts w:eastAsia="Times New Roman"/>
                <w:b/>
                <w:bCs/>
                <w:lang w:eastAsia="mk-MK"/>
              </w:rPr>
              <w:t xml:space="preserve"> and parliamentary oversight</w:t>
            </w:r>
          </w:p>
        </w:tc>
        <w:tc>
          <w:tcPr>
            <w:tcW w:w="1301" w:type="dxa"/>
            <w:tcBorders>
              <w:top w:val="nil"/>
              <w:left w:val="nil"/>
              <w:bottom w:val="single" w:sz="4" w:space="0" w:color="auto"/>
              <w:right w:val="single" w:sz="4" w:space="0" w:color="auto"/>
            </w:tcBorders>
            <w:shd w:val="clear" w:color="000000" w:fill="00B0F0"/>
            <w:noWrap/>
            <w:vAlign w:val="bottom"/>
            <w:hideMark/>
          </w:tcPr>
          <w:p w14:paraId="7707C42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10,774,000</w:t>
            </w:r>
          </w:p>
        </w:tc>
        <w:tc>
          <w:tcPr>
            <w:tcW w:w="1341" w:type="dxa"/>
            <w:tcBorders>
              <w:top w:val="nil"/>
              <w:left w:val="nil"/>
              <w:bottom w:val="single" w:sz="4" w:space="0" w:color="auto"/>
              <w:right w:val="single" w:sz="4" w:space="0" w:color="auto"/>
            </w:tcBorders>
            <w:shd w:val="clear" w:color="000000" w:fill="00B0F0"/>
            <w:noWrap/>
            <w:vAlign w:val="bottom"/>
            <w:hideMark/>
          </w:tcPr>
          <w:p w14:paraId="7FFDFF82"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B0F0"/>
            <w:noWrap/>
            <w:vAlign w:val="bottom"/>
            <w:hideMark/>
          </w:tcPr>
          <w:p w14:paraId="4E402685"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5,470,000</w:t>
            </w:r>
          </w:p>
        </w:tc>
        <w:tc>
          <w:tcPr>
            <w:tcW w:w="1218" w:type="dxa"/>
            <w:tcBorders>
              <w:top w:val="nil"/>
              <w:left w:val="nil"/>
              <w:bottom w:val="single" w:sz="4" w:space="0" w:color="auto"/>
              <w:right w:val="single" w:sz="8" w:space="0" w:color="auto"/>
            </w:tcBorders>
            <w:shd w:val="clear" w:color="000000" w:fill="00B0F0"/>
            <w:noWrap/>
            <w:vAlign w:val="bottom"/>
            <w:hideMark/>
          </w:tcPr>
          <w:p w14:paraId="0E12A5BE"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5,304,000</w:t>
            </w:r>
          </w:p>
        </w:tc>
      </w:tr>
      <w:tr w:rsidR="00BF1348" w:rsidRPr="006A78BE" w14:paraId="1635EC70"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0456038B" w14:textId="3E08AFCD"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72D294A1"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External audit</w:t>
            </w:r>
          </w:p>
        </w:tc>
        <w:tc>
          <w:tcPr>
            <w:tcW w:w="1301" w:type="dxa"/>
            <w:tcBorders>
              <w:top w:val="nil"/>
              <w:left w:val="nil"/>
              <w:bottom w:val="single" w:sz="4" w:space="0" w:color="auto"/>
              <w:right w:val="single" w:sz="4" w:space="0" w:color="auto"/>
            </w:tcBorders>
            <w:shd w:val="clear" w:color="000000" w:fill="00FF00"/>
            <w:noWrap/>
            <w:hideMark/>
          </w:tcPr>
          <w:p w14:paraId="139CD9F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10,357,000</w:t>
            </w:r>
          </w:p>
        </w:tc>
        <w:tc>
          <w:tcPr>
            <w:tcW w:w="1341" w:type="dxa"/>
            <w:tcBorders>
              <w:top w:val="nil"/>
              <w:left w:val="nil"/>
              <w:bottom w:val="single" w:sz="4" w:space="0" w:color="auto"/>
              <w:right w:val="single" w:sz="4" w:space="0" w:color="auto"/>
            </w:tcBorders>
            <w:shd w:val="clear" w:color="000000" w:fill="00FF00"/>
            <w:noWrap/>
            <w:hideMark/>
          </w:tcPr>
          <w:p w14:paraId="03631E78"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0C94A27C"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5,053,000</w:t>
            </w:r>
          </w:p>
        </w:tc>
        <w:tc>
          <w:tcPr>
            <w:tcW w:w="1218" w:type="dxa"/>
            <w:tcBorders>
              <w:top w:val="nil"/>
              <w:left w:val="nil"/>
              <w:bottom w:val="single" w:sz="4" w:space="0" w:color="auto"/>
              <w:right w:val="single" w:sz="8" w:space="0" w:color="auto"/>
            </w:tcBorders>
            <w:shd w:val="clear" w:color="000000" w:fill="00FF00"/>
            <w:noWrap/>
            <w:hideMark/>
          </w:tcPr>
          <w:p w14:paraId="3D2A2E1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5,304,000</w:t>
            </w:r>
          </w:p>
        </w:tc>
      </w:tr>
      <w:tr w:rsidR="00BF1348" w:rsidRPr="006A78BE" w14:paraId="5526A76F"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2DBC4940"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2B52D772"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Approval legislative framework for external audit</w:t>
            </w:r>
          </w:p>
        </w:tc>
        <w:tc>
          <w:tcPr>
            <w:tcW w:w="1301" w:type="dxa"/>
            <w:tcBorders>
              <w:top w:val="nil"/>
              <w:left w:val="nil"/>
              <w:bottom w:val="single" w:sz="4" w:space="0" w:color="auto"/>
              <w:right w:val="single" w:sz="4" w:space="0" w:color="auto"/>
            </w:tcBorders>
            <w:shd w:val="clear" w:color="000000" w:fill="FFFF00"/>
            <w:noWrap/>
            <w:hideMark/>
          </w:tcPr>
          <w:p w14:paraId="241FF6EC"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21,000</w:t>
            </w:r>
          </w:p>
        </w:tc>
        <w:tc>
          <w:tcPr>
            <w:tcW w:w="1341" w:type="dxa"/>
            <w:tcBorders>
              <w:top w:val="nil"/>
              <w:left w:val="nil"/>
              <w:bottom w:val="single" w:sz="4" w:space="0" w:color="auto"/>
              <w:right w:val="single" w:sz="4" w:space="0" w:color="auto"/>
            </w:tcBorders>
            <w:shd w:val="clear" w:color="000000" w:fill="FFFF00"/>
            <w:noWrap/>
            <w:hideMark/>
          </w:tcPr>
          <w:p w14:paraId="795092A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2316DF1F"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21,000</w:t>
            </w:r>
          </w:p>
        </w:tc>
        <w:tc>
          <w:tcPr>
            <w:tcW w:w="1218" w:type="dxa"/>
            <w:tcBorders>
              <w:top w:val="nil"/>
              <w:left w:val="nil"/>
              <w:bottom w:val="single" w:sz="4" w:space="0" w:color="auto"/>
              <w:right w:val="single" w:sz="8" w:space="0" w:color="auto"/>
            </w:tcBorders>
            <w:shd w:val="clear" w:color="000000" w:fill="FFFF00"/>
            <w:noWrap/>
            <w:hideMark/>
          </w:tcPr>
          <w:p w14:paraId="3F7A62A2"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207D83B1"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46F22B36"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537080F2" w14:textId="6E4D2370"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the institutional capacity and human resource capacities of the SAO</w:t>
            </w:r>
          </w:p>
        </w:tc>
        <w:tc>
          <w:tcPr>
            <w:tcW w:w="1301" w:type="dxa"/>
            <w:tcBorders>
              <w:top w:val="nil"/>
              <w:left w:val="nil"/>
              <w:bottom w:val="single" w:sz="4" w:space="0" w:color="auto"/>
              <w:right w:val="single" w:sz="4" w:space="0" w:color="auto"/>
            </w:tcBorders>
            <w:shd w:val="clear" w:color="000000" w:fill="FFFF00"/>
            <w:noWrap/>
            <w:hideMark/>
          </w:tcPr>
          <w:p w14:paraId="1E0FA4F3"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10,336,000</w:t>
            </w:r>
          </w:p>
        </w:tc>
        <w:tc>
          <w:tcPr>
            <w:tcW w:w="1341" w:type="dxa"/>
            <w:tcBorders>
              <w:top w:val="nil"/>
              <w:left w:val="nil"/>
              <w:bottom w:val="single" w:sz="4" w:space="0" w:color="auto"/>
              <w:right w:val="single" w:sz="4" w:space="0" w:color="auto"/>
            </w:tcBorders>
            <w:shd w:val="clear" w:color="000000" w:fill="FFFF00"/>
            <w:noWrap/>
            <w:hideMark/>
          </w:tcPr>
          <w:p w14:paraId="5937BA5E"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49F59BEA"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5,032,000</w:t>
            </w:r>
          </w:p>
        </w:tc>
        <w:tc>
          <w:tcPr>
            <w:tcW w:w="1218" w:type="dxa"/>
            <w:tcBorders>
              <w:top w:val="nil"/>
              <w:left w:val="nil"/>
              <w:bottom w:val="single" w:sz="4" w:space="0" w:color="auto"/>
              <w:right w:val="single" w:sz="8" w:space="0" w:color="auto"/>
            </w:tcBorders>
            <w:shd w:val="clear" w:color="000000" w:fill="FFFF00"/>
            <w:noWrap/>
            <w:hideMark/>
          </w:tcPr>
          <w:p w14:paraId="6E6B2BD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5,304,000</w:t>
            </w:r>
          </w:p>
        </w:tc>
      </w:tr>
      <w:tr w:rsidR="00BF1348" w:rsidRPr="006A78BE" w14:paraId="6CAAEE11"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0A31D3C7" w14:textId="77777777"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34962ECB" w14:textId="205562F8"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Parliamentary Oversight</w:t>
            </w:r>
          </w:p>
        </w:tc>
        <w:tc>
          <w:tcPr>
            <w:tcW w:w="1301" w:type="dxa"/>
            <w:tcBorders>
              <w:top w:val="nil"/>
              <w:left w:val="nil"/>
              <w:bottom w:val="single" w:sz="4" w:space="0" w:color="auto"/>
              <w:right w:val="single" w:sz="4" w:space="0" w:color="auto"/>
            </w:tcBorders>
            <w:shd w:val="clear" w:color="000000" w:fill="00FF00"/>
            <w:noWrap/>
            <w:hideMark/>
          </w:tcPr>
          <w:p w14:paraId="008DEFC0"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417,000</w:t>
            </w:r>
          </w:p>
        </w:tc>
        <w:tc>
          <w:tcPr>
            <w:tcW w:w="1341" w:type="dxa"/>
            <w:tcBorders>
              <w:top w:val="nil"/>
              <w:left w:val="nil"/>
              <w:bottom w:val="single" w:sz="4" w:space="0" w:color="auto"/>
              <w:right w:val="single" w:sz="4" w:space="0" w:color="auto"/>
            </w:tcBorders>
            <w:shd w:val="clear" w:color="000000" w:fill="00FF00"/>
            <w:noWrap/>
            <w:hideMark/>
          </w:tcPr>
          <w:p w14:paraId="60334F99"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2B8178ED"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417,000</w:t>
            </w:r>
          </w:p>
        </w:tc>
        <w:tc>
          <w:tcPr>
            <w:tcW w:w="1218" w:type="dxa"/>
            <w:tcBorders>
              <w:top w:val="nil"/>
              <w:left w:val="nil"/>
              <w:bottom w:val="single" w:sz="4" w:space="0" w:color="auto"/>
              <w:right w:val="single" w:sz="8" w:space="0" w:color="auto"/>
            </w:tcBorders>
            <w:shd w:val="clear" w:color="000000" w:fill="00FF00"/>
            <w:noWrap/>
            <w:hideMark/>
          </w:tcPr>
          <w:p w14:paraId="2108E0F5"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7E0BB33E" w14:textId="77777777" w:rsidTr="00FD1416">
        <w:trPr>
          <w:trHeight w:val="81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47C04EC"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54D5D096"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Establishing a mechanism for reviewing the audit reports and the measures taken following the recommendations given in the audit reports in the RNM Assembly</w:t>
            </w:r>
          </w:p>
        </w:tc>
        <w:tc>
          <w:tcPr>
            <w:tcW w:w="1301" w:type="dxa"/>
            <w:tcBorders>
              <w:top w:val="nil"/>
              <w:left w:val="nil"/>
              <w:bottom w:val="single" w:sz="4" w:space="0" w:color="auto"/>
              <w:right w:val="single" w:sz="4" w:space="0" w:color="auto"/>
            </w:tcBorders>
            <w:shd w:val="clear" w:color="000000" w:fill="FFFF00"/>
            <w:noWrap/>
            <w:hideMark/>
          </w:tcPr>
          <w:p w14:paraId="29AFF844"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146,000</w:t>
            </w:r>
          </w:p>
        </w:tc>
        <w:tc>
          <w:tcPr>
            <w:tcW w:w="1341" w:type="dxa"/>
            <w:tcBorders>
              <w:top w:val="nil"/>
              <w:left w:val="nil"/>
              <w:bottom w:val="single" w:sz="4" w:space="0" w:color="auto"/>
              <w:right w:val="single" w:sz="4" w:space="0" w:color="auto"/>
            </w:tcBorders>
            <w:shd w:val="clear" w:color="000000" w:fill="FFFF00"/>
            <w:noWrap/>
            <w:hideMark/>
          </w:tcPr>
          <w:p w14:paraId="5ED4002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06169B88"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146,000</w:t>
            </w:r>
          </w:p>
        </w:tc>
        <w:tc>
          <w:tcPr>
            <w:tcW w:w="1218" w:type="dxa"/>
            <w:tcBorders>
              <w:top w:val="nil"/>
              <w:left w:val="nil"/>
              <w:bottom w:val="single" w:sz="4" w:space="0" w:color="auto"/>
              <w:right w:val="single" w:sz="8" w:space="0" w:color="auto"/>
            </w:tcBorders>
            <w:shd w:val="clear" w:color="000000" w:fill="FFFF00"/>
            <w:noWrap/>
            <w:hideMark/>
          </w:tcPr>
          <w:p w14:paraId="2C596F33"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34E6D108"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21E848D0"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673E0DA1"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Strengthening the institutional capacities for reviewing audit reports in the Assembly of RNM.</w:t>
            </w:r>
          </w:p>
        </w:tc>
        <w:tc>
          <w:tcPr>
            <w:tcW w:w="1301" w:type="dxa"/>
            <w:tcBorders>
              <w:top w:val="nil"/>
              <w:left w:val="nil"/>
              <w:bottom w:val="single" w:sz="4" w:space="0" w:color="auto"/>
              <w:right w:val="single" w:sz="4" w:space="0" w:color="auto"/>
            </w:tcBorders>
            <w:shd w:val="clear" w:color="000000" w:fill="FFFF00"/>
            <w:noWrap/>
            <w:hideMark/>
          </w:tcPr>
          <w:p w14:paraId="529DD0EC"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271,000</w:t>
            </w:r>
          </w:p>
        </w:tc>
        <w:tc>
          <w:tcPr>
            <w:tcW w:w="1341" w:type="dxa"/>
            <w:tcBorders>
              <w:top w:val="nil"/>
              <w:left w:val="nil"/>
              <w:bottom w:val="single" w:sz="4" w:space="0" w:color="auto"/>
              <w:right w:val="single" w:sz="4" w:space="0" w:color="auto"/>
            </w:tcBorders>
            <w:shd w:val="clear" w:color="000000" w:fill="FFFF00"/>
            <w:noWrap/>
            <w:hideMark/>
          </w:tcPr>
          <w:p w14:paraId="0B64DC1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375CC0A4"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271,000</w:t>
            </w:r>
          </w:p>
        </w:tc>
        <w:tc>
          <w:tcPr>
            <w:tcW w:w="1218" w:type="dxa"/>
            <w:tcBorders>
              <w:top w:val="nil"/>
              <w:left w:val="nil"/>
              <w:bottom w:val="single" w:sz="4" w:space="0" w:color="auto"/>
              <w:right w:val="single" w:sz="8" w:space="0" w:color="auto"/>
            </w:tcBorders>
            <w:shd w:val="clear" w:color="000000" w:fill="FFFF00"/>
            <w:noWrap/>
            <w:hideMark/>
          </w:tcPr>
          <w:p w14:paraId="7C571C55"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03716F88" w14:textId="77777777" w:rsidTr="00FD1416">
        <w:trPr>
          <w:trHeight w:val="300"/>
        </w:trPr>
        <w:tc>
          <w:tcPr>
            <w:tcW w:w="3860"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15EDE5F8" w14:textId="77777777" w:rsidR="006A78BE" w:rsidRPr="006A78BE" w:rsidRDefault="006A78BE" w:rsidP="006A78BE">
            <w:pPr>
              <w:spacing w:after="0" w:line="240" w:lineRule="auto"/>
              <w:jc w:val="both"/>
              <w:rPr>
                <w:rFonts w:eastAsia="Times New Roman"/>
                <w:b/>
                <w:bCs/>
                <w:lang w:eastAsia="mk-MK"/>
              </w:rPr>
            </w:pPr>
            <w:r w:rsidRPr="006A78BE">
              <w:rPr>
                <w:rFonts w:eastAsia="Times New Roman"/>
                <w:b/>
                <w:bCs/>
                <w:lang w:eastAsia="mk-MK"/>
              </w:rPr>
              <w:t>VIII.Pillar- PFM at Local Level</w:t>
            </w:r>
          </w:p>
        </w:tc>
        <w:tc>
          <w:tcPr>
            <w:tcW w:w="1301" w:type="dxa"/>
            <w:tcBorders>
              <w:top w:val="nil"/>
              <w:left w:val="nil"/>
              <w:bottom w:val="single" w:sz="4" w:space="0" w:color="auto"/>
              <w:right w:val="single" w:sz="4" w:space="0" w:color="auto"/>
            </w:tcBorders>
            <w:shd w:val="clear" w:color="000000" w:fill="00B0F0"/>
            <w:noWrap/>
            <w:vAlign w:val="bottom"/>
            <w:hideMark/>
          </w:tcPr>
          <w:p w14:paraId="629C0833" w14:textId="715480F6"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277,800</w:t>
            </w:r>
          </w:p>
        </w:tc>
        <w:tc>
          <w:tcPr>
            <w:tcW w:w="1341" w:type="dxa"/>
            <w:tcBorders>
              <w:top w:val="nil"/>
              <w:left w:val="nil"/>
              <w:bottom w:val="single" w:sz="4" w:space="0" w:color="auto"/>
              <w:right w:val="single" w:sz="4" w:space="0" w:color="auto"/>
            </w:tcBorders>
            <w:shd w:val="clear" w:color="000000" w:fill="00B0F0"/>
            <w:noWrap/>
            <w:vAlign w:val="bottom"/>
            <w:hideMark/>
          </w:tcPr>
          <w:p w14:paraId="16F373B5" w14:textId="3FDE07AF"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87,800</w:t>
            </w:r>
          </w:p>
        </w:tc>
        <w:tc>
          <w:tcPr>
            <w:tcW w:w="1284" w:type="dxa"/>
            <w:tcBorders>
              <w:top w:val="nil"/>
              <w:left w:val="nil"/>
              <w:bottom w:val="single" w:sz="4" w:space="0" w:color="auto"/>
              <w:right w:val="single" w:sz="4" w:space="0" w:color="auto"/>
            </w:tcBorders>
            <w:shd w:val="clear" w:color="000000" w:fill="00B0F0"/>
            <w:noWrap/>
            <w:vAlign w:val="bottom"/>
            <w:hideMark/>
          </w:tcPr>
          <w:p w14:paraId="14AA9ECE" w14:textId="0EECB6B1"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190,000</w:t>
            </w:r>
          </w:p>
        </w:tc>
        <w:tc>
          <w:tcPr>
            <w:tcW w:w="1218" w:type="dxa"/>
            <w:tcBorders>
              <w:top w:val="nil"/>
              <w:left w:val="nil"/>
              <w:bottom w:val="single" w:sz="4" w:space="0" w:color="auto"/>
              <w:right w:val="single" w:sz="8" w:space="0" w:color="auto"/>
            </w:tcBorders>
            <w:shd w:val="clear" w:color="000000" w:fill="00B0F0"/>
            <w:noWrap/>
            <w:vAlign w:val="bottom"/>
            <w:hideMark/>
          </w:tcPr>
          <w:p w14:paraId="709AF337"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0250E4CC"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31D07346" w14:textId="2A295B26"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1.</w:t>
            </w:r>
          </w:p>
        </w:tc>
        <w:tc>
          <w:tcPr>
            <w:tcW w:w="2736" w:type="dxa"/>
            <w:tcBorders>
              <w:top w:val="nil"/>
              <w:left w:val="nil"/>
              <w:bottom w:val="single" w:sz="4" w:space="0" w:color="auto"/>
              <w:right w:val="single" w:sz="4" w:space="0" w:color="auto"/>
            </w:tcBorders>
            <w:shd w:val="clear" w:color="000000" w:fill="00FF00"/>
            <w:hideMark/>
          </w:tcPr>
          <w:p w14:paraId="24E3071E"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Fiscal decentralization</w:t>
            </w:r>
          </w:p>
        </w:tc>
        <w:tc>
          <w:tcPr>
            <w:tcW w:w="1301" w:type="dxa"/>
            <w:tcBorders>
              <w:top w:val="nil"/>
              <w:left w:val="nil"/>
              <w:bottom w:val="single" w:sz="4" w:space="0" w:color="auto"/>
              <w:right w:val="single" w:sz="4" w:space="0" w:color="auto"/>
            </w:tcBorders>
            <w:shd w:val="clear" w:color="000000" w:fill="00FF00"/>
            <w:noWrap/>
            <w:hideMark/>
          </w:tcPr>
          <w:p w14:paraId="3494D6B3"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160,000</w:t>
            </w:r>
          </w:p>
        </w:tc>
        <w:tc>
          <w:tcPr>
            <w:tcW w:w="1341" w:type="dxa"/>
            <w:tcBorders>
              <w:top w:val="nil"/>
              <w:left w:val="nil"/>
              <w:bottom w:val="single" w:sz="4" w:space="0" w:color="auto"/>
              <w:right w:val="single" w:sz="4" w:space="0" w:color="auto"/>
            </w:tcBorders>
            <w:shd w:val="clear" w:color="000000" w:fill="00FF00"/>
            <w:noWrap/>
            <w:hideMark/>
          </w:tcPr>
          <w:p w14:paraId="4CFD71D6"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c>
          <w:tcPr>
            <w:tcW w:w="1284" w:type="dxa"/>
            <w:tcBorders>
              <w:top w:val="nil"/>
              <w:left w:val="nil"/>
              <w:bottom w:val="single" w:sz="4" w:space="0" w:color="auto"/>
              <w:right w:val="single" w:sz="4" w:space="0" w:color="auto"/>
            </w:tcBorders>
            <w:shd w:val="clear" w:color="000000" w:fill="00FF00"/>
            <w:noWrap/>
            <w:hideMark/>
          </w:tcPr>
          <w:p w14:paraId="3204EC4B"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160,000</w:t>
            </w:r>
          </w:p>
        </w:tc>
        <w:tc>
          <w:tcPr>
            <w:tcW w:w="1218" w:type="dxa"/>
            <w:tcBorders>
              <w:top w:val="nil"/>
              <w:left w:val="nil"/>
              <w:bottom w:val="single" w:sz="4" w:space="0" w:color="auto"/>
              <w:right w:val="single" w:sz="8" w:space="0" w:color="auto"/>
            </w:tcBorders>
            <w:shd w:val="clear" w:color="000000" w:fill="00FF00"/>
            <w:noWrap/>
            <w:hideMark/>
          </w:tcPr>
          <w:p w14:paraId="01E9D304"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5A9B8DEA"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74661D42"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0C7D51D4"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Improving fiscal capacity and increasing municipal revenues</w:t>
            </w:r>
          </w:p>
        </w:tc>
        <w:tc>
          <w:tcPr>
            <w:tcW w:w="1301" w:type="dxa"/>
            <w:tcBorders>
              <w:top w:val="nil"/>
              <w:left w:val="nil"/>
              <w:bottom w:val="single" w:sz="4" w:space="0" w:color="auto"/>
              <w:right w:val="single" w:sz="4" w:space="0" w:color="auto"/>
            </w:tcBorders>
            <w:shd w:val="clear" w:color="000000" w:fill="FFFF00"/>
            <w:noWrap/>
            <w:hideMark/>
          </w:tcPr>
          <w:p w14:paraId="3EB8F0B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60,000</w:t>
            </w:r>
          </w:p>
        </w:tc>
        <w:tc>
          <w:tcPr>
            <w:tcW w:w="1341" w:type="dxa"/>
            <w:tcBorders>
              <w:top w:val="nil"/>
              <w:left w:val="nil"/>
              <w:bottom w:val="single" w:sz="4" w:space="0" w:color="auto"/>
              <w:right w:val="single" w:sz="4" w:space="0" w:color="auto"/>
            </w:tcBorders>
            <w:shd w:val="clear" w:color="000000" w:fill="FFFF00"/>
            <w:noWrap/>
            <w:hideMark/>
          </w:tcPr>
          <w:p w14:paraId="57F8110C"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62B2CE67"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60,000</w:t>
            </w:r>
          </w:p>
        </w:tc>
        <w:tc>
          <w:tcPr>
            <w:tcW w:w="1218" w:type="dxa"/>
            <w:tcBorders>
              <w:top w:val="nil"/>
              <w:left w:val="nil"/>
              <w:bottom w:val="single" w:sz="4" w:space="0" w:color="auto"/>
              <w:right w:val="single" w:sz="8" w:space="0" w:color="auto"/>
            </w:tcBorders>
            <w:shd w:val="clear" w:color="000000" w:fill="FFFF00"/>
            <w:noWrap/>
            <w:hideMark/>
          </w:tcPr>
          <w:p w14:paraId="00A5257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0BFE6E9F"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CA0269F"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4" w:space="0" w:color="auto"/>
              <w:right w:val="single" w:sz="4" w:space="0" w:color="auto"/>
            </w:tcBorders>
            <w:shd w:val="clear" w:color="000000" w:fill="FFFF00"/>
            <w:hideMark/>
          </w:tcPr>
          <w:p w14:paraId="46F6742F"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Regional and local development</w:t>
            </w:r>
          </w:p>
        </w:tc>
        <w:tc>
          <w:tcPr>
            <w:tcW w:w="1301" w:type="dxa"/>
            <w:tcBorders>
              <w:top w:val="nil"/>
              <w:left w:val="nil"/>
              <w:bottom w:val="single" w:sz="4" w:space="0" w:color="auto"/>
              <w:right w:val="single" w:sz="4" w:space="0" w:color="auto"/>
            </w:tcBorders>
            <w:shd w:val="clear" w:color="000000" w:fill="FFFF00"/>
            <w:noWrap/>
            <w:hideMark/>
          </w:tcPr>
          <w:p w14:paraId="77D4016B"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100,000</w:t>
            </w:r>
          </w:p>
        </w:tc>
        <w:tc>
          <w:tcPr>
            <w:tcW w:w="1341" w:type="dxa"/>
            <w:tcBorders>
              <w:top w:val="nil"/>
              <w:left w:val="nil"/>
              <w:bottom w:val="single" w:sz="4" w:space="0" w:color="auto"/>
              <w:right w:val="single" w:sz="4" w:space="0" w:color="auto"/>
            </w:tcBorders>
            <w:shd w:val="clear" w:color="000000" w:fill="FFFF00"/>
            <w:noWrap/>
            <w:hideMark/>
          </w:tcPr>
          <w:p w14:paraId="1B47579D"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4" w:space="0" w:color="auto"/>
              <w:right w:val="single" w:sz="4" w:space="0" w:color="auto"/>
            </w:tcBorders>
            <w:shd w:val="clear" w:color="000000" w:fill="FFFF00"/>
            <w:noWrap/>
            <w:hideMark/>
          </w:tcPr>
          <w:p w14:paraId="1AF8F1B0"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100,000</w:t>
            </w:r>
          </w:p>
        </w:tc>
        <w:tc>
          <w:tcPr>
            <w:tcW w:w="1218" w:type="dxa"/>
            <w:tcBorders>
              <w:top w:val="nil"/>
              <w:left w:val="nil"/>
              <w:bottom w:val="single" w:sz="4" w:space="0" w:color="auto"/>
              <w:right w:val="single" w:sz="8" w:space="0" w:color="auto"/>
            </w:tcBorders>
            <w:shd w:val="clear" w:color="000000" w:fill="FFFF00"/>
            <w:noWrap/>
            <w:hideMark/>
          </w:tcPr>
          <w:p w14:paraId="5B5CA3A2"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3D19B065" w14:textId="77777777" w:rsidTr="00FD1416">
        <w:trPr>
          <w:trHeight w:val="480"/>
        </w:trPr>
        <w:tc>
          <w:tcPr>
            <w:tcW w:w="1124" w:type="dxa"/>
            <w:tcBorders>
              <w:top w:val="single" w:sz="4" w:space="0" w:color="auto"/>
              <w:left w:val="single" w:sz="8" w:space="0" w:color="auto"/>
              <w:bottom w:val="single" w:sz="4" w:space="0" w:color="auto"/>
              <w:right w:val="single" w:sz="4" w:space="0" w:color="auto"/>
            </w:tcBorders>
            <w:shd w:val="clear" w:color="000000" w:fill="00FF00"/>
            <w:noWrap/>
            <w:hideMark/>
          </w:tcPr>
          <w:p w14:paraId="3AE68B66" w14:textId="0F9A9926" w:rsidR="006A78BE" w:rsidRPr="006A78BE" w:rsidRDefault="006A78BE" w:rsidP="006A78BE">
            <w:pPr>
              <w:spacing w:after="0" w:line="240" w:lineRule="auto"/>
              <w:jc w:val="center"/>
              <w:rPr>
                <w:rFonts w:eastAsia="Times New Roman"/>
                <w:b/>
                <w:bCs/>
                <w:sz w:val="20"/>
                <w:szCs w:val="20"/>
                <w:lang w:eastAsia="mk-MK"/>
              </w:rPr>
            </w:pPr>
            <w:r w:rsidRPr="006A78BE">
              <w:rPr>
                <w:rFonts w:eastAsia="Times New Roman"/>
                <w:b/>
                <w:bCs/>
                <w:sz w:val="20"/>
                <w:szCs w:val="20"/>
                <w:lang w:eastAsia="mk-MK"/>
              </w:rPr>
              <w:t>Priority 2.</w:t>
            </w:r>
          </w:p>
        </w:tc>
        <w:tc>
          <w:tcPr>
            <w:tcW w:w="2736" w:type="dxa"/>
            <w:tcBorders>
              <w:top w:val="nil"/>
              <w:left w:val="nil"/>
              <w:bottom w:val="single" w:sz="4" w:space="0" w:color="auto"/>
              <w:right w:val="single" w:sz="4" w:space="0" w:color="auto"/>
            </w:tcBorders>
            <w:shd w:val="clear" w:color="000000" w:fill="00FF00"/>
            <w:hideMark/>
          </w:tcPr>
          <w:p w14:paraId="397EA664"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Financial discipline, transparency and accountability at local level</w:t>
            </w:r>
          </w:p>
        </w:tc>
        <w:tc>
          <w:tcPr>
            <w:tcW w:w="1301" w:type="dxa"/>
            <w:tcBorders>
              <w:top w:val="nil"/>
              <w:left w:val="nil"/>
              <w:bottom w:val="single" w:sz="4" w:space="0" w:color="auto"/>
              <w:right w:val="single" w:sz="4" w:space="0" w:color="auto"/>
            </w:tcBorders>
            <w:shd w:val="clear" w:color="000000" w:fill="00FF00"/>
            <w:noWrap/>
            <w:hideMark/>
          </w:tcPr>
          <w:p w14:paraId="4AC2181A" w14:textId="36FE839D"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117,800</w:t>
            </w:r>
          </w:p>
        </w:tc>
        <w:tc>
          <w:tcPr>
            <w:tcW w:w="1341" w:type="dxa"/>
            <w:tcBorders>
              <w:top w:val="nil"/>
              <w:left w:val="nil"/>
              <w:bottom w:val="single" w:sz="4" w:space="0" w:color="auto"/>
              <w:right w:val="single" w:sz="4" w:space="0" w:color="auto"/>
            </w:tcBorders>
            <w:shd w:val="clear" w:color="000000" w:fill="00FF00"/>
            <w:noWrap/>
            <w:hideMark/>
          </w:tcPr>
          <w:p w14:paraId="13238C1E" w14:textId="2C541F0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87,800</w:t>
            </w:r>
          </w:p>
        </w:tc>
        <w:tc>
          <w:tcPr>
            <w:tcW w:w="1284" w:type="dxa"/>
            <w:tcBorders>
              <w:top w:val="nil"/>
              <w:left w:val="nil"/>
              <w:bottom w:val="single" w:sz="4" w:space="0" w:color="auto"/>
              <w:right w:val="single" w:sz="4" w:space="0" w:color="auto"/>
            </w:tcBorders>
            <w:shd w:val="clear" w:color="000000" w:fill="00FF00"/>
            <w:noWrap/>
            <w:hideMark/>
          </w:tcPr>
          <w:p w14:paraId="55C3193D" w14:textId="05AC2F46"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30,000</w:t>
            </w:r>
          </w:p>
        </w:tc>
        <w:tc>
          <w:tcPr>
            <w:tcW w:w="1218" w:type="dxa"/>
            <w:tcBorders>
              <w:top w:val="nil"/>
              <w:left w:val="nil"/>
              <w:bottom w:val="single" w:sz="4" w:space="0" w:color="auto"/>
              <w:right w:val="single" w:sz="8" w:space="0" w:color="auto"/>
            </w:tcBorders>
            <w:shd w:val="clear" w:color="000000" w:fill="00FF00"/>
            <w:noWrap/>
            <w:hideMark/>
          </w:tcPr>
          <w:p w14:paraId="38AC17CC" w14:textId="77777777" w:rsidR="006A78BE" w:rsidRPr="00FD1416" w:rsidRDefault="006A78BE" w:rsidP="006A78BE">
            <w:pPr>
              <w:spacing w:after="0" w:line="240" w:lineRule="auto"/>
              <w:jc w:val="center"/>
              <w:rPr>
                <w:rFonts w:eastAsia="Times New Roman"/>
                <w:b/>
                <w:bCs/>
                <w:sz w:val="18"/>
                <w:szCs w:val="18"/>
                <w:lang w:eastAsia="mk-MK"/>
              </w:rPr>
            </w:pPr>
            <w:r w:rsidRPr="00FD1416">
              <w:rPr>
                <w:rFonts w:eastAsia="Times New Roman"/>
                <w:b/>
                <w:bCs/>
                <w:sz w:val="18"/>
                <w:szCs w:val="18"/>
                <w:lang w:eastAsia="mk-MK"/>
              </w:rPr>
              <w:t>0</w:t>
            </w:r>
          </w:p>
        </w:tc>
      </w:tr>
      <w:tr w:rsidR="00BF1348" w:rsidRPr="006A78BE" w14:paraId="74842A7C" w14:textId="77777777" w:rsidTr="00FD1416">
        <w:trPr>
          <w:trHeight w:val="300"/>
        </w:trPr>
        <w:tc>
          <w:tcPr>
            <w:tcW w:w="1124" w:type="dxa"/>
            <w:tcBorders>
              <w:top w:val="single" w:sz="4" w:space="0" w:color="auto"/>
              <w:left w:val="single" w:sz="8" w:space="0" w:color="auto"/>
              <w:bottom w:val="single" w:sz="4" w:space="0" w:color="auto"/>
              <w:right w:val="single" w:sz="4" w:space="0" w:color="auto"/>
            </w:tcBorders>
            <w:shd w:val="clear" w:color="000000" w:fill="FFFF00"/>
            <w:noWrap/>
            <w:hideMark/>
          </w:tcPr>
          <w:p w14:paraId="1D90F0E1"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1.</w:t>
            </w:r>
          </w:p>
        </w:tc>
        <w:tc>
          <w:tcPr>
            <w:tcW w:w="2736" w:type="dxa"/>
            <w:tcBorders>
              <w:top w:val="nil"/>
              <w:left w:val="nil"/>
              <w:bottom w:val="single" w:sz="4" w:space="0" w:color="auto"/>
              <w:right w:val="single" w:sz="4" w:space="0" w:color="auto"/>
            </w:tcBorders>
            <w:shd w:val="clear" w:color="000000" w:fill="FFFF00"/>
            <w:hideMark/>
          </w:tcPr>
          <w:p w14:paraId="5C75A793"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Increasing the financial discipline</w:t>
            </w:r>
          </w:p>
        </w:tc>
        <w:tc>
          <w:tcPr>
            <w:tcW w:w="1301" w:type="dxa"/>
            <w:tcBorders>
              <w:top w:val="nil"/>
              <w:left w:val="nil"/>
              <w:bottom w:val="single" w:sz="4" w:space="0" w:color="auto"/>
              <w:right w:val="single" w:sz="4" w:space="0" w:color="auto"/>
            </w:tcBorders>
            <w:shd w:val="clear" w:color="000000" w:fill="FFFF00"/>
            <w:noWrap/>
            <w:hideMark/>
          </w:tcPr>
          <w:p w14:paraId="28AAA951" w14:textId="07DC4A3E"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117,800</w:t>
            </w:r>
          </w:p>
        </w:tc>
        <w:tc>
          <w:tcPr>
            <w:tcW w:w="1341" w:type="dxa"/>
            <w:tcBorders>
              <w:top w:val="nil"/>
              <w:left w:val="nil"/>
              <w:bottom w:val="single" w:sz="4" w:space="0" w:color="auto"/>
              <w:right w:val="single" w:sz="4" w:space="0" w:color="auto"/>
            </w:tcBorders>
            <w:shd w:val="clear" w:color="000000" w:fill="FFFF00"/>
            <w:noWrap/>
            <w:hideMark/>
          </w:tcPr>
          <w:p w14:paraId="362E4605" w14:textId="38CC6364"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87,800</w:t>
            </w:r>
          </w:p>
        </w:tc>
        <w:tc>
          <w:tcPr>
            <w:tcW w:w="1284" w:type="dxa"/>
            <w:tcBorders>
              <w:top w:val="nil"/>
              <w:left w:val="nil"/>
              <w:bottom w:val="single" w:sz="4" w:space="0" w:color="auto"/>
              <w:right w:val="single" w:sz="4" w:space="0" w:color="auto"/>
            </w:tcBorders>
            <w:shd w:val="clear" w:color="000000" w:fill="FFFF00"/>
            <w:noWrap/>
            <w:hideMark/>
          </w:tcPr>
          <w:p w14:paraId="2840ED22" w14:textId="6ED2AFD2"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30,000</w:t>
            </w:r>
          </w:p>
        </w:tc>
        <w:tc>
          <w:tcPr>
            <w:tcW w:w="1218" w:type="dxa"/>
            <w:tcBorders>
              <w:top w:val="nil"/>
              <w:left w:val="nil"/>
              <w:bottom w:val="single" w:sz="4" w:space="0" w:color="auto"/>
              <w:right w:val="single" w:sz="8" w:space="0" w:color="auto"/>
            </w:tcBorders>
            <w:shd w:val="clear" w:color="000000" w:fill="FFFF00"/>
            <w:noWrap/>
            <w:hideMark/>
          </w:tcPr>
          <w:p w14:paraId="5DD5F77C"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BF1348" w:rsidRPr="006A78BE" w14:paraId="677E9739" w14:textId="77777777" w:rsidTr="00FD1416">
        <w:trPr>
          <w:trHeight w:val="495"/>
        </w:trPr>
        <w:tc>
          <w:tcPr>
            <w:tcW w:w="1124" w:type="dxa"/>
            <w:tcBorders>
              <w:top w:val="single" w:sz="4" w:space="0" w:color="auto"/>
              <w:left w:val="single" w:sz="8" w:space="0" w:color="auto"/>
              <w:bottom w:val="single" w:sz="8" w:space="0" w:color="auto"/>
              <w:right w:val="single" w:sz="4" w:space="0" w:color="auto"/>
            </w:tcBorders>
            <w:shd w:val="clear" w:color="000000" w:fill="FFFF00"/>
            <w:noWrap/>
            <w:hideMark/>
          </w:tcPr>
          <w:p w14:paraId="0D5EBA1B"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Measure 2.</w:t>
            </w:r>
          </w:p>
        </w:tc>
        <w:tc>
          <w:tcPr>
            <w:tcW w:w="2736" w:type="dxa"/>
            <w:tcBorders>
              <w:top w:val="nil"/>
              <w:left w:val="nil"/>
              <w:bottom w:val="single" w:sz="8" w:space="0" w:color="auto"/>
              <w:right w:val="single" w:sz="4" w:space="0" w:color="auto"/>
            </w:tcBorders>
            <w:shd w:val="clear" w:color="000000" w:fill="FFFF00"/>
            <w:hideMark/>
          </w:tcPr>
          <w:p w14:paraId="06165662" w14:textId="77777777" w:rsidR="006A78BE" w:rsidRPr="006A78BE" w:rsidRDefault="006A78BE" w:rsidP="006A78BE">
            <w:pPr>
              <w:spacing w:after="0" w:line="240" w:lineRule="auto"/>
              <w:jc w:val="both"/>
              <w:rPr>
                <w:rFonts w:eastAsia="Times New Roman"/>
                <w:b/>
                <w:bCs/>
                <w:sz w:val="18"/>
                <w:szCs w:val="18"/>
                <w:lang w:eastAsia="mk-MK"/>
              </w:rPr>
            </w:pPr>
            <w:r w:rsidRPr="006A78BE">
              <w:rPr>
                <w:rFonts w:eastAsia="Times New Roman"/>
                <w:b/>
                <w:bCs/>
                <w:sz w:val="18"/>
                <w:szCs w:val="18"/>
                <w:lang w:eastAsia="mk-MK"/>
              </w:rPr>
              <w:t>Increasing the transparency and accountability throughout the operations of the municipalities</w:t>
            </w:r>
          </w:p>
        </w:tc>
        <w:tc>
          <w:tcPr>
            <w:tcW w:w="1301" w:type="dxa"/>
            <w:tcBorders>
              <w:top w:val="nil"/>
              <w:left w:val="nil"/>
              <w:bottom w:val="single" w:sz="8" w:space="0" w:color="auto"/>
              <w:right w:val="single" w:sz="4" w:space="0" w:color="auto"/>
            </w:tcBorders>
            <w:shd w:val="clear" w:color="000000" w:fill="FFFF00"/>
            <w:noWrap/>
            <w:hideMark/>
          </w:tcPr>
          <w:p w14:paraId="21FCA666"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341" w:type="dxa"/>
            <w:tcBorders>
              <w:top w:val="nil"/>
              <w:left w:val="nil"/>
              <w:bottom w:val="single" w:sz="8" w:space="0" w:color="auto"/>
              <w:right w:val="single" w:sz="4" w:space="0" w:color="auto"/>
            </w:tcBorders>
            <w:shd w:val="clear" w:color="000000" w:fill="FFFF00"/>
            <w:noWrap/>
            <w:hideMark/>
          </w:tcPr>
          <w:p w14:paraId="748864C1"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84" w:type="dxa"/>
            <w:tcBorders>
              <w:top w:val="nil"/>
              <w:left w:val="nil"/>
              <w:bottom w:val="single" w:sz="8" w:space="0" w:color="auto"/>
              <w:right w:val="single" w:sz="4" w:space="0" w:color="auto"/>
            </w:tcBorders>
            <w:shd w:val="clear" w:color="000000" w:fill="FFFF00"/>
            <w:noWrap/>
            <w:hideMark/>
          </w:tcPr>
          <w:p w14:paraId="2F8E27D1"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c>
          <w:tcPr>
            <w:tcW w:w="1218" w:type="dxa"/>
            <w:tcBorders>
              <w:top w:val="nil"/>
              <w:left w:val="nil"/>
              <w:bottom w:val="single" w:sz="8" w:space="0" w:color="auto"/>
              <w:right w:val="single" w:sz="8" w:space="0" w:color="auto"/>
            </w:tcBorders>
            <w:shd w:val="clear" w:color="000000" w:fill="FFFF00"/>
            <w:noWrap/>
            <w:hideMark/>
          </w:tcPr>
          <w:p w14:paraId="7B9A3F62" w14:textId="77777777" w:rsidR="006A78BE" w:rsidRPr="00FD1416" w:rsidRDefault="006A78BE" w:rsidP="006A78BE">
            <w:pPr>
              <w:spacing w:after="0" w:line="240" w:lineRule="auto"/>
              <w:jc w:val="center"/>
              <w:rPr>
                <w:rFonts w:eastAsia="Times New Roman"/>
                <w:sz w:val="18"/>
                <w:szCs w:val="18"/>
                <w:lang w:eastAsia="mk-MK"/>
              </w:rPr>
            </w:pPr>
            <w:r w:rsidRPr="00FD1416">
              <w:rPr>
                <w:rFonts w:eastAsia="Times New Roman"/>
                <w:sz w:val="18"/>
                <w:szCs w:val="18"/>
                <w:lang w:eastAsia="mk-MK"/>
              </w:rPr>
              <w:t>0</w:t>
            </w:r>
          </w:p>
        </w:tc>
      </w:tr>
      <w:tr w:rsidR="006A78BE" w:rsidRPr="006A78BE" w14:paraId="028A0DE9" w14:textId="77777777" w:rsidTr="00FD1416">
        <w:trPr>
          <w:trHeight w:val="300"/>
        </w:trPr>
        <w:tc>
          <w:tcPr>
            <w:tcW w:w="9004" w:type="dxa"/>
            <w:gridSpan w:val="6"/>
            <w:tcBorders>
              <w:top w:val="single" w:sz="8" w:space="0" w:color="auto"/>
              <w:left w:val="single" w:sz="8" w:space="0" w:color="auto"/>
              <w:bottom w:val="nil"/>
              <w:right w:val="nil"/>
            </w:tcBorders>
            <w:shd w:val="clear" w:color="000000" w:fill="5B9BD5"/>
            <w:noWrap/>
            <w:vAlign w:val="bottom"/>
            <w:hideMark/>
          </w:tcPr>
          <w:p w14:paraId="7E7C5306" w14:textId="23AFED26" w:rsidR="006A78BE" w:rsidRPr="00FD1416" w:rsidRDefault="006A78BE" w:rsidP="006A78BE">
            <w:pPr>
              <w:spacing w:after="0" w:line="240" w:lineRule="auto"/>
              <w:jc w:val="center"/>
              <w:rPr>
                <w:rFonts w:eastAsia="Times New Roman"/>
                <w:color w:val="000000"/>
                <w:sz w:val="18"/>
                <w:szCs w:val="18"/>
                <w:lang w:eastAsia="mk-MK"/>
              </w:rPr>
            </w:pPr>
          </w:p>
        </w:tc>
      </w:tr>
      <w:tr w:rsidR="00BF1348" w:rsidRPr="006A78BE" w14:paraId="4257BF3C" w14:textId="77777777" w:rsidTr="00FA0745">
        <w:trPr>
          <w:trHeight w:val="243"/>
        </w:trPr>
        <w:tc>
          <w:tcPr>
            <w:tcW w:w="3860" w:type="dxa"/>
            <w:gridSpan w:val="2"/>
            <w:tcBorders>
              <w:top w:val="nil"/>
              <w:left w:val="single" w:sz="8" w:space="0" w:color="auto"/>
              <w:bottom w:val="single" w:sz="8" w:space="0" w:color="auto"/>
              <w:right w:val="nil"/>
            </w:tcBorders>
            <w:shd w:val="clear" w:color="000000" w:fill="5B9BD5"/>
            <w:noWrap/>
            <w:vAlign w:val="bottom"/>
            <w:hideMark/>
          </w:tcPr>
          <w:p w14:paraId="05445986" w14:textId="77777777" w:rsidR="006A78BE" w:rsidRPr="006A78BE" w:rsidRDefault="006A78BE" w:rsidP="006A78BE">
            <w:pPr>
              <w:spacing w:after="0" w:line="240" w:lineRule="auto"/>
              <w:jc w:val="center"/>
              <w:rPr>
                <w:rFonts w:eastAsia="Times New Roman"/>
                <w:b/>
                <w:bCs/>
                <w:sz w:val="18"/>
                <w:szCs w:val="18"/>
                <w:lang w:eastAsia="mk-MK"/>
              </w:rPr>
            </w:pPr>
            <w:r w:rsidRPr="006A78BE">
              <w:rPr>
                <w:rFonts w:eastAsia="Times New Roman"/>
                <w:b/>
                <w:bCs/>
                <w:sz w:val="18"/>
                <w:szCs w:val="18"/>
                <w:lang w:eastAsia="mk-MK"/>
              </w:rPr>
              <w:t>TOTAL:</w:t>
            </w:r>
          </w:p>
        </w:tc>
        <w:tc>
          <w:tcPr>
            <w:tcW w:w="1301" w:type="dxa"/>
            <w:tcBorders>
              <w:top w:val="nil"/>
              <w:left w:val="nil"/>
              <w:bottom w:val="single" w:sz="8" w:space="0" w:color="auto"/>
              <w:right w:val="nil"/>
            </w:tcBorders>
            <w:shd w:val="clear" w:color="000000" w:fill="5B9BD5"/>
            <w:noWrap/>
            <w:vAlign w:val="bottom"/>
            <w:hideMark/>
          </w:tcPr>
          <w:p w14:paraId="2A2B0DCD" w14:textId="1388E300"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4</w:t>
            </w:r>
            <w:r w:rsidR="00B44855">
              <w:rPr>
                <w:rFonts w:eastAsia="Times New Roman"/>
                <w:color w:val="000000"/>
                <w:sz w:val="18"/>
                <w:szCs w:val="18"/>
                <w:lang w:eastAsia="mk-MK"/>
              </w:rPr>
              <w:t>7</w:t>
            </w:r>
            <w:r w:rsidRPr="00FD1416">
              <w:rPr>
                <w:rFonts w:eastAsia="Times New Roman"/>
                <w:color w:val="000000"/>
                <w:sz w:val="18"/>
                <w:szCs w:val="18"/>
                <w:lang w:eastAsia="mk-MK"/>
              </w:rPr>
              <w:t>,343,800</w:t>
            </w:r>
          </w:p>
        </w:tc>
        <w:tc>
          <w:tcPr>
            <w:tcW w:w="1341" w:type="dxa"/>
            <w:tcBorders>
              <w:top w:val="nil"/>
              <w:left w:val="nil"/>
              <w:bottom w:val="single" w:sz="8" w:space="0" w:color="auto"/>
              <w:right w:val="nil"/>
            </w:tcBorders>
            <w:shd w:val="clear" w:color="000000" w:fill="5B9BD5"/>
            <w:noWrap/>
            <w:vAlign w:val="bottom"/>
            <w:hideMark/>
          </w:tcPr>
          <w:p w14:paraId="50BD2AB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14,519,800</w:t>
            </w:r>
          </w:p>
        </w:tc>
        <w:tc>
          <w:tcPr>
            <w:tcW w:w="1284" w:type="dxa"/>
            <w:tcBorders>
              <w:top w:val="nil"/>
              <w:left w:val="nil"/>
              <w:bottom w:val="single" w:sz="8" w:space="0" w:color="auto"/>
              <w:right w:val="nil"/>
            </w:tcBorders>
            <w:shd w:val="clear" w:color="000000" w:fill="5B9BD5"/>
            <w:noWrap/>
            <w:vAlign w:val="bottom"/>
            <w:hideMark/>
          </w:tcPr>
          <w:p w14:paraId="041C4A05" w14:textId="1A7C47E3"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w:t>
            </w:r>
            <w:r w:rsidR="00DC32B5">
              <w:rPr>
                <w:rFonts w:eastAsia="Times New Roman"/>
                <w:color w:val="000000"/>
                <w:sz w:val="18"/>
                <w:szCs w:val="18"/>
                <w:lang w:eastAsia="mk-MK"/>
              </w:rPr>
              <w:t>7</w:t>
            </w:r>
            <w:r w:rsidRPr="00FD1416">
              <w:rPr>
                <w:rFonts w:eastAsia="Times New Roman"/>
                <w:color w:val="000000"/>
                <w:sz w:val="18"/>
                <w:szCs w:val="18"/>
                <w:lang w:eastAsia="mk-MK"/>
              </w:rPr>
              <w:t>,402,000</w:t>
            </w:r>
          </w:p>
        </w:tc>
        <w:tc>
          <w:tcPr>
            <w:tcW w:w="1218" w:type="dxa"/>
            <w:tcBorders>
              <w:top w:val="nil"/>
              <w:left w:val="nil"/>
              <w:bottom w:val="single" w:sz="8" w:space="0" w:color="auto"/>
              <w:right w:val="single" w:sz="8" w:space="0" w:color="auto"/>
            </w:tcBorders>
            <w:shd w:val="clear" w:color="000000" w:fill="5B9BD5"/>
            <w:noWrap/>
            <w:vAlign w:val="bottom"/>
            <w:hideMark/>
          </w:tcPr>
          <w:p w14:paraId="4C505EF5" w14:textId="77777777" w:rsidR="006A78BE" w:rsidRPr="00FD1416" w:rsidRDefault="006A78BE" w:rsidP="006A78BE">
            <w:pPr>
              <w:spacing w:after="0" w:line="240" w:lineRule="auto"/>
              <w:jc w:val="center"/>
              <w:rPr>
                <w:rFonts w:eastAsia="Times New Roman"/>
                <w:color w:val="000000"/>
                <w:sz w:val="18"/>
                <w:szCs w:val="18"/>
                <w:lang w:eastAsia="mk-MK"/>
              </w:rPr>
            </w:pPr>
            <w:r w:rsidRPr="00FD1416">
              <w:rPr>
                <w:rFonts w:eastAsia="Times New Roman"/>
                <w:color w:val="000000"/>
                <w:sz w:val="18"/>
                <w:szCs w:val="18"/>
                <w:lang w:eastAsia="mk-MK"/>
              </w:rPr>
              <w:t>15,422,000</w:t>
            </w:r>
          </w:p>
        </w:tc>
      </w:tr>
    </w:tbl>
    <w:p w14:paraId="6D25EDDD" w14:textId="77777777" w:rsidR="006A78BE" w:rsidRDefault="006A78BE" w:rsidP="006A78BE">
      <w:pPr>
        <w:spacing w:line="240" w:lineRule="auto"/>
        <w:jc w:val="center"/>
        <w:rPr>
          <w:rFonts w:cs="Calibri"/>
          <w:lang w:val="en-US"/>
        </w:rPr>
      </w:pPr>
    </w:p>
    <w:p w14:paraId="4F7C0810" w14:textId="773DBA23" w:rsidR="006A78BE" w:rsidRDefault="006A78BE" w:rsidP="006A78BE">
      <w:pPr>
        <w:spacing w:line="240" w:lineRule="auto"/>
        <w:jc w:val="center"/>
        <w:rPr>
          <w:rFonts w:cs="Calibri"/>
          <w:lang w:val="en-US"/>
        </w:rPr>
      </w:pPr>
    </w:p>
    <w:p w14:paraId="3EFF774A" w14:textId="42130160" w:rsidR="003C20E4" w:rsidRDefault="003C20E4" w:rsidP="006A78BE">
      <w:pPr>
        <w:spacing w:before="360" w:line="240" w:lineRule="auto"/>
        <w:jc w:val="center"/>
        <w:rPr>
          <w:rFonts w:cs="Calibri"/>
          <w:b/>
          <w:color w:val="0070C0"/>
          <w:sz w:val="28"/>
          <w:szCs w:val="28"/>
          <w:lang w:val="en-US"/>
        </w:rPr>
      </w:pPr>
    </w:p>
    <w:p w14:paraId="6E288721" w14:textId="7F154B65" w:rsidR="00BF1348" w:rsidRDefault="00BF1348" w:rsidP="006A78BE">
      <w:pPr>
        <w:spacing w:before="360" w:line="240" w:lineRule="auto"/>
        <w:jc w:val="center"/>
        <w:rPr>
          <w:rFonts w:cs="Calibri"/>
          <w:b/>
          <w:color w:val="0070C0"/>
          <w:sz w:val="28"/>
          <w:szCs w:val="28"/>
          <w:lang w:val="en-US"/>
        </w:rPr>
      </w:pPr>
    </w:p>
    <w:p w14:paraId="6EFA4F4F" w14:textId="74A75A0A" w:rsidR="00BF1348" w:rsidRDefault="00BF1348" w:rsidP="006A78BE">
      <w:pPr>
        <w:spacing w:before="360" w:line="240" w:lineRule="auto"/>
        <w:jc w:val="center"/>
        <w:rPr>
          <w:rFonts w:cs="Calibri"/>
          <w:b/>
          <w:color w:val="0070C0"/>
          <w:sz w:val="28"/>
          <w:szCs w:val="28"/>
          <w:lang w:val="en-US"/>
        </w:rPr>
      </w:pPr>
    </w:p>
    <w:p w14:paraId="533616DC" w14:textId="1AEB09D4" w:rsidR="00BF1348" w:rsidRDefault="00BF1348" w:rsidP="006A78BE">
      <w:pPr>
        <w:spacing w:before="360" w:line="240" w:lineRule="auto"/>
        <w:jc w:val="center"/>
        <w:rPr>
          <w:rFonts w:cs="Calibri"/>
          <w:b/>
          <w:color w:val="0070C0"/>
          <w:sz w:val="28"/>
          <w:szCs w:val="28"/>
          <w:lang w:val="en-US"/>
        </w:rPr>
      </w:pPr>
    </w:p>
    <w:p w14:paraId="45E4D552" w14:textId="3E16EA3C" w:rsidR="00BF1348" w:rsidRDefault="00BF1348" w:rsidP="006A78BE">
      <w:pPr>
        <w:spacing w:before="360" w:line="240" w:lineRule="auto"/>
        <w:jc w:val="center"/>
        <w:rPr>
          <w:rFonts w:cs="Calibri"/>
          <w:b/>
          <w:color w:val="0070C0"/>
          <w:sz w:val="28"/>
          <w:szCs w:val="28"/>
          <w:lang w:val="en-US"/>
        </w:rPr>
      </w:pPr>
    </w:p>
    <w:p w14:paraId="74DFD741" w14:textId="77777777" w:rsidR="00BF1348" w:rsidRDefault="00BF1348" w:rsidP="00E84CD0">
      <w:pPr>
        <w:pStyle w:val="Heading1"/>
        <w:spacing w:line="240" w:lineRule="auto"/>
        <w:jc w:val="both"/>
        <w:rPr>
          <w:rFonts w:ascii="Calibri" w:eastAsia="MS PGothic" w:hAnsi="Calibri" w:cs="Calibri"/>
          <w:color w:val="2F5496"/>
          <w:kern w:val="0"/>
          <w:lang w:val="en-US" w:eastAsia="zh-CN"/>
        </w:rPr>
        <w:sectPr w:rsidR="00BF1348" w:rsidSect="00BF1348">
          <w:headerReference w:type="default" r:id="rId14"/>
          <w:pgSz w:w="11906" w:h="16838"/>
          <w:pgMar w:top="1440" w:right="1560" w:bottom="1440" w:left="1440" w:header="708" w:footer="708" w:gutter="0"/>
          <w:cols w:space="708"/>
          <w:docGrid w:linePitch="360"/>
        </w:sectPr>
      </w:pPr>
    </w:p>
    <w:p w14:paraId="5AF2C97D" w14:textId="1F6B5D1D" w:rsidR="00A42B0B" w:rsidRPr="008C761D" w:rsidRDefault="00A42B0B" w:rsidP="00E84CD0">
      <w:pPr>
        <w:pStyle w:val="Heading1"/>
        <w:spacing w:line="240" w:lineRule="auto"/>
        <w:jc w:val="both"/>
        <w:rPr>
          <w:rFonts w:ascii="Calibri" w:eastAsia="MS PGothic" w:hAnsi="Calibri" w:cs="Calibri"/>
          <w:color w:val="2F5496"/>
          <w:kern w:val="0"/>
          <w:lang w:val="en-US" w:eastAsia="zh-CN"/>
        </w:rPr>
      </w:pPr>
      <w:bookmarkStart w:id="84" w:name="_Toc160611838"/>
      <w:r w:rsidRPr="008C761D">
        <w:rPr>
          <w:rFonts w:ascii="Calibri" w:eastAsia="MS PGothic" w:hAnsi="Calibri" w:cs="Calibri"/>
          <w:color w:val="2F5496"/>
          <w:kern w:val="0"/>
          <w:lang w:val="en-US" w:eastAsia="zh-CN"/>
        </w:rPr>
        <w:lastRenderedPageBreak/>
        <w:t>A</w:t>
      </w:r>
      <w:r w:rsidR="00726AC7" w:rsidRPr="008C761D">
        <w:rPr>
          <w:rFonts w:ascii="Calibri" w:eastAsia="MS PGothic" w:hAnsi="Calibri" w:cs="Calibri"/>
          <w:color w:val="2F5496"/>
          <w:kern w:val="0"/>
          <w:lang w:val="en-US" w:eastAsia="zh-CN"/>
        </w:rPr>
        <w:t>nnexI</w:t>
      </w:r>
      <w:r w:rsidRPr="008C761D">
        <w:rPr>
          <w:rFonts w:ascii="Calibri" w:eastAsia="MS PGothic" w:hAnsi="Calibri" w:cs="Calibri"/>
          <w:color w:val="2F5496"/>
          <w:kern w:val="0"/>
          <w:lang w:val="en-US" w:eastAsia="zh-CN"/>
        </w:rPr>
        <w:t xml:space="preserve"> – Time Frame of Implementation of the PFM Reform Programme</w:t>
      </w:r>
      <w:bookmarkEnd w:id="84"/>
    </w:p>
    <w:p w14:paraId="2F28B3CD" w14:textId="77777777" w:rsidR="000F0256" w:rsidRPr="008C761D" w:rsidRDefault="000F0256" w:rsidP="00BD00E3">
      <w:pPr>
        <w:spacing w:after="0"/>
        <w:rPr>
          <w:lang w:val="en-US" w:eastAsia="zh-CN"/>
        </w:rPr>
      </w:pPr>
    </w:p>
    <w:tbl>
      <w:tblPr>
        <w:tblW w:w="15210" w:type="dxa"/>
        <w:tblInd w:w="-882" w:type="dxa"/>
        <w:tblLayout w:type="fixed"/>
        <w:tblLook w:val="04A0" w:firstRow="1" w:lastRow="0" w:firstColumn="1" w:lastColumn="0" w:noHBand="0" w:noVBand="1"/>
      </w:tblPr>
      <w:tblGrid>
        <w:gridCol w:w="90"/>
        <w:gridCol w:w="612"/>
        <w:gridCol w:w="108"/>
        <w:gridCol w:w="852"/>
        <w:gridCol w:w="108"/>
        <w:gridCol w:w="1200"/>
        <w:gridCol w:w="1242"/>
        <w:gridCol w:w="108"/>
        <w:gridCol w:w="3150"/>
        <w:gridCol w:w="450"/>
        <w:gridCol w:w="72"/>
        <w:gridCol w:w="108"/>
        <w:gridCol w:w="270"/>
        <w:gridCol w:w="180"/>
        <w:gridCol w:w="330"/>
        <w:gridCol w:w="72"/>
        <w:gridCol w:w="108"/>
        <w:gridCol w:w="300"/>
        <w:gridCol w:w="72"/>
        <w:gridCol w:w="108"/>
        <w:gridCol w:w="270"/>
        <w:gridCol w:w="180"/>
        <w:gridCol w:w="360"/>
        <w:gridCol w:w="72"/>
        <w:gridCol w:w="108"/>
        <w:gridCol w:w="270"/>
        <w:gridCol w:w="72"/>
        <w:gridCol w:w="108"/>
        <w:gridCol w:w="360"/>
        <w:gridCol w:w="72"/>
        <w:gridCol w:w="10"/>
        <w:gridCol w:w="98"/>
        <w:gridCol w:w="270"/>
        <w:gridCol w:w="72"/>
        <w:gridCol w:w="108"/>
        <w:gridCol w:w="270"/>
        <w:gridCol w:w="72"/>
        <w:gridCol w:w="108"/>
        <w:gridCol w:w="270"/>
        <w:gridCol w:w="180"/>
        <w:gridCol w:w="270"/>
        <w:gridCol w:w="72"/>
        <w:gridCol w:w="10"/>
        <w:gridCol w:w="98"/>
        <w:gridCol w:w="270"/>
        <w:gridCol w:w="72"/>
        <w:gridCol w:w="108"/>
        <w:gridCol w:w="342"/>
        <w:gridCol w:w="18"/>
        <w:gridCol w:w="90"/>
        <w:gridCol w:w="342"/>
        <w:gridCol w:w="18"/>
        <w:gridCol w:w="90"/>
        <w:gridCol w:w="540"/>
      </w:tblGrid>
      <w:tr w:rsidR="00C93723" w:rsidRPr="0062158E" w14:paraId="75C217FF" w14:textId="77777777" w:rsidTr="00B84551">
        <w:trPr>
          <w:trHeight w:val="315"/>
        </w:trPr>
        <w:tc>
          <w:tcPr>
            <w:tcW w:w="7470" w:type="dxa"/>
            <w:gridSpan w:val="9"/>
            <w:tcBorders>
              <w:top w:val="nil"/>
              <w:left w:val="nil"/>
              <w:bottom w:val="nil"/>
              <w:right w:val="single" w:sz="8" w:space="0" w:color="000000"/>
            </w:tcBorders>
            <w:shd w:val="clear" w:color="000000" w:fill="CCFFCC"/>
            <w:vAlign w:val="center"/>
            <w:hideMark/>
          </w:tcPr>
          <w:p w14:paraId="5005321C"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PFMPR 2024-2027</w:t>
            </w:r>
          </w:p>
        </w:tc>
        <w:tc>
          <w:tcPr>
            <w:tcW w:w="1962" w:type="dxa"/>
            <w:gridSpan w:val="10"/>
            <w:tcBorders>
              <w:top w:val="single" w:sz="8" w:space="0" w:color="auto"/>
              <w:left w:val="nil"/>
              <w:bottom w:val="single" w:sz="8" w:space="0" w:color="auto"/>
              <w:right w:val="single" w:sz="8" w:space="0" w:color="000000"/>
            </w:tcBorders>
            <w:shd w:val="clear" w:color="000000" w:fill="CCFFCC"/>
            <w:vAlign w:val="center"/>
            <w:hideMark/>
          </w:tcPr>
          <w:p w14:paraId="72604F69"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2024</w:t>
            </w:r>
          </w:p>
        </w:tc>
        <w:tc>
          <w:tcPr>
            <w:tcW w:w="1990" w:type="dxa"/>
            <w:gridSpan w:val="12"/>
            <w:tcBorders>
              <w:top w:val="single" w:sz="8" w:space="0" w:color="auto"/>
              <w:left w:val="nil"/>
              <w:bottom w:val="single" w:sz="8" w:space="0" w:color="auto"/>
              <w:right w:val="single" w:sz="8" w:space="0" w:color="000000"/>
            </w:tcBorders>
            <w:shd w:val="clear" w:color="000000" w:fill="CCFFCC"/>
            <w:vAlign w:val="center"/>
            <w:hideMark/>
          </w:tcPr>
          <w:p w14:paraId="73D356EB"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2025</w:t>
            </w:r>
          </w:p>
        </w:tc>
        <w:tc>
          <w:tcPr>
            <w:tcW w:w="1800" w:type="dxa"/>
            <w:gridSpan w:val="12"/>
            <w:tcBorders>
              <w:top w:val="single" w:sz="8" w:space="0" w:color="auto"/>
              <w:left w:val="nil"/>
              <w:bottom w:val="single" w:sz="8" w:space="0" w:color="auto"/>
              <w:right w:val="single" w:sz="8" w:space="0" w:color="000000"/>
            </w:tcBorders>
            <w:shd w:val="clear" w:color="000000" w:fill="CCFFCC"/>
            <w:vAlign w:val="center"/>
            <w:hideMark/>
          </w:tcPr>
          <w:p w14:paraId="0DBA653E"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2026</w:t>
            </w:r>
          </w:p>
        </w:tc>
        <w:tc>
          <w:tcPr>
            <w:tcW w:w="1988" w:type="dxa"/>
            <w:gridSpan w:val="11"/>
            <w:tcBorders>
              <w:top w:val="single" w:sz="8" w:space="0" w:color="auto"/>
              <w:left w:val="nil"/>
              <w:bottom w:val="single" w:sz="8" w:space="0" w:color="auto"/>
              <w:right w:val="single" w:sz="8" w:space="0" w:color="000000"/>
            </w:tcBorders>
            <w:shd w:val="clear" w:color="000000" w:fill="CCFFCC"/>
            <w:vAlign w:val="center"/>
            <w:hideMark/>
          </w:tcPr>
          <w:p w14:paraId="42CAB658"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2027</w:t>
            </w:r>
          </w:p>
        </w:tc>
      </w:tr>
      <w:tr w:rsidR="00C93723" w:rsidRPr="0062158E" w14:paraId="758EC62F" w14:textId="77777777" w:rsidTr="00B84551">
        <w:trPr>
          <w:trHeight w:val="315"/>
        </w:trPr>
        <w:tc>
          <w:tcPr>
            <w:tcW w:w="702" w:type="dxa"/>
            <w:gridSpan w:val="2"/>
            <w:tcBorders>
              <w:top w:val="nil"/>
              <w:left w:val="nil"/>
              <w:bottom w:val="nil"/>
              <w:right w:val="nil"/>
            </w:tcBorders>
            <w:shd w:val="clear" w:color="000000" w:fill="CCFFCC"/>
            <w:vAlign w:val="center"/>
            <w:hideMark/>
          </w:tcPr>
          <w:p w14:paraId="321F7D29" w14:textId="77777777" w:rsidR="00C93723" w:rsidRPr="0062158E" w:rsidRDefault="00C93723" w:rsidP="00C93723">
            <w:pPr>
              <w:spacing w:after="0" w:line="240" w:lineRule="auto"/>
              <w:jc w:val="center"/>
              <w:rPr>
                <w:rFonts w:eastAsia="Times New Roman" w:cs="Calibri"/>
                <w:sz w:val="16"/>
                <w:szCs w:val="16"/>
              </w:rPr>
            </w:pPr>
            <w:r w:rsidRPr="0062158E">
              <w:rPr>
                <w:rFonts w:eastAsia="Times New Roman" w:cs="Calibri"/>
                <w:sz w:val="16"/>
                <w:szCs w:val="16"/>
              </w:rPr>
              <w:t> </w:t>
            </w:r>
          </w:p>
        </w:tc>
        <w:tc>
          <w:tcPr>
            <w:tcW w:w="960" w:type="dxa"/>
            <w:gridSpan w:val="2"/>
            <w:tcBorders>
              <w:top w:val="nil"/>
              <w:left w:val="nil"/>
              <w:bottom w:val="nil"/>
              <w:right w:val="nil"/>
            </w:tcBorders>
            <w:shd w:val="clear" w:color="000000" w:fill="CCFFCC"/>
            <w:vAlign w:val="center"/>
            <w:hideMark/>
          </w:tcPr>
          <w:p w14:paraId="7D115A8B" w14:textId="77777777" w:rsidR="00C93723" w:rsidRPr="0062158E" w:rsidRDefault="00C93723" w:rsidP="00C93723">
            <w:pPr>
              <w:spacing w:after="0" w:line="240" w:lineRule="auto"/>
              <w:jc w:val="center"/>
              <w:rPr>
                <w:rFonts w:eastAsia="Times New Roman" w:cs="Calibri"/>
                <w:sz w:val="16"/>
                <w:szCs w:val="16"/>
              </w:rPr>
            </w:pPr>
            <w:r w:rsidRPr="0062158E">
              <w:rPr>
                <w:rFonts w:eastAsia="Times New Roman" w:cs="Calibri"/>
                <w:sz w:val="16"/>
                <w:szCs w:val="16"/>
              </w:rPr>
              <w:t> </w:t>
            </w:r>
          </w:p>
        </w:tc>
        <w:tc>
          <w:tcPr>
            <w:tcW w:w="1308" w:type="dxa"/>
            <w:gridSpan w:val="2"/>
            <w:tcBorders>
              <w:top w:val="nil"/>
              <w:left w:val="nil"/>
              <w:bottom w:val="nil"/>
              <w:right w:val="nil"/>
            </w:tcBorders>
            <w:shd w:val="clear" w:color="000000" w:fill="CCFFCC"/>
            <w:vAlign w:val="center"/>
            <w:hideMark/>
          </w:tcPr>
          <w:p w14:paraId="1DCB7FBC" w14:textId="77777777" w:rsidR="00C93723" w:rsidRPr="0062158E" w:rsidRDefault="00C93723" w:rsidP="00C93723">
            <w:pPr>
              <w:spacing w:after="0" w:line="240" w:lineRule="auto"/>
              <w:jc w:val="center"/>
              <w:rPr>
                <w:rFonts w:eastAsia="Times New Roman" w:cs="Calibri"/>
                <w:sz w:val="16"/>
                <w:szCs w:val="16"/>
              </w:rPr>
            </w:pPr>
            <w:r w:rsidRPr="0062158E">
              <w:rPr>
                <w:rFonts w:eastAsia="Times New Roman" w:cs="Calibri"/>
                <w:sz w:val="16"/>
                <w:szCs w:val="16"/>
              </w:rPr>
              <w:t> </w:t>
            </w:r>
          </w:p>
        </w:tc>
        <w:tc>
          <w:tcPr>
            <w:tcW w:w="1242" w:type="dxa"/>
            <w:tcBorders>
              <w:top w:val="nil"/>
              <w:left w:val="nil"/>
              <w:bottom w:val="nil"/>
              <w:right w:val="nil"/>
            </w:tcBorders>
            <w:shd w:val="clear" w:color="000000" w:fill="CCFFCC"/>
            <w:vAlign w:val="center"/>
            <w:hideMark/>
          </w:tcPr>
          <w:p w14:paraId="22EFFEE1" w14:textId="77777777" w:rsidR="00C93723" w:rsidRPr="0062158E" w:rsidRDefault="00C93723" w:rsidP="00C93723">
            <w:pPr>
              <w:spacing w:after="0" w:line="240" w:lineRule="auto"/>
              <w:jc w:val="center"/>
              <w:rPr>
                <w:rFonts w:eastAsia="Times New Roman" w:cs="Calibri"/>
                <w:sz w:val="16"/>
                <w:szCs w:val="16"/>
              </w:rPr>
            </w:pPr>
            <w:r w:rsidRPr="0062158E">
              <w:rPr>
                <w:rFonts w:eastAsia="Times New Roman" w:cs="Calibri"/>
                <w:sz w:val="16"/>
                <w:szCs w:val="16"/>
              </w:rPr>
              <w:t> </w:t>
            </w:r>
          </w:p>
        </w:tc>
        <w:tc>
          <w:tcPr>
            <w:tcW w:w="3258" w:type="dxa"/>
            <w:gridSpan w:val="2"/>
            <w:tcBorders>
              <w:top w:val="nil"/>
              <w:left w:val="nil"/>
              <w:bottom w:val="nil"/>
              <w:right w:val="nil"/>
            </w:tcBorders>
            <w:shd w:val="clear" w:color="000000" w:fill="CCFFCC"/>
            <w:vAlign w:val="center"/>
            <w:hideMark/>
          </w:tcPr>
          <w:p w14:paraId="6C11BE53"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522" w:type="dxa"/>
            <w:gridSpan w:val="2"/>
            <w:tcBorders>
              <w:top w:val="nil"/>
              <w:left w:val="single" w:sz="8" w:space="0" w:color="auto"/>
              <w:bottom w:val="single" w:sz="8" w:space="0" w:color="auto"/>
              <w:right w:val="single" w:sz="8" w:space="0" w:color="auto"/>
            </w:tcBorders>
            <w:shd w:val="clear" w:color="000000" w:fill="CCFFCC"/>
            <w:vAlign w:val="center"/>
            <w:hideMark/>
          </w:tcPr>
          <w:p w14:paraId="7FBF6604"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6CB9AEFF"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w:t>
            </w:r>
          </w:p>
        </w:tc>
        <w:tc>
          <w:tcPr>
            <w:tcW w:w="582" w:type="dxa"/>
            <w:gridSpan w:val="3"/>
            <w:tcBorders>
              <w:top w:val="nil"/>
              <w:left w:val="nil"/>
              <w:bottom w:val="single" w:sz="8" w:space="0" w:color="auto"/>
              <w:right w:val="single" w:sz="8" w:space="0" w:color="auto"/>
            </w:tcBorders>
            <w:shd w:val="clear" w:color="000000" w:fill="CCFFCC"/>
            <w:vAlign w:val="center"/>
            <w:hideMark/>
          </w:tcPr>
          <w:p w14:paraId="2A7B5D1B"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III</w:t>
            </w:r>
          </w:p>
        </w:tc>
        <w:tc>
          <w:tcPr>
            <w:tcW w:w="480" w:type="dxa"/>
            <w:gridSpan w:val="3"/>
            <w:tcBorders>
              <w:top w:val="nil"/>
              <w:left w:val="nil"/>
              <w:bottom w:val="single" w:sz="8" w:space="0" w:color="auto"/>
              <w:right w:val="single" w:sz="8" w:space="0" w:color="auto"/>
            </w:tcBorders>
            <w:shd w:val="clear" w:color="000000" w:fill="CCFFCC"/>
            <w:vAlign w:val="center"/>
            <w:hideMark/>
          </w:tcPr>
          <w:p w14:paraId="59AFA102"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IV</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41C0BF84"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w:t>
            </w:r>
          </w:p>
        </w:tc>
        <w:tc>
          <w:tcPr>
            <w:tcW w:w="612" w:type="dxa"/>
            <w:gridSpan w:val="3"/>
            <w:tcBorders>
              <w:top w:val="nil"/>
              <w:left w:val="nil"/>
              <w:bottom w:val="single" w:sz="8" w:space="0" w:color="auto"/>
              <w:right w:val="single" w:sz="8" w:space="0" w:color="auto"/>
            </w:tcBorders>
            <w:shd w:val="clear" w:color="000000" w:fill="CCFFCC"/>
            <w:vAlign w:val="center"/>
            <w:hideMark/>
          </w:tcPr>
          <w:p w14:paraId="1A7FF31D"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399E4FF1"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III</w:t>
            </w:r>
          </w:p>
        </w:tc>
        <w:tc>
          <w:tcPr>
            <w:tcW w:w="540" w:type="dxa"/>
            <w:gridSpan w:val="3"/>
            <w:tcBorders>
              <w:top w:val="nil"/>
              <w:left w:val="nil"/>
              <w:bottom w:val="single" w:sz="8" w:space="0" w:color="auto"/>
              <w:right w:val="single" w:sz="8" w:space="0" w:color="auto"/>
            </w:tcBorders>
            <w:shd w:val="clear" w:color="000000" w:fill="CCFFCC"/>
            <w:vAlign w:val="center"/>
            <w:hideMark/>
          </w:tcPr>
          <w:p w14:paraId="096D9111"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IV</w:t>
            </w:r>
          </w:p>
        </w:tc>
        <w:tc>
          <w:tcPr>
            <w:tcW w:w="450" w:type="dxa"/>
            <w:gridSpan w:val="4"/>
            <w:tcBorders>
              <w:top w:val="nil"/>
              <w:left w:val="nil"/>
              <w:bottom w:val="single" w:sz="8" w:space="0" w:color="auto"/>
              <w:right w:val="single" w:sz="8" w:space="0" w:color="auto"/>
            </w:tcBorders>
            <w:shd w:val="clear" w:color="000000" w:fill="CCFFCC"/>
            <w:vAlign w:val="center"/>
            <w:hideMark/>
          </w:tcPr>
          <w:p w14:paraId="4B62FBB6"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2F5F5A59"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7819CB04"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III</w:t>
            </w:r>
          </w:p>
        </w:tc>
        <w:tc>
          <w:tcPr>
            <w:tcW w:w="522" w:type="dxa"/>
            <w:gridSpan w:val="3"/>
            <w:tcBorders>
              <w:top w:val="nil"/>
              <w:left w:val="nil"/>
              <w:bottom w:val="single" w:sz="8" w:space="0" w:color="auto"/>
              <w:right w:val="single" w:sz="8" w:space="0" w:color="auto"/>
            </w:tcBorders>
            <w:shd w:val="clear" w:color="000000" w:fill="CCFFCC"/>
            <w:vAlign w:val="center"/>
            <w:hideMark/>
          </w:tcPr>
          <w:p w14:paraId="108E4B9F"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IV</w:t>
            </w:r>
          </w:p>
        </w:tc>
        <w:tc>
          <w:tcPr>
            <w:tcW w:w="450" w:type="dxa"/>
            <w:gridSpan w:val="4"/>
            <w:tcBorders>
              <w:top w:val="nil"/>
              <w:left w:val="nil"/>
              <w:bottom w:val="single" w:sz="8" w:space="0" w:color="auto"/>
              <w:right w:val="single" w:sz="8" w:space="0" w:color="auto"/>
            </w:tcBorders>
            <w:shd w:val="clear" w:color="000000" w:fill="CCFFCC"/>
            <w:vAlign w:val="center"/>
            <w:hideMark/>
          </w:tcPr>
          <w:p w14:paraId="3DF7CD48"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w:t>
            </w:r>
          </w:p>
        </w:tc>
        <w:tc>
          <w:tcPr>
            <w:tcW w:w="450" w:type="dxa"/>
            <w:gridSpan w:val="2"/>
            <w:tcBorders>
              <w:top w:val="nil"/>
              <w:left w:val="nil"/>
              <w:bottom w:val="single" w:sz="8" w:space="0" w:color="auto"/>
              <w:right w:val="single" w:sz="8" w:space="0" w:color="auto"/>
            </w:tcBorders>
            <w:shd w:val="clear" w:color="000000" w:fill="CCFFCC"/>
            <w:vAlign w:val="center"/>
            <w:hideMark/>
          </w:tcPr>
          <w:p w14:paraId="668B17AC"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01181D7F"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III</w:t>
            </w:r>
          </w:p>
        </w:tc>
        <w:tc>
          <w:tcPr>
            <w:tcW w:w="648" w:type="dxa"/>
            <w:gridSpan w:val="3"/>
            <w:tcBorders>
              <w:top w:val="nil"/>
              <w:left w:val="nil"/>
              <w:bottom w:val="single" w:sz="8" w:space="0" w:color="auto"/>
              <w:right w:val="single" w:sz="8" w:space="0" w:color="auto"/>
            </w:tcBorders>
            <w:shd w:val="clear" w:color="000000" w:fill="CCFFCC"/>
            <w:vAlign w:val="center"/>
            <w:hideMark/>
          </w:tcPr>
          <w:p w14:paraId="153035DB" w14:textId="77777777" w:rsidR="00C93723" w:rsidRPr="0062158E" w:rsidRDefault="00C93723" w:rsidP="00C93723">
            <w:pPr>
              <w:spacing w:after="0" w:line="240" w:lineRule="auto"/>
              <w:jc w:val="center"/>
              <w:rPr>
                <w:rFonts w:eastAsia="Times New Roman" w:cs="Calibri"/>
                <w:b/>
                <w:bCs/>
                <w:sz w:val="16"/>
                <w:szCs w:val="16"/>
              </w:rPr>
            </w:pPr>
            <w:r w:rsidRPr="0062158E">
              <w:rPr>
                <w:rFonts w:eastAsia="Times New Roman" w:cs="Calibri"/>
                <w:b/>
                <w:bCs/>
                <w:sz w:val="16"/>
                <w:szCs w:val="16"/>
              </w:rPr>
              <w:t>IV</w:t>
            </w:r>
          </w:p>
        </w:tc>
      </w:tr>
      <w:tr w:rsidR="00C93723" w:rsidRPr="0062158E" w14:paraId="571FBEE8"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0155E4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I - Economic Analysis, Macroeconomic and Fiscal Framework</w:t>
            </w:r>
          </w:p>
        </w:tc>
      </w:tr>
      <w:tr w:rsidR="00C93723" w:rsidRPr="0062158E" w14:paraId="78A1E440" w14:textId="77777777" w:rsidTr="00B84551">
        <w:trPr>
          <w:trHeight w:val="225"/>
        </w:trPr>
        <w:tc>
          <w:tcPr>
            <w:tcW w:w="15210" w:type="dxa"/>
            <w:gridSpan w:val="54"/>
            <w:tcBorders>
              <w:top w:val="nil"/>
              <w:left w:val="nil"/>
              <w:bottom w:val="nil"/>
              <w:right w:val="nil"/>
            </w:tcBorders>
            <w:shd w:val="clear" w:color="000000" w:fill="00FF00"/>
            <w:vAlign w:val="center"/>
            <w:hideMark/>
          </w:tcPr>
          <w:p w14:paraId="2C594B13" w14:textId="3EF7117A" w:rsidR="00C93723" w:rsidRPr="0062158E" w:rsidRDefault="00FB7CC0" w:rsidP="00C93723">
            <w:pPr>
              <w:spacing w:after="0" w:line="240" w:lineRule="auto"/>
              <w:rPr>
                <w:rFonts w:eastAsia="Times New Roman" w:cs="Calibri"/>
                <w:b/>
                <w:bCs/>
                <w:sz w:val="16"/>
                <w:szCs w:val="16"/>
              </w:rPr>
            </w:pPr>
            <w:r>
              <w:rPr>
                <w:rFonts w:eastAsia="Times New Roman" w:cs="Calibri"/>
                <w:b/>
                <w:bCs/>
                <w:sz w:val="16"/>
                <w:szCs w:val="16"/>
              </w:rPr>
              <w:t xml:space="preserve">                </w:t>
            </w:r>
            <w:r w:rsidR="00C93723" w:rsidRPr="0062158E">
              <w:rPr>
                <w:rFonts w:eastAsia="Times New Roman" w:cs="Calibri"/>
                <w:b/>
                <w:bCs/>
                <w:sz w:val="16"/>
                <w:szCs w:val="16"/>
              </w:rPr>
              <w:t xml:space="preserve"> Priority 1.</w:t>
            </w:r>
            <w:r w:rsidR="00525B8D">
              <w:rPr>
                <w:rFonts w:eastAsia="Times New Roman" w:cs="Calibri"/>
                <w:b/>
                <w:bCs/>
                <w:sz w:val="16"/>
                <w:szCs w:val="16"/>
                <w:lang w:val="en-US"/>
              </w:rPr>
              <w:t xml:space="preserve"> </w:t>
            </w:r>
            <w:r w:rsidR="00C93723" w:rsidRPr="0062158E">
              <w:rPr>
                <w:rFonts w:eastAsia="Times New Roman" w:cs="Calibri"/>
                <w:b/>
                <w:bCs/>
                <w:sz w:val="16"/>
                <w:szCs w:val="16"/>
              </w:rPr>
              <w:t>Revenue forecasting and reporting</w:t>
            </w:r>
          </w:p>
        </w:tc>
      </w:tr>
      <w:tr w:rsidR="00C93723" w:rsidRPr="0062158E" w14:paraId="72B6FEDE" w14:textId="77777777" w:rsidTr="00B84551">
        <w:trPr>
          <w:trHeight w:val="288"/>
        </w:trPr>
        <w:tc>
          <w:tcPr>
            <w:tcW w:w="702" w:type="dxa"/>
            <w:gridSpan w:val="2"/>
            <w:tcBorders>
              <w:top w:val="nil"/>
              <w:left w:val="nil"/>
              <w:bottom w:val="nil"/>
              <w:right w:val="nil"/>
            </w:tcBorders>
            <w:shd w:val="clear" w:color="000000" w:fill="6FE7FF"/>
            <w:vAlign w:val="center"/>
            <w:hideMark/>
          </w:tcPr>
          <w:p w14:paraId="75BE6EF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5B42CE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0C2ABFA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240" w:type="dxa"/>
            <w:gridSpan w:val="48"/>
            <w:tcBorders>
              <w:top w:val="nil"/>
              <w:left w:val="nil"/>
              <w:bottom w:val="single" w:sz="8" w:space="0" w:color="auto"/>
              <w:right w:val="nil"/>
            </w:tcBorders>
            <w:shd w:val="clear" w:color="000000" w:fill="6FE7FF"/>
            <w:vAlign w:val="center"/>
            <w:hideMark/>
          </w:tcPr>
          <w:p w14:paraId="50FC1B7A" w14:textId="33E5F15D"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Improving tax and customs reporting in accordance with the EU best practices </w:t>
            </w:r>
          </w:p>
        </w:tc>
      </w:tr>
      <w:tr w:rsidR="00C93723" w:rsidRPr="0062158E" w14:paraId="10507607" w14:textId="77777777" w:rsidTr="00B84551">
        <w:trPr>
          <w:trHeight w:val="408"/>
        </w:trPr>
        <w:tc>
          <w:tcPr>
            <w:tcW w:w="702" w:type="dxa"/>
            <w:gridSpan w:val="2"/>
            <w:vMerge w:val="restart"/>
            <w:tcBorders>
              <w:top w:val="nil"/>
              <w:left w:val="nil"/>
              <w:bottom w:val="nil"/>
              <w:right w:val="nil"/>
            </w:tcBorders>
            <w:shd w:val="clear" w:color="auto" w:fill="auto"/>
            <w:vAlign w:val="bottom"/>
            <w:hideMark/>
          </w:tcPr>
          <w:p w14:paraId="715C8BE6" w14:textId="77777777" w:rsidR="00C93723" w:rsidRPr="0062158E" w:rsidRDefault="00C93723" w:rsidP="00C93723">
            <w:pPr>
              <w:spacing w:after="0" w:line="240" w:lineRule="auto"/>
              <w:rPr>
                <w:rFonts w:eastAsia="Times New Roman" w:cs="Calibri"/>
                <w:b/>
                <w:bCs/>
                <w:sz w:val="16"/>
                <w:szCs w:val="16"/>
              </w:rPr>
            </w:pPr>
          </w:p>
        </w:tc>
        <w:tc>
          <w:tcPr>
            <w:tcW w:w="960" w:type="dxa"/>
            <w:gridSpan w:val="2"/>
            <w:vMerge w:val="restart"/>
            <w:tcBorders>
              <w:top w:val="nil"/>
              <w:left w:val="nil"/>
              <w:bottom w:val="nil"/>
              <w:right w:val="nil"/>
            </w:tcBorders>
            <w:shd w:val="clear" w:color="auto" w:fill="auto"/>
            <w:vAlign w:val="bottom"/>
            <w:hideMark/>
          </w:tcPr>
          <w:p w14:paraId="066FDD23"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vMerge w:val="restart"/>
            <w:tcBorders>
              <w:top w:val="nil"/>
              <w:left w:val="nil"/>
              <w:bottom w:val="nil"/>
              <w:right w:val="single" w:sz="8" w:space="0" w:color="auto"/>
            </w:tcBorders>
            <w:shd w:val="clear" w:color="auto" w:fill="auto"/>
            <w:vAlign w:val="bottom"/>
            <w:hideMark/>
          </w:tcPr>
          <w:p w14:paraId="0C832E7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vMerge w:val="restart"/>
            <w:tcBorders>
              <w:top w:val="nil"/>
              <w:left w:val="single" w:sz="8" w:space="0" w:color="auto"/>
              <w:bottom w:val="single" w:sz="8" w:space="0" w:color="000000"/>
              <w:right w:val="nil"/>
            </w:tcBorders>
            <w:shd w:val="clear" w:color="auto" w:fill="auto"/>
            <w:vAlign w:val="center"/>
            <w:hideMark/>
          </w:tcPr>
          <w:p w14:paraId="1F99EE7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vMerge w:val="restart"/>
            <w:tcBorders>
              <w:top w:val="nil"/>
              <w:left w:val="nil"/>
              <w:bottom w:val="single" w:sz="8" w:space="0" w:color="000000"/>
              <w:right w:val="single" w:sz="8" w:space="0" w:color="auto"/>
            </w:tcBorders>
            <w:shd w:val="clear" w:color="auto" w:fill="auto"/>
            <w:vAlign w:val="center"/>
            <w:hideMark/>
          </w:tcPr>
          <w:p w14:paraId="6F5DE1E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 an effective and efficient tax data sharing mechanism</w:t>
            </w:r>
          </w:p>
        </w:tc>
        <w:tc>
          <w:tcPr>
            <w:tcW w:w="522" w:type="dxa"/>
            <w:gridSpan w:val="2"/>
            <w:vMerge w:val="restart"/>
            <w:tcBorders>
              <w:top w:val="nil"/>
              <w:left w:val="single" w:sz="8" w:space="0" w:color="auto"/>
              <w:bottom w:val="single" w:sz="8" w:space="0" w:color="000000"/>
              <w:right w:val="single" w:sz="8" w:space="0" w:color="auto"/>
            </w:tcBorders>
            <w:shd w:val="clear" w:color="000000" w:fill="0000FF"/>
            <w:vAlign w:val="center"/>
            <w:hideMark/>
          </w:tcPr>
          <w:p w14:paraId="7FB1691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419541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ABD0F1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1F8B96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DEE5C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C6ABBA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5ACC7E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07E06F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14:paraId="5DDD287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86619B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FF4B1E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959EED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14:paraId="0A2D8F7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0E5B9C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813B55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720CC7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52E79D4" w14:textId="77777777" w:rsidTr="00B84551">
        <w:trPr>
          <w:trHeight w:val="269"/>
        </w:trPr>
        <w:tc>
          <w:tcPr>
            <w:tcW w:w="702" w:type="dxa"/>
            <w:gridSpan w:val="2"/>
            <w:vMerge/>
            <w:tcBorders>
              <w:top w:val="nil"/>
              <w:left w:val="nil"/>
              <w:bottom w:val="nil"/>
              <w:right w:val="nil"/>
            </w:tcBorders>
            <w:vAlign w:val="center"/>
            <w:hideMark/>
          </w:tcPr>
          <w:p w14:paraId="79CCB5FE" w14:textId="77777777" w:rsidR="00C93723" w:rsidRPr="0062158E" w:rsidRDefault="00C93723" w:rsidP="00C93723">
            <w:pPr>
              <w:spacing w:after="0" w:line="240" w:lineRule="auto"/>
              <w:rPr>
                <w:rFonts w:eastAsia="Times New Roman" w:cs="Calibri"/>
                <w:b/>
                <w:bCs/>
                <w:sz w:val="16"/>
                <w:szCs w:val="16"/>
              </w:rPr>
            </w:pPr>
          </w:p>
        </w:tc>
        <w:tc>
          <w:tcPr>
            <w:tcW w:w="960" w:type="dxa"/>
            <w:gridSpan w:val="2"/>
            <w:vMerge/>
            <w:tcBorders>
              <w:top w:val="nil"/>
              <w:left w:val="nil"/>
              <w:bottom w:val="nil"/>
              <w:right w:val="nil"/>
            </w:tcBorders>
            <w:vAlign w:val="center"/>
            <w:hideMark/>
          </w:tcPr>
          <w:p w14:paraId="3D6ECE1B"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vMerge/>
            <w:tcBorders>
              <w:top w:val="nil"/>
              <w:left w:val="nil"/>
              <w:bottom w:val="nil"/>
              <w:right w:val="single" w:sz="8" w:space="0" w:color="auto"/>
            </w:tcBorders>
            <w:vAlign w:val="center"/>
            <w:hideMark/>
          </w:tcPr>
          <w:p w14:paraId="5EE5ACF6" w14:textId="77777777" w:rsidR="00C93723" w:rsidRPr="0062158E" w:rsidRDefault="00C93723" w:rsidP="00C93723">
            <w:pPr>
              <w:spacing w:after="0" w:line="240" w:lineRule="auto"/>
              <w:rPr>
                <w:rFonts w:eastAsia="Times New Roman" w:cs="Calibri"/>
                <w:sz w:val="16"/>
                <w:szCs w:val="16"/>
              </w:rPr>
            </w:pPr>
          </w:p>
        </w:tc>
        <w:tc>
          <w:tcPr>
            <w:tcW w:w="1242" w:type="dxa"/>
            <w:vMerge/>
            <w:tcBorders>
              <w:top w:val="nil"/>
              <w:left w:val="single" w:sz="8" w:space="0" w:color="auto"/>
              <w:bottom w:val="single" w:sz="8" w:space="0" w:color="000000"/>
              <w:right w:val="nil"/>
            </w:tcBorders>
            <w:vAlign w:val="center"/>
            <w:hideMark/>
          </w:tcPr>
          <w:p w14:paraId="2C293A53" w14:textId="77777777" w:rsidR="00C93723" w:rsidRPr="0062158E" w:rsidRDefault="00C93723" w:rsidP="00C93723">
            <w:pPr>
              <w:spacing w:after="0" w:line="240" w:lineRule="auto"/>
              <w:rPr>
                <w:rFonts w:eastAsia="Times New Roman" w:cs="Calibri"/>
                <w:sz w:val="16"/>
                <w:szCs w:val="16"/>
              </w:rPr>
            </w:pPr>
          </w:p>
        </w:tc>
        <w:tc>
          <w:tcPr>
            <w:tcW w:w="3258" w:type="dxa"/>
            <w:gridSpan w:val="2"/>
            <w:vMerge/>
            <w:tcBorders>
              <w:top w:val="nil"/>
              <w:left w:val="nil"/>
              <w:bottom w:val="single" w:sz="8" w:space="0" w:color="000000"/>
              <w:right w:val="single" w:sz="8" w:space="0" w:color="auto"/>
            </w:tcBorders>
            <w:vAlign w:val="center"/>
            <w:hideMark/>
          </w:tcPr>
          <w:p w14:paraId="44AF5DA4" w14:textId="77777777" w:rsidR="00C93723" w:rsidRPr="0062158E" w:rsidRDefault="00C93723" w:rsidP="00C93723">
            <w:pPr>
              <w:spacing w:after="0" w:line="240" w:lineRule="auto"/>
              <w:rPr>
                <w:rFonts w:eastAsia="Times New Roman" w:cs="Calibri"/>
                <w:sz w:val="16"/>
                <w:szCs w:val="16"/>
              </w:rPr>
            </w:pPr>
          </w:p>
        </w:tc>
        <w:tc>
          <w:tcPr>
            <w:tcW w:w="522" w:type="dxa"/>
            <w:gridSpan w:val="2"/>
            <w:vMerge/>
            <w:tcBorders>
              <w:top w:val="nil"/>
              <w:left w:val="single" w:sz="8" w:space="0" w:color="auto"/>
              <w:bottom w:val="single" w:sz="8" w:space="0" w:color="000000"/>
              <w:right w:val="single" w:sz="8" w:space="0" w:color="auto"/>
            </w:tcBorders>
            <w:vAlign w:val="center"/>
            <w:hideMark/>
          </w:tcPr>
          <w:p w14:paraId="16A82E1A" w14:textId="77777777" w:rsidR="00C93723" w:rsidRPr="0062158E" w:rsidRDefault="00C93723" w:rsidP="00C93723">
            <w:pPr>
              <w:spacing w:after="0" w:line="240" w:lineRule="auto"/>
              <w:rPr>
                <w:rFonts w:eastAsia="Times New Roman" w:cs="Calibri"/>
                <w:color w:val="FFFFFF"/>
                <w:sz w:val="16"/>
                <w:szCs w:val="16"/>
              </w:rPr>
            </w:pPr>
          </w:p>
        </w:tc>
        <w:tc>
          <w:tcPr>
            <w:tcW w:w="378" w:type="dxa"/>
            <w:gridSpan w:val="2"/>
            <w:vMerge/>
            <w:tcBorders>
              <w:top w:val="nil"/>
              <w:left w:val="single" w:sz="8" w:space="0" w:color="auto"/>
              <w:bottom w:val="single" w:sz="8" w:space="0" w:color="000000"/>
              <w:right w:val="single" w:sz="8" w:space="0" w:color="auto"/>
            </w:tcBorders>
            <w:vAlign w:val="center"/>
            <w:hideMark/>
          </w:tcPr>
          <w:p w14:paraId="4CFD66E6" w14:textId="77777777" w:rsidR="00C93723" w:rsidRPr="0062158E" w:rsidRDefault="00C93723" w:rsidP="00C93723">
            <w:pPr>
              <w:spacing w:after="0" w:line="240" w:lineRule="auto"/>
              <w:rPr>
                <w:rFonts w:eastAsia="Times New Roman" w:cs="Calibri"/>
                <w:color w:val="FFFFFF"/>
                <w:sz w:val="16"/>
                <w:szCs w:val="16"/>
              </w:rPr>
            </w:pPr>
          </w:p>
        </w:tc>
        <w:tc>
          <w:tcPr>
            <w:tcW w:w="582" w:type="dxa"/>
            <w:gridSpan w:val="3"/>
            <w:vMerge/>
            <w:tcBorders>
              <w:top w:val="nil"/>
              <w:left w:val="single" w:sz="8" w:space="0" w:color="auto"/>
              <w:bottom w:val="single" w:sz="8" w:space="0" w:color="000000"/>
              <w:right w:val="single" w:sz="8" w:space="0" w:color="auto"/>
            </w:tcBorders>
            <w:vAlign w:val="center"/>
            <w:hideMark/>
          </w:tcPr>
          <w:p w14:paraId="30615C06" w14:textId="77777777" w:rsidR="00C93723" w:rsidRPr="0062158E" w:rsidRDefault="00C93723" w:rsidP="00C93723">
            <w:pPr>
              <w:spacing w:after="0" w:line="240" w:lineRule="auto"/>
              <w:rPr>
                <w:rFonts w:eastAsia="Times New Roman" w:cs="Calibri"/>
                <w:color w:val="FFFFFF"/>
                <w:sz w:val="16"/>
                <w:szCs w:val="16"/>
              </w:rPr>
            </w:pPr>
          </w:p>
        </w:tc>
        <w:tc>
          <w:tcPr>
            <w:tcW w:w="480" w:type="dxa"/>
            <w:gridSpan w:val="3"/>
            <w:vMerge/>
            <w:tcBorders>
              <w:top w:val="nil"/>
              <w:left w:val="single" w:sz="8" w:space="0" w:color="auto"/>
              <w:bottom w:val="single" w:sz="8" w:space="0" w:color="000000"/>
              <w:right w:val="single" w:sz="8" w:space="0" w:color="auto"/>
            </w:tcBorders>
            <w:vAlign w:val="center"/>
            <w:hideMark/>
          </w:tcPr>
          <w:p w14:paraId="22141D2F" w14:textId="77777777" w:rsidR="00C93723" w:rsidRPr="0062158E" w:rsidRDefault="00C93723" w:rsidP="00C93723">
            <w:pPr>
              <w:spacing w:after="0" w:line="240" w:lineRule="auto"/>
              <w:rPr>
                <w:rFonts w:eastAsia="Times New Roman" w:cs="Calibri"/>
                <w:color w:val="FFFFFF"/>
                <w:sz w:val="16"/>
                <w:szCs w:val="16"/>
              </w:rPr>
            </w:pPr>
          </w:p>
        </w:tc>
        <w:tc>
          <w:tcPr>
            <w:tcW w:w="378" w:type="dxa"/>
            <w:gridSpan w:val="2"/>
            <w:vMerge/>
            <w:tcBorders>
              <w:top w:val="nil"/>
              <w:left w:val="single" w:sz="8" w:space="0" w:color="auto"/>
              <w:bottom w:val="single" w:sz="8" w:space="0" w:color="000000"/>
              <w:right w:val="single" w:sz="8" w:space="0" w:color="auto"/>
            </w:tcBorders>
            <w:vAlign w:val="center"/>
            <w:hideMark/>
          </w:tcPr>
          <w:p w14:paraId="78B06717" w14:textId="77777777" w:rsidR="00C93723" w:rsidRPr="0062158E" w:rsidRDefault="00C93723" w:rsidP="00C93723">
            <w:pPr>
              <w:spacing w:after="0" w:line="240" w:lineRule="auto"/>
              <w:rPr>
                <w:rFonts w:eastAsia="Times New Roman" w:cs="Calibri"/>
                <w:color w:val="FFFFFF"/>
                <w:sz w:val="16"/>
                <w:szCs w:val="16"/>
              </w:rPr>
            </w:pPr>
          </w:p>
        </w:tc>
        <w:tc>
          <w:tcPr>
            <w:tcW w:w="612" w:type="dxa"/>
            <w:gridSpan w:val="3"/>
            <w:vMerge/>
            <w:tcBorders>
              <w:top w:val="nil"/>
              <w:left w:val="single" w:sz="8" w:space="0" w:color="auto"/>
              <w:bottom w:val="single" w:sz="8" w:space="0" w:color="000000"/>
              <w:right w:val="single" w:sz="8" w:space="0" w:color="auto"/>
            </w:tcBorders>
            <w:vAlign w:val="center"/>
            <w:hideMark/>
          </w:tcPr>
          <w:p w14:paraId="226FE773"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3"/>
            <w:vMerge/>
            <w:tcBorders>
              <w:top w:val="nil"/>
              <w:left w:val="single" w:sz="8" w:space="0" w:color="auto"/>
              <w:bottom w:val="single" w:sz="8" w:space="0" w:color="000000"/>
              <w:right w:val="single" w:sz="8" w:space="0" w:color="auto"/>
            </w:tcBorders>
            <w:vAlign w:val="center"/>
            <w:hideMark/>
          </w:tcPr>
          <w:p w14:paraId="3A0EF7A0" w14:textId="77777777" w:rsidR="00C93723" w:rsidRPr="0062158E" w:rsidRDefault="00C93723" w:rsidP="00C93723">
            <w:pPr>
              <w:spacing w:after="0" w:line="240" w:lineRule="auto"/>
              <w:rPr>
                <w:rFonts w:eastAsia="Times New Roman" w:cs="Calibri"/>
                <w:color w:val="FFFFFF"/>
                <w:sz w:val="16"/>
                <w:szCs w:val="16"/>
              </w:rPr>
            </w:pPr>
          </w:p>
        </w:tc>
        <w:tc>
          <w:tcPr>
            <w:tcW w:w="540" w:type="dxa"/>
            <w:gridSpan w:val="3"/>
            <w:vMerge/>
            <w:tcBorders>
              <w:top w:val="nil"/>
              <w:left w:val="single" w:sz="8" w:space="0" w:color="auto"/>
              <w:bottom w:val="single" w:sz="8" w:space="0" w:color="000000"/>
              <w:right w:val="single" w:sz="8" w:space="0" w:color="auto"/>
            </w:tcBorders>
            <w:vAlign w:val="center"/>
            <w:hideMark/>
          </w:tcPr>
          <w:p w14:paraId="6B3E8E96"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4"/>
            <w:vMerge/>
            <w:tcBorders>
              <w:top w:val="nil"/>
              <w:left w:val="single" w:sz="8" w:space="0" w:color="auto"/>
              <w:bottom w:val="single" w:sz="8" w:space="0" w:color="000000"/>
              <w:right w:val="single" w:sz="8" w:space="0" w:color="auto"/>
            </w:tcBorders>
            <w:vAlign w:val="center"/>
            <w:hideMark/>
          </w:tcPr>
          <w:p w14:paraId="59F10C0C"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3"/>
            <w:vMerge/>
            <w:tcBorders>
              <w:top w:val="nil"/>
              <w:left w:val="single" w:sz="8" w:space="0" w:color="auto"/>
              <w:bottom w:val="single" w:sz="8" w:space="0" w:color="000000"/>
              <w:right w:val="single" w:sz="8" w:space="0" w:color="auto"/>
            </w:tcBorders>
            <w:vAlign w:val="center"/>
            <w:hideMark/>
          </w:tcPr>
          <w:p w14:paraId="0F68166F" w14:textId="77777777" w:rsidR="00C93723" w:rsidRPr="0062158E" w:rsidRDefault="00C93723" w:rsidP="00C93723">
            <w:pPr>
              <w:spacing w:after="0" w:line="240" w:lineRule="auto"/>
              <w:rPr>
                <w:rFonts w:eastAsia="Times New Roman" w:cs="Calibri"/>
                <w:color w:val="FFFFFF"/>
                <w:sz w:val="16"/>
                <w:szCs w:val="16"/>
              </w:rPr>
            </w:pPr>
          </w:p>
        </w:tc>
        <w:tc>
          <w:tcPr>
            <w:tcW w:w="378" w:type="dxa"/>
            <w:gridSpan w:val="2"/>
            <w:vMerge/>
            <w:tcBorders>
              <w:top w:val="nil"/>
              <w:left w:val="single" w:sz="8" w:space="0" w:color="auto"/>
              <w:bottom w:val="single" w:sz="8" w:space="0" w:color="000000"/>
              <w:right w:val="single" w:sz="8" w:space="0" w:color="auto"/>
            </w:tcBorders>
            <w:vAlign w:val="center"/>
            <w:hideMark/>
          </w:tcPr>
          <w:p w14:paraId="27314D48" w14:textId="77777777" w:rsidR="00C93723" w:rsidRPr="0062158E" w:rsidRDefault="00C93723" w:rsidP="00C93723">
            <w:pPr>
              <w:spacing w:after="0" w:line="240" w:lineRule="auto"/>
              <w:rPr>
                <w:rFonts w:eastAsia="Times New Roman" w:cs="Calibri"/>
                <w:color w:val="FFFFFF"/>
                <w:sz w:val="16"/>
                <w:szCs w:val="16"/>
              </w:rPr>
            </w:pPr>
          </w:p>
        </w:tc>
        <w:tc>
          <w:tcPr>
            <w:tcW w:w="522" w:type="dxa"/>
            <w:gridSpan w:val="3"/>
            <w:vMerge/>
            <w:tcBorders>
              <w:top w:val="nil"/>
              <w:left w:val="single" w:sz="8" w:space="0" w:color="auto"/>
              <w:bottom w:val="single" w:sz="8" w:space="0" w:color="000000"/>
              <w:right w:val="single" w:sz="8" w:space="0" w:color="auto"/>
            </w:tcBorders>
            <w:vAlign w:val="center"/>
            <w:hideMark/>
          </w:tcPr>
          <w:p w14:paraId="296E9C66"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4"/>
            <w:vMerge/>
            <w:tcBorders>
              <w:top w:val="nil"/>
              <w:left w:val="single" w:sz="8" w:space="0" w:color="auto"/>
              <w:bottom w:val="single" w:sz="8" w:space="0" w:color="000000"/>
              <w:right w:val="single" w:sz="8" w:space="0" w:color="auto"/>
            </w:tcBorders>
            <w:vAlign w:val="center"/>
            <w:hideMark/>
          </w:tcPr>
          <w:p w14:paraId="1372B559"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2"/>
            <w:vMerge/>
            <w:tcBorders>
              <w:top w:val="nil"/>
              <w:left w:val="single" w:sz="8" w:space="0" w:color="auto"/>
              <w:bottom w:val="single" w:sz="8" w:space="0" w:color="000000"/>
              <w:right w:val="single" w:sz="8" w:space="0" w:color="auto"/>
            </w:tcBorders>
            <w:vAlign w:val="center"/>
            <w:hideMark/>
          </w:tcPr>
          <w:p w14:paraId="32A3C4F7" w14:textId="77777777" w:rsidR="00C93723" w:rsidRPr="0062158E" w:rsidRDefault="00C93723" w:rsidP="00C93723">
            <w:pPr>
              <w:spacing w:after="0" w:line="240" w:lineRule="auto"/>
              <w:rPr>
                <w:rFonts w:eastAsia="Times New Roman" w:cs="Calibri"/>
                <w:color w:val="FFFFFF"/>
                <w:sz w:val="16"/>
                <w:szCs w:val="16"/>
              </w:rPr>
            </w:pPr>
          </w:p>
        </w:tc>
        <w:tc>
          <w:tcPr>
            <w:tcW w:w="450" w:type="dxa"/>
            <w:gridSpan w:val="3"/>
            <w:vMerge/>
            <w:tcBorders>
              <w:top w:val="nil"/>
              <w:left w:val="single" w:sz="8" w:space="0" w:color="auto"/>
              <w:bottom w:val="single" w:sz="8" w:space="0" w:color="000000"/>
              <w:right w:val="single" w:sz="8" w:space="0" w:color="auto"/>
            </w:tcBorders>
            <w:vAlign w:val="center"/>
            <w:hideMark/>
          </w:tcPr>
          <w:p w14:paraId="4FC802F5" w14:textId="77777777" w:rsidR="00C93723" w:rsidRPr="0062158E" w:rsidRDefault="00C93723" w:rsidP="00C93723">
            <w:pPr>
              <w:spacing w:after="0" w:line="240" w:lineRule="auto"/>
              <w:rPr>
                <w:rFonts w:eastAsia="Times New Roman" w:cs="Calibri"/>
                <w:color w:val="FFFFFF"/>
                <w:sz w:val="16"/>
                <w:szCs w:val="16"/>
              </w:rPr>
            </w:pPr>
          </w:p>
        </w:tc>
        <w:tc>
          <w:tcPr>
            <w:tcW w:w="648" w:type="dxa"/>
            <w:gridSpan w:val="3"/>
            <w:vMerge/>
            <w:tcBorders>
              <w:top w:val="nil"/>
              <w:left w:val="single" w:sz="8" w:space="0" w:color="auto"/>
              <w:bottom w:val="single" w:sz="8" w:space="0" w:color="000000"/>
              <w:right w:val="single" w:sz="8" w:space="0" w:color="auto"/>
            </w:tcBorders>
            <w:vAlign w:val="center"/>
            <w:hideMark/>
          </w:tcPr>
          <w:p w14:paraId="472658EE" w14:textId="77777777" w:rsidR="00C93723" w:rsidRPr="0062158E" w:rsidRDefault="00C93723" w:rsidP="00C93723">
            <w:pPr>
              <w:spacing w:after="0" w:line="240" w:lineRule="auto"/>
              <w:rPr>
                <w:rFonts w:eastAsia="Times New Roman" w:cs="Calibri"/>
                <w:color w:val="FFFFFF"/>
                <w:sz w:val="16"/>
                <w:szCs w:val="16"/>
              </w:rPr>
            </w:pPr>
          </w:p>
        </w:tc>
      </w:tr>
      <w:tr w:rsidR="00C93723" w:rsidRPr="0062158E" w14:paraId="03B83E0C" w14:textId="77777777" w:rsidTr="00B84551">
        <w:trPr>
          <w:trHeight w:val="421"/>
        </w:trPr>
        <w:tc>
          <w:tcPr>
            <w:tcW w:w="702" w:type="dxa"/>
            <w:gridSpan w:val="2"/>
            <w:tcBorders>
              <w:top w:val="nil"/>
              <w:left w:val="nil"/>
              <w:bottom w:val="nil"/>
              <w:right w:val="nil"/>
            </w:tcBorders>
            <w:shd w:val="clear" w:color="auto" w:fill="auto"/>
            <w:vAlign w:val="bottom"/>
            <w:hideMark/>
          </w:tcPr>
          <w:p w14:paraId="03048BEB"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07857F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3D27A6B"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CAF186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4476CA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Preparing tax expenditure  report and other reports in line with EU best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20F31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1B068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1D58F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8FA9ED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1AD6A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4E0CDB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F4027B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B41641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6A9857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0713E0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0364932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446E943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6137DE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376AADB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29655F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2C6D99F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8F1E71A" w14:textId="77777777" w:rsidTr="00B84551">
        <w:trPr>
          <w:trHeight w:val="315"/>
        </w:trPr>
        <w:tc>
          <w:tcPr>
            <w:tcW w:w="702" w:type="dxa"/>
            <w:gridSpan w:val="2"/>
            <w:tcBorders>
              <w:top w:val="nil"/>
              <w:left w:val="nil"/>
              <w:bottom w:val="nil"/>
              <w:right w:val="nil"/>
            </w:tcBorders>
            <w:shd w:val="clear" w:color="000000" w:fill="6FE7FF"/>
            <w:vAlign w:val="center"/>
            <w:hideMark/>
          </w:tcPr>
          <w:p w14:paraId="4E3117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C5A56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40A7EA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04D4D83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747808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Enhancing tax  and customs modelling capacity </w:t>
            </w:r>
          </w:p>
        </w:tc>
        <w:tc>
          <w:tcPr>
            <w:tcW w:w="522" w:type="dxa"/>
            <w:gridSpan w:val="2"/>
            <w:tcBorders>
              <w:top w:val="nil"/>
              <w:left w:val="nil"/>
              <w:bottom w:val="single" w:sz="8" w:space="0" w:color="auto"/>
              <w:right w:val="nil"/>
            </w:tcBorders>
            <w:shd w:val="clear" w:color="000000" w:fill="6FE7FF"/>
            <w:vAlign w:val="center"/>
            <w:hideMark/>
          </w:tcPr>
          <w:p w14:paraId="3BF4AC3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4801E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3216C1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E1C0CB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520256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3D482D0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4F5018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648353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6B2D658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79CC5E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46040D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BA4A5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66212E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0B7C1A6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30DF69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9BA3E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7968468" w14:textId="77777777" w:rsidTr="00B84551">
        <w:trPr>
          <w:trHeight w:val="329"/>
        </w:trPr>
        <w:tc>
          <w:tcPr>
            <w:tcW w:w="702" w:type="dxa"/>
            <w:gridSpan w:val="2"/>
            <w:tcBorders>
              <w:top w:val="nil"/>
              <w:left w:val="nil"/>
              <w:bottom w:val="nil"/>
              <w:right w:val="nil"/>
            </w:tcBorders>
            <w:shd w:val="clear" w:color="auto" w:fill="auto"/>
            <w:vAlign w:val="bottom"/>
            <w:hideMark/>
          </w:tcPr>
          <w:p w14:paraId="333B947B" w14:textId="77777777" w:rsidR="00C93723" w:rsidRPr="0062158E" w:rsidRDefault="00C93723" w:rsidP="00015129">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0FBC09D4" w14:textId="77777777" w:rsidR="00C93723" w:rsidRPr="0062158E" w:rsidRDefault="00C93723" w:rsidP="00015129">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BD1C702" w14:textId="77777777" w:rsidR="00C93723" w:rsidRPr="0062158E" w:rsidRDefault="00C93723" w:rsidP="00015129">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9CC6C05" w14:textId="77777777" w:rsidR="00C93723" w:rsidRPr="0062158E" w:rsidRDefault="00C93723" w:rsidP="00015129">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258E2EB" w14:textId="77777777" w:rsidR="00C93723" w:rsidRPr="0062158E" w:rsidRDefault="00C93723" w:rsidP="00015129">
            <w:pPr>
              <w:spacing w:after="0" w:line="240" w:lineRule="auto"/>
              <w:rPr>
                <w:rFonts w:eastAsia="Times New Roman" w:cs="Calibri"/>
                <w:sz w:val="16"/>
                <w:szCs w:val="16"/>
              </w:rPr>
            </w:pPr>
            <w:r w:rsidRPr="0062158E">
              <w:rPr>
                <w:rFonts w:eastAsia="Times New Roman" w:cs="Calibri"/>
                <w:sz w:val="16"/>
                <w:szCs w:val="16"/>
              </w:rPr>
              <w:t>Implementation of developed tax models and further training of staff</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70628D1"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2588C6D"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A101BC5"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7063D2A"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56563FA"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DB940FE"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6FF1B95"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3D1C54D"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218AC7DB"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421EED4"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04D425CB"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59BA8A00"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644D171C"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7C7C89B3"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50BB93E2"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472528AE" w14:textId="77777777" w:rsidR="00C93723" w:rsidRPr="0062158E" w:rsidRDefault="00C93723" w:rsidP="00015129">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0C7AD60" w14:textId="77777777" w:rsidTr="00B84551">
        <w:trPr>
          <w:trHeight w:val="367"/>
        </w:trPr>
        <w:tc>
          <w:tcPr>
            <w:tcW w:w="702" w:type="dxa"/>
            <w:gridSpan w:val="2"/>
            <w:tcBorders>
              <w:top w:val="nil"/>
              <w:left w:val="nil"/>
              <w:bottom w:val="nil"/>
              <w:right w:val="nil"/>
            </w:tcBorders>
            <w:shd w:val="clear" w:color="auto" w:fill="auto"/>
            <w:vAlign w:val="bottom"/>
            <w:hideMark/>
          </w:tcPr>
          <w:p w14:paraId="64628AE1"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376D8BE"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165C64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874F9D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AA1C22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Extending the tax models with new modules and installation of Power BI tool</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AA19D6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520F0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BB76E8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71775C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4A0E13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FFFFFF"/>
            <w:vAlign w:val="center"/>
            <w:hideMark/>
          </w:tcPr>
          <w:p w14:paraId="1900CFE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4F348E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2E4BF6E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334BE86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22004F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216A9AF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11C7FAE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3FF071F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0650DD9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7526B1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5FE2F46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41A55CF" w14:textId="77777777" w:rsidTr="00B84551">
        <w:trPr>
          <w:trHeight w:val="300"/>
        </w:trPr>
        <w:tc>
          <w:tcPr>
            <w:tcW w:w="702" w:type="dxa"/>
            <w:gridSpan w:val="2"/>
            <w:tcBorders>
              <w:top w:val="nil"/>
              <w:left w:val="nil"/>
              <w:bottom w:val="nil"/>
              <w:right w:val="nil"/>
            </w:tcBorders>
            <w:shd w:val="clear" w:color="000000" w:fill="00FF00"/>
            <w:vAlign w:val="center"/>
            <w:hideMark/>
          </w:tcPr>
          <w:p w14:paraId="275303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768" w:type="dxa"/>
            <w:gridSpan w:val="7"/>
            <w:tcBorders>
              <w:top w:val="nil"/>
              <w:left w:val="nil"/>
              <w:bottom w:val="nil"/>
              <w:right w:val="nil"/>
            </w:tcBorders>
            <w:shd w:val="clear" w:color="000000" w:fill="00FF00"/>
            <w:vAlign w:val="center"/>
            <w:hideMark/>
          </w:tcPr>
          <w:p w14:paraId="1124B5C9" w14:textId="10A7274C"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r w:rsidR="00525B8D">
              <w:rPr>
                <w:rFonts w:eastAsia="Times New Roman" w:cs="Calibri"/>
                <w:b/>
                <w:bCs/>
                <w:sz w:val="16"/>
                <w:szCs w:val="16"/>
                <w:lang w:val="en-US"/>
              </w:rPr>
              <w:t xml:space="preserve"> </w:t>
            </w:r>
            <w:r w:rsidRPr="0062158E">
              <w:rPr>
                <w:rFonts w:eastAsia="Times New Roman" w:cs="Calibri"/>
                <w:b/>
                <w:bCs/>
                <w:sz w:val="16"/>
                <w:szCs w:val="16"/>
              </w:rPr>
              <w:t>Economic analysis and macroeconomic forecasting</w:t>
            </w:r>
          </w:p>
        </w:tc>
        <w:tc>
          <w:tcPr>
            <w:tcW w:w="522" w:type="dxa"/>
            <w:gridSpan w:val="2"/>
            <w:tcBorders>
              <w:top w:val="nil"/>
              <w:left w:val="nil"/>
              <w:bottom w:val="nil"/>
              <w:right w:val="nil"/>
            </w:tcBorders>
            <w:shd w:val="clear" w:color="000000" w:fill="00FF00"/>
            <w:vAlign w:val="center"/>
            <w:hideMark/>
          </w:tcPr>
          <w:p w14:paraId="485E9D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0D42F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17245FB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6978F0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FB81C6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3527BA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03404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76AB2C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1FE006B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706E227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C2E4C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2740BA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794B338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50468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52917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3479EA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3E0001D" w14:textId="77777777" w:rsidTr="00B84551">
        <w:trPr>
          <w:trHeight w:val="315"/>
        </w:trPr>
        <w:tc>
          <w:tcPr>
            <w:tcW w:w="702" w:type="dxa"/>
            <w:gridSpan w:val="2"/>
            <w:tcBorders>
              <w:top w:val="nil"/>
              <w:left w:val="nil"/>
              <w:bottom w:val="nil"/>
              <w:right w:val="nil"/>
            </w:tcBorders>
            <w:shd w:val="clear" w:color="000000" w:fill="6FE7FF"/>
            <w:vAlign w:val="center"/>
            <w:hideMark/>
          </w:tcPr>
          <w:p w14:paraId="415AB14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F4FCA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43233A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397F13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B2961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Capacity building for economic analysis</w:t>
            </w:r>
          </w:p>
        </w:tc>
        <w:tc>
          <w:tcPr>
            <w:tcW w:w="522" w:type="dxa"/>
            <w:gridSpan w:val="2"/>
            <w:tcBorders>
              <w:top w:val="nil"/>
              <w:left w:val="nil"/>
              <w:bottom w:val="single" w:sz="8" w:space="0" w:color="auto"/>
              <w:right w:val="nil"/>
            </w:tcBorders>
            <w:shd w:val="clear" w:color="000000" w:fill="6FE7FF"/>
            <w:vAlign w:val="center"/>
            <w:hideMark/>
          </w:tcPr>
          <w:p w14:paraId="5D8199B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4FF20AC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1394F2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542324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33DAFE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50920EB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E4BDF4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0FC225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26219C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26FBBA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437E3CA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CE97D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47E9A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07EB35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5746A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E321F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39255A14" w14:textId="77777777" w:rsidTr="00B84551">
        <w:trPr>
          <w:trHeight w:val="315"/>
        </w:trPr>
        <w:tc>
          <w:tcPr>
            <w:tcW w:w="702" w:type="dxa"/>
            <w:gridSpan w:val="2"/>
            <w:tcBorders>
              <w:top w:val="nil"/>
              <w:left w:val="nil"/>
              <w:bottom w:val="nil"/>
              <w:right w:val="nil"/>
            </w:tcBorders>
            <w:shd w:val="clear" w:color="auto" w:fill="auto"/>
            <w:vAlign w:val="bottom"/>
            <w:hideMark/>
          </w:tcPr>
          <w:p w14:paraId="63711FF1"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05E33E5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9DC3924"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089259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78741A7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Increasing the scope of economic analyses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9278C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D4B21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653245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EA623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69B96D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9F5BBB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33076D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54BD1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8B79CD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70880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C2569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249B03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FF939D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772CD87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E79BC5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6F3AADA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B3DF93E" w14:textId="77777777" w:rsidTr="00B84551">
        <w:trPr>
          <w:trHeight w:val="315"/>
        </w:trPr>
        <w:tc>
          <w:tcPr>
            <w:tcW w:w="702" w:type="dxa"/>
            <w:gridSpan w:val="2"/>
            <w:tcBorders>
              <w:top w:val="nil"/>
              <w:left w:val="nil"/>
              <w:bottom w:val="nil"/>
              <w:right w:val="nil"/>
            </w:tcBorders>
            <w:shd w:val="clear" w:color="auto" w:fill="auto"/>
            <w:vAlign w:val="bottom"/>
            <w:hideMark/>
          </w:tcPr>
          <w:p w14:paraId="68FD8CE7"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213596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B58A174"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2368FF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23EED9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Economic policy impact assessment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32DD6C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09491B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EA7E19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986473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667E9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A12510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BBA3C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29E8A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730569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476385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65C54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F102BA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A680F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6528376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52E285A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572ED8B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67A5E630" w14:textId="77777777" w:rsidTr="00B84551">
        <w:trPr>
          <w:trHeight w:val="315"/>
        </w:trPr>
        <w:tc>
          <w:tcPr>
            <w:tcW w:w="702" w:type="dxa"/>
            <w:gridSpan w:val="2"/>
            <w:tcBorders>
              <w:top w:val="nil"/>
              <w:left w:val="nil"/>
              <w:bottom w:val="nil"/>
              <w:right w:val="nil"/>
            </w:tcBorders>
            <w:shd w:val="clear" w:color="000000" w:fill="6FE7FF"/>
            <w:vAlign w:val="center"/>
            <w:hideMark/>
          </w:tcPr>
          <w:p w14:paraId="538FA1E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84307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4E8BC76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636E9988"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2504D6B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Developing new macroeconomic models </w:t>
            </w:r>
          </w:p>
        </w:tc>
        <w:tc>
          <w:tcPr>
            <w:tcW w:w="522" w:type="dxa"/>
            <w:gridSpan w:val="2"/>
            <w:tcBorders>
              <w:top w:val="nil"/>
              <w:left w:val="nil"/>
              <w:bottom w:val="single" w:sz="8" w:space="0" w:color="auto"/>
              <w:right w:val="nil"/>
            </w:tcBorders>
            <w:shd w:val="clear" w:color="000000" w:fill="6FE7FF"/>
            <w:vAlign w:val="center"/>
            <w:hideMark/>
          </w:tcPr>
          <w:p w14:paraId="45AD07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A0323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0586764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127404D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7EB7D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70321BA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D5CCAF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7BE316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1EEDC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37D3C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678DAE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65721D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65F37A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48AE38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EAF82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0E1C1D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29AE882" w14:textId="77777777" w:rsidTr="00B84551">
        <w:trPr>
          <w:trHeight w:val="340"/>
        </w:trPr>
        <w:tc>
          <w:tcPr>
            <w:tcW w:w="702" w:type="dxa"/>
            <w:gridSpan w:val="2"/>
            <w:tcBorders>
              <w:top w:val="nil"/>
              <w:left w:val="nil"/>
              <w:bottom w:val="nil"/>
              <w:right w:val="nil"/>
            </w:tcBorders>
            <w:shd w:val="clear" w:color="auto" w:fill="auto"/>
            <w:vAlign w:val="bottom"/>
            <w:hideMark/>
          </w:tcPr>
          <w:p w14:paraId="627C9BF9"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617885C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7B234AF"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A9BF94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0CB74BF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Developing macroeconomic forecasting tools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EE9685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B55B5B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229FA8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F7D42A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3737F5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0E962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47016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B184E3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E7DD4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C52B19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B7432B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3C990B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16C24D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371EFDA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AF65FE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8C96E5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AC41761" w14:textId="77777777" w:rsidTr="00B84551">
        <w:trPr>
          <w:trHeight w:val="250"/>
        </w:trPr>
        <w:tc>
          <w:tcPr>
            <w:tcW w:w="702" w:type="dxa"/>
            <w:gridSpan w:val="2"/>
            <w:tcBorders>
              <w:top w:val="nil"/>
              <w:left w:val="nil"/>
              <w:bottom w:val="nil"/>
              <w:right w:val="nil"/>
            </w:tcBorders>
            <w:shd w:val="clear" w:color="000000" w:fill="6FE7FF"/>
            <w:vAlign w:val="center"/>
            <w:hideMark/>
          </w:tcPr>
          <w:p w14:paraId="0BD6821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3F4995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04F59A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1242" w:type="dxa"/>
            <w:tcBorders>
              <w:top w:val="nil"/>
              <w:left w:val="nil"/>
              <w:bottom w:val="nil"/>
              <w:right w:val="nil"/>
            </w:tcBorders>
            <w:shd w:val="clear" w:color="000000" w:fill="6FE7FF"/>
            <w:vAlign w:val="center"/>
            <w:hideMark/>
          </w:tcPr>
          <w:p w14:paraId="5D37E838"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nil"/>
              <w:right w:val="nil"/>
            </w:tcBorders>
            <w:shd w:val="clear" w:color="000000" w:fill="6FE7FF"/>
            <w:vAlign w:val="center"/>
            <w:hideMark/>
          </w:tcPr>
          <w:p w14:paraId="44D49E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Fiscal risks </w:t>
            </w:r>
          </w:p>
        </w:tc>
        <w:tc>
          <w:tcPr>
            <w:tcW w:w="522" w:type="dxa"/>
            <w:gridSpan w:val="2"/>
            <w:tcBorders>
              <w:top w:val="nil"/>
              <w:left w:val="nil"/>
              <w:bottom w:val="nil"/>
              <w:right w:val="nil"/>
            </w:tcBorders>
            <w:shd w:val="clear" w:color="000000" w:fill="6FE7FF"/>
            <w:vAlign w:val="center"/>
            <w:hideMark/>
          </w:tcPr>
          <w:p w14:paraId="2BE3FF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64DE84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479145A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2B293B3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67D134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5FD9C5F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08C45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605EEF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350622F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779062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8EDA9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207F5D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5122207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2544D7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5D012C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110A7F5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EB6B5A1" w14:textId="77777777" w:rsidTr="00B84551">
        <w:trPr>
          <w:trHeight w:val="367"/>
        </w:trPr>
        <w:tc>
          <w:tcPr>
            <w:tcW w:w="702" w:type="dxa"/>
            <w:gridSpan w:val="2"/>
            <w:tcBorders>
              <w:top w:val="nil"/>
              <w:left w:val="nil"/>
              <w:bottom w:val="nil"/>
              <w:right w:val="nil"/>
            </w:tcBorders>
            <w:shd w:val="clear" w:color="auto" w:fill="auto"/>
            <w:vAlign w:val="bottom"/>
            <w:hideMark/>
          </w:tcPr>
          <w:p w14:paraId="2FC1B7DC"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5B741AC"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25F39A7"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2A33912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754B56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Establishing institutional framework for fiscal analyses at MoF</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27BFEC4A"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8D88B62"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7667E06D"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A19ADC9"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162CB8FC"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4CC16188"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1C76AE9"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4A5D3194"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443D8CC"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9E108BC"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9191399"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5211C5B9"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0EDB2ED7"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09A09F69"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210468C"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756F6D08"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r>
      <w:tr w:rsidR="00C93723" w:rsidRPr="0062158E" w14:paraId="434B295E" w14:textId="77777777" w:rsidTr="00B84551">
        <w:trPr>
          <w:trHeight w:val="403"/>
        </w:trPr>
        <w:tc>
          <w:tcPr>
            <w:tcW w:w="702" w:type="dxa"/>
            <w:gridSpan w:val="2"/>
            <w:tcBorders>
              <w:top w:val="nil"/>
              <w:left w:val="nil"/>
              <w:bottom w:val="nil"/>
              <w:right w:val="nil"/>
            </w:tcBorders>
            <w:shd w:val="clear" w:color="auto" w:fill="auto"/>
            <w:vAlign w:val="bottom"/>
            <w:hideMark/>
          </w:tcPr>
          <w:p w14:paraId="5262C6B7" w14:textId="77777777" w:rsidR="00C93723" w:rsidRPr="0062158E" w:rsidRDefault="00C93723" w:rsidP="00C93723">
            <w:pPr>
              <w:spacing w:after="0" w:line="240" w:lineRule="auto"/>
              <w:jc w:val="center"/>
              <w:rPr>
                <w:rFonts w:eastAsia="Times New Roman" w:cs="Calibri"/>
                <w:b/>
                <w:bCs/>
                <w:color w:val="FFFFFF"/>
                <w:sz w:val="16"/>
                <w:szCs w:val="16"/>
              </w:rPr>
            </w:pPr>
          </w:p>
        </w:tc>
        <w:tc>
          <w:tcPr>
            <w:tcW w:w="960" w:type="dxa"/>
            <w:gridSpan w:val="2"/>
            <w:tcBorders>
              <w:top w:val="nil"/>
              <w:left w:val="nil"/>
              <w:bottom w:val="nil"/>
              <w:right w:val="nil"/>
            </w:tcBorders>
            <w:shd w:val="clear" w:color="auto" w:fill="auto"/>
            <w:vAlign w:val="bottom"/>
            <w:hideMark/>
          </w:tcPr>
          <w:p w14:paraId="326E4388"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B218535"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000230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04DEA5E" w14:textId="47E073A5" w:rsidR="00C93723" w:rsidRPr="0062158E" w:rsidRDefault="0097730E" w:rsidP="00C93723">
            <w:pPr>
              <w:spacing w:after="0" w:line="240" w:lineRule="auto"/>
              <w:rPr>
                <w:rFonts w:eastAsia="Times New Roman" w:cs="Calibri"/>
                <w:sz w:val="16"/>
                <w:szCs w:val="16"/>
              </w:rPr>
            </w:pPr>
            <w:r w:rsidRPr="0097730E">
              <w:rPr>
                <w:rFonts w:eastAsia="Times New Roman" w:cs="Calibri"/>
                <w:sz w:val="16"/>
                <w:szCs w:val="16"/>
              </w:rPr>
              <w:t>Preparing consolidated Fiscal Risk Chapter in the Fiscal Strategy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824CB8D"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A1AAED"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32731FF"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1B5CCB1"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7A7FF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48BDC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489B19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16DC2A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AD10BE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0C2A69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7CAFA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86AEB7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8D70A37"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CAFDAB6"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666657"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070D293" w14:textId="77777777" w:rsidR="00C93723" w:rsidRPr="0062158E" w:rsidRDefault="00C93723" w:rsidP="00C93723">
            <w:pPr>
              <w:spacing w:after="0" w:line="240" w:lineRule="auto"/>
              <w:jc w:val="center"/>
              <w:rPr>
                <w:rFonts w:eastAsia="Times New Roman" w:cs="Calibri"/>
                <w:b/>
                <w:bCs/>
                <w:color w:val="FFFFFF"/>
                <w:sz w:val="16"/>
                <w:szCs w:val="16"/>
              </w:rPr>
            </w:pPr>
            <w:r w:rsidRPr="0062158E">
              <w:rPr>
                <w:rFonts w:eastAsia="Times New Roman" w:cs="Calibri"/>
                <w:b/>
                <w:bCs/>
                <w:color w:val="FFFFFF"/>
                <w:sz w:val="16"/>
                <w:szCs w:val="16"/>
              </w:rPr>
              <w:t> </w:t>
            </w:r>
          </w:p>
        </w:tc>
      </w:tr>
      <w:tr w:rsidR="00C93723" w:rsidRPr="0062158E" w14:paraId="55749B31" w14:textId="77777777" w:rsidTr="00B84551">
        <w:trPr>
          <w:trHeight w:val="250"/>
        </w:trPr>
        <w:tc>
          <w:tcPr>
            <w:tcW w:w="702" w:type="dxa"/>
            <w:gridSpan w:val="2"/>
            <w:tcBorders>
              <w:top w:val="nil"/>
              <w:left w:val="nil"/>
              <w:bottom w:val="nil"/>
              <w:right w:val="nil"/>
            </w:tcBorders>
            <w:shd w:val="clear" w:color="000000" w:fill="6FE7FF"/>
            <w:vAlign w:val="center"/>
            <w:hideMark/>
          </w:tcPr>
          <w:p w14:paraId="357EDE6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5F27EF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1A13AE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4.</w:t>
            </w:r>
          </w:p>
        </w:tc>
        <w:tc>
          <w:tcPr>
            <w:tcW w:w="1242" w:type="dxa"/>
            <w:tcBorders>
              <w:top w:val="nil"/>
              <w:left w:val="nil"/>
              <w:bottom w:val="nil"/>
              <w:right w:val="nil"/>
            </w:tcBorders>
            <w:shd w:val="clear" w:color="000000" w:fill="6FE7FF"/>
            <w:vAlign w:val="center"/>
            <w:hideMark/>
          </w:tcPr>
          <w:p w14:paraId="00238618"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nil"/>
              <w:right w:val="nil"/>
            </w:tcBorders>
            <w:shd w:val="clear" w:color="000000" w:fill="6FE7FF"/>
            <w:vAlign w:val="center"/>
            <w:hideMark/>
          </w:tcPr>
          <w:p w14:paraId="6DDBFCB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Fiscal Council Development</w:t>
            </w:r>
          </w:p>
        </w:tc>
        <w:tc>
          <w:tcPr>
            <w:tcW w:w="522" w:type="dxa"/>
            <w:gridSpan w:val="2"/>
            <w:tcBorders>
              <w:top w:val="nil"/>
              <w:left w:val="nil"/>
              <w:bottom w:val="nil"/>
              <w:right w:val="nil"/>
            </w:tcBorders>
            <w:shd w:val="clear" w:color="000000" w:fill="6FE7FF"/>
            <w:vAlign w:val="center"/>
            <w:hideMark/>
          </w:tcPr>
          <w:p w14:paraId="2B7BDD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49EB06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5870BCA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7801B5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48C570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46F4233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1EF8470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35C8D08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3F472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3D4DA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7E012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0A1FDB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032ED2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364E6B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976DA3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5F9E42C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6628809D" w14:textId="77777777" w:rsidTr="00B84551">
        <w:trPr>
          <w:trHeight w:val="250"/>
        </w:trPr>
        <w:tc>
          <w:tcPr>
            <w:tcW w:w="702" w:type="dxa"/>
            <w:gridSpan w:val="2"/>
            <w:tcBorders>
              <w:top w:val="nil"/>
              <w:left w:val="nil"/>
              <w:bottom w:val="nil"/>
              <w:right w:val="nil"/>
            </w:tcBorders>
            <w:shd w:val="clear" w:color="auto" w:fill="auto"/>
            <w:vAlign w:val="bottom"/>
            <w:hideMark/>
          </w:tcPr>
          <w:p w14:paraId="75728AE7"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647B388"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7BF4CBC"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10EFAA7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56AFC0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Putting in place an effective data sharing arrangement</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04539B3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167684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5BD124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167C6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5249E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68ED41B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0FFF3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262CFEB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273499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27F1E0B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546100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6BE12CE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3883EC9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3818148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0ED8575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1C9A4A7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6918B408" w14:textId="77777777" w:rsidTr="00B84551">
        <w:trPr>
          <w:trHeight w:val="315"/>
        </w:trPr>
        <w:tc>
          <w:tcPr>
            <w:tcW w:w="702" w:type="dxa"/>
            <w:gridSpan w:val="2"/>
            <w:tcBorders>
              <w:top w:val="nil"/>
              <w:left w:val="nil"/>
              <w:bottom w:val="nil"/>
              <w:right w:val="nil"/>
            </w:tcBorders>
            <w:shd w:val="clear" w:color="auto" w:fill="auto"/>
            <w:vAlign w:val="bottom"/>
            <w:hideMark/>
          </w:tcPr>
          <w:p w14:paraId="3ADAF3C2"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CC62274"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824B932"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3E1932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4FD6E66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Building administrative capacity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252EAB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202753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358CFC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127C04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D07A2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8ED4D7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2C27D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A59DB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44BA96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5AE75D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0EB6D2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2C860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1C351D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3CCC44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35EA24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6084FE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9B86B79" w14:textId="77777777" w:rsidTr="00B84551">
        <w:trPr>
          <w:trHeight w:val="300"/>
        </w:trPr>
        <w:tc>
          <w:tcPr>
            <w:tcW w:w="702" w:type="dxa"/>
            <w:gridSpan w:val="2"/>
            <w:tcBorders>
              <w:top w:val="nil"/>
              <w:left w:val="nil"/>
              <w:bottom w:val="nil"/>
              <w:right w:val="nil"/>
            </w:tcBorders>
            <w:shd w:val="clear" w:color="000000" w:fill="00FF00"/>
            <w:vAlign w:val="center"/>
            <w:hideMark/>
          </w:tcPr>
          <w:p w14:paraId="73BF780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136BF48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3.</w:t>
            </w:r>
          </w:p>
        </w:tc>
        <w:tc>
          <w:tcPr>
            <w:tcW w:w="3258" w:type="dxa"/>
            <w:gridSpan w:val="2"/>
            <w:tcBorders>
              <w:top w:val="nil"/>
              <w:left w:val="nil"/>
              <w:bottom w:val="nil"/>
              <w:right w:val="nil"/>
            </w:tcBorders>
            <w:shd w:val="clear" w:color="000000" w:fill="00FF00"/>
            <w:vAlign w:val="center"/>
            <w:hideMark/>
          </w:tcPr>
          <w:p w14:paraId="2F90354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Strengthening Debt management</w:t>
            </w:r>
          </w:p>
        </w:tc>
        <w:tc>
          <w:tcPr>
            <w:tcW w:w="522" w:type="dxa"/>
            <w:gridSpan w:val="2"/>
            <w:tcBorders>
              <w:top w:val="nil"/>
              <w:left w:val="nil"/>
              <w:bottom w:val="nil"/>
              <w:right w:val="nil"/>
            </w:tcBorders>
            <w:shd w:val="clear" w:color="000000" w:fill="00FF00"/>
            <w:vAlign w:val="center"/>
            <w:hideMark/>
          </w:tcPr>
          <w:p w14:paraId="4A59EAD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69438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2F4143F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5D8E1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1C46268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4A40A73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D5CB0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57F449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1AED8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BB8CD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BAFEEB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676555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3588D9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DFF9D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249829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49241EA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0165294" w14:textId="77777777" w:rsidTr="00B84551">
        <w:trPr>
          <w:trHeight w:val="315"/>
        </w:trPr>
        <w:tc>
          <w:tcPr>
            <w:tcW w:w="702" w:type="dxa"/>
            <w:gridSpan w:val="2"/>
            <w:tcBorders>
              <w:top w:val="nil"/>
              <w:left w:val="nil"/>
              <w:bottom w:val="nil"/>
              <w:right w:val="nil"/>
            </w:tcBorders>
            <w:shd w:val="clear" w:color="000000" w:fill="6FE7FF"/>
            <w:vAlign w:val="center"/>
            <w:hideMark/>
          </w:tcPr>
          <w:p w14:paraId="02FFB8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743D1C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6FD405C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33EE9A8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63AA20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Reducing operational risks at public debt management</w:t>
            </w:r>
          </w:p>
        </w:tc>
        <w:tc>
          <w:tcPr>
            <w:tcW w:w="522" w:type="dxa"/>
            <w:gridSpan w:val="2"/>
            <w:tcBorders>
              <w:top w:val="nil"/>
              <w:left w:val="nil"/>
              <w:bottom w:val="single" w:sz="8" w:space="0" w:color="auto"/>
              <w:right w:val="nil"/>
            </w:tcBorders>
            <w:shd w:val="clear" w:color="000000" w:fill="6FE7FF"/>
            <w:vAlign w:val="center"/>
            <w:hideMark/>
          </w:tcPr>
          <w:p w14:paraId="10A9EB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1BF76A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09373E4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75E10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E9F60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2333793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8BDB4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70C19E6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EE7FA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4882CC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72B23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7D0ABC8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1FEE930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1E8C53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85A36A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07F013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CED7D54" w14:textId="77777777" w:rsidTr="00B84551">
        <w:trPr>
          <w:trHeight w:val="376"/>
        </w:trPr>
        <w:tc>
          <w:tcPr>
            <w:tcW w:w="702" w:type="dxa"/>
            <w:gridSpan w:val="2"/>
            <w:tcBorders>
              <w:top w:val="nil"/>
              <w:left w:val="nil"/>
              <w:bottom w:val="nil"/>
              <w:right w:val="nil"/>
            </w:tcBorders>
            <w:shd w:val="clear" w:color="auto" w:fill="auto"/>
            <w:vAlign w:val="bottom"/>
            <w:hideMark/>
          </w:tcPr>
          <w:p w14:paraId="136AAE3E"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EAB3605"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944522F"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D118C0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53494F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Introducing e-banking with NBRNM for external debt repayment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D42E3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2077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A9C37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614F13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C77751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DD4F66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DFEE7C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70F777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76701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25C09D1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957283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4FAF7E6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1A922CB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74CAFBE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A2F351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015BC8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2369BD53" w14:textId="77777777" w:rsidTr="00B84551">
        <w:trPr>
          <w:trHeight w:val="322"/>
        </w:trPr>
        <w:tc>
          <w:tcPr>
            <w:tcW w:w="702" w:type="dxa"/>
            <w:gridSpan w:val="2"/>
            <w:tcBorders>
              <w:top w:val="nil"/>
              <w:left w:val="nil"/>
              <w:bottom w:val="nil"/>
              <w:right w:val="nil"/>
            </w:tcBorders>
            <w:shd w:val="clear" w:color="auto" w:fill="auto"/>
            <w:vAlign w:val="bottom"/>
            <w:hideMark/>
          </w:tcPr>
          <w:p w14:paraId="0DEDB8B0"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3D3021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1050C00"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9A9FA0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48EA71F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Strengthening public debt management capacities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523846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E9B0B3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D09B50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87310B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55B67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044E51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E158D9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BE63C8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AC59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0E659F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016E05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8A8D0C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F5F43F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4BEDC5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917270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8403C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3B1417A" w14:textId="77777777" w:rsidTr="00B84551">
        <w:trPr>
          <w:trHeight w:val="268"/>
        </w:trPr>
        <w:tc>
          <w:tcPr>
            <w:tcW w:w="702" w:type="dxa"/>
            <w:gridSpan w:val="2"/>
            <w:tcBorders>
              <w:top w:val="nil"/>
              <w:left w:val="nil"/>
              <w:bottom w:val="nil"/>
              <w:right w:val="nil"/>
            </w:tcBorders>
            <w:shd w:val="clear" w:color="auto" w:fill="auto"/>
            <w:vAlign w:val="bottom"/>
            <w:hideMark/>
          </w:tcPr>
          <w:p w14:paraId="2A90D0C0"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10A5270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AD7D44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4F73DE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C0E6A7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Reconciling the debt stock with the creditors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01601E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7541C7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0D4CC6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EB1AC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135C570" w14:textId="77777777" w:rsidR="00C93723" w:rsidRPr="0062158E" w:rsidRDefault="00C93723" w:rsidP="00C93723">
            <w:pPr>
              <w:spacing w:after="0" w:line="240" w:lineRule="auto"/>
              <w:rPr>
                <w:rFonts w:eastAsia="Times New Roman" w:cs="Calibri"/>
                <w:color w:val="000000"/>
                <w:sz w:val="16"/>
                <w:szCs w:val="16"/>
              </w:rPr>
            </w:pPr>
            <w:r w:rsidRPr="0062158E">
              <w:rPr>
                <w:rFonts w:eastAsia="Times New Roman" w:cs="Calibri"/>
                <w:color w:val="000000"/>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46E42B36" w14:textId="77777777" w:rsidR="00C93723" w:rsidRPr="0062158E" w:rsidRDefault="00C93723" w:rsidP="00C93723">
            <w:pPr>
              <w:spacing w:after="0" w:line="240" w:lineRule="auto"/>
              <w:rPr>
                <w:rFonts w:eastAsia="Times New Roman" w:cs="Calibri"/>
                <w:color w:val="000000"/>
                <w:sz w:val="16"/>
                <w:szCs w:val="16"/>
              </w:rPr>
            </w:pPr>
            <w:r w:rsidRPr="0062158E">
              <w:rPr>
                <w:rFonts w:eastAsia="Times New Roman" w:cs="Calibri"/>
                <w:color w:val="000000"/>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A5A8212" w14:textId="77777777" w:rsidR="00C93723" w:rsidRPr="0062158E" w:rsidRDefault="00C93723" w:rsidP="00C93723">
            <w:pPr>
              <w:spacing w:after="0" w:line="240" w:lineRule="auto"/>
              <w:rPr>
                <w:rFonts w:eastAsia="Times New Roman" w:cs="Calibri"/>
                <w:color w:val="000000"/>
                <w:sz w:val="16"/>
                <w:szCs w:val="16"/>
              </w:rPr>
            </w:pPr>
            <w:r w:rsidRPr="0062158E">
              <w:rPr>
                <w:rFonts w:eastAsia="Times New Roman" w:cs="Calibri"/>
                <w:color w:val="000000"/>
                <w:sz w:val="16"/>
                <w:szCs w:val="16"/>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3D3CC302" w14:textId="77777777" w:rsidR="00C93723" w:rsidRPr="0062158E" w:rsidRDefault="00C93723" w:rsidP="00C93723">
            <w:pPr>
              <w:spacing w:after="0" w:line="240" w:lineRule="auto"/>
              <w:jc w:val="center"/>
              <w:rPr>
                <w:rFonts w:eastAsia="Times New Roman" w:cs="Calibri"/>
                <w:color w:val="000000"/>
                <w:sz w:val="16"/>
                <w:szCs w:val="16"/>
              </w:rPr>
            </w:pPr>
            <w:r w:rsidRPr="0062158E">
              <w:rPr>
                <w:rFonts w:eastAsia="Times New Roman" w:cs="Calibri"/>
                <w:color w:val="000000"/>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F11EE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4E004EF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CE1CA5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7D1D6F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6D43162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41B6309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572B0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BEBE4B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DACCF5A" w14:textId="77777777" w:rsidTr="00B84551">
        <w:trPr>
          <w:trHeight w:val="315"/>
        </w:trPr>
        <w:tc>
          <w:tcPr>
            <w:tcW w:w="702" w:type="dxa"/>
            <w:gridSpan w:val="2"/>
            <w:tcBorders>
              <w:top w:val="nil"/>
              <w:left w:val="nil"/>
              <w:bottom w:val="nil"/>
              <w:right w:val="nil"/>
            </w:tcBorders>
            <w:shd w:val="clear" w:color="000000" w:fill="6FE7FF"/>
            <w:vAlign w:val="center"/>
            <w:hideMark/>
          </w:tcPr>
          <w:p w14:paraId="0229C3B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746B1A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0E1B24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425032C6"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19B8A7F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Increasing public debt transparency</w:t>
            </w:r>
          </w:p>
        </w:tc>
        <w:tc>
          <w:tcPr>
            <w:tcW w:w="522" w:type="dxa"/>
            <w:gridSpan w:val="2"/>
            <w:tcBorders>
              <w:top w:val="nil"/>
              <w:left w:val="nil"/>
              <w:bottom w:val="single" w:sz="8" w:space="0" w:color="auto"/>
              <w:right w:val="nil"/>
            </w:tcBorders>
            <w:shd w:val="clear" w:color="000000" w:fill="6FE7FF"/>
            <w:vAlign w:val="center"/>
            <w:hideMark/>
          </w:tcPr>
          <w:p w14:paraId="5C10F7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1FAFAE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6478FD5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109C93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1C62C1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0A9732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57623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003F2C5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12950E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B5738F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C328F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1AAC474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E367D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6B797F2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F0ED0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6660E13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041216C5" w14:textId="77777777" w:rsidTr="00B84551">
        <w:trPr>
          <w:trHeight w:val="448"/>
        </w:trPr>
        <w:tc>
          <w:tcPr>
            <w:tcW w:w="702" w:type="dxa"/>
            <w:gridSpan w:val="2"/>
            <w:tcBorders>
              <w:top w:val="nil"/>
              <w:left w:val="nil"/>
              <w:bottom w:val="nil"/>
              <w:right w:val="nil"/>
            </w:tcBorders>
            <w:shd w:val="clear" w:color="auto" w:fill="auto"/>
            <w:vAlign w:val="bottom"/>
            <w:hideMark/>
          </w:tcPr>
          <w:p w14:paraId="599B7767"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C407DBD"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12494E7"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371223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663A1F3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Modifications and amendments to Public Debt Law to the end of aligning the debt definition with the Maastricht Criteria</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ECDA57A" w14:textId="45587F5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2522140" w14:textId="5ABA0CEC"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3D24540" w14:textId="2F053CF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4B7A082" w14:textId="77917A5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3958998" w14:textId="163ACDED"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ACC7B69" w14:textId="776B458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1A75A44" w14:textId="3528AE3C"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C3EA47E" w14:textId="43E1405E"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7A393BA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0B36E1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E93F13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0C9A1BBC"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F26BC4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5C111C5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77868A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0153B9F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71ACBE0" w14:textId="77777777" w:rsidTr="00B84551">
        <w:trPr>
          <w:trHeight w:val="315"/>
        </w:trPr>
        <w:tc>
          <w:tcPr>
            <w:tcW w:w="702" w:type="dxa"/>
            <w:gridSpan w:val="2"/>
            <w:tcBorders>
              <w:top w:val="nil"/>
              <w:left w:val="nil"/>
              <w:bottom w:val="nil"/>
              <w:right w:val="nil"/>
            </w:tcBorders>
            <w:shd w:val="clear" w:color="auto" w:fill="auto"/>
            <w:vAlign w:val="bottom"/>
            <w:hideMark/>
          </w:tcPr>
          <w:p w14:paraId="45003578"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41020E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9CA41FC"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F52501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3D8542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Incorporating debt data in the Budget document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D206F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071925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007C7A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584414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C8AC7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68E16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3F92D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94FCE8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5B3633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DF2221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121E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B3187A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62E19D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1A11B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CBB10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F70027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39C3467D" w14:textId="77777777" w:rsidTr="00B84551">
        <w:trPr>
          <w:trHeight w:val="315"/>
        </w:trPr>
        <w:tc>
          <w:tcPr>
            <w:tcW w:w="702" w:type="dxa"/>
            <w:gridSpan w:val="2"/>
            <w:tcBorders>
              <w:top w:val="nil"/>
              <w:left w:val="nil"/>
              <w:bottom w:val="nil"/>
              <w:right w:val="nil"/>
            </w:tcBorders>
            <w:shd w:val="clear" w:color="auto" w:fill="auto"/>
            <w:vAlign w:val="bottom"/>
            <w:hideMark/>
          </w:tcPr>
          <w:p w14:paraId="2A0BF89D"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284D6745"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C7F7970"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162A07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FB1F85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Publishing Annual Borrowing Plan</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299069D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2439FCD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5FA53E0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6149C41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5F5C5D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12" w:type="dxa"/>
            <w:gridSpan w:val="3"/>
            <w:tcBorders>
              <w:top w:val="nil"/>
              <w:left w:val="nil"/>
              <w:bottom w:val="single" w:sz="8" w:space="0" w:color="auto"/>
              <w:right w:val="single" w:sz="8" w:space="0" w:color="auto"/>
            </w:tcBorders>
            <w:shd w:val="clear" w:color="000000" w:fill="FFFFFF"/>
            <w:vAlign w:val="center"/>
            <w:hideMark/>
          </w:tcPr>
          <w:p w14:paraId="20B35DC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C21C6F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56DA5DCC"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24D4F2D" w14:textId="7E676EC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AE332B0" w14:textId="573E717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91C4C66" w14:textId="64CC3EF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DABC351" w14:textId="1B492C7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170C13C" w14:textId="4436333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DB1E73A" w14:textId="20A2DD3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D005A0A" w14:textId="3EFB13C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18AED6D" w14:textId="5333C11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062B3A85" w14:textId="77777777" w:rsidTr="00B84551">
        <w:trPr>
          <w:trHeight w:val="315"/>
        </w:trPr>
        <w:tc>
          <w:tcPr>
            <w:tcW w:w="702" w:type="dxa"/>
            <w:gridSpan w:val="2"/>
            <w:tcBorders>
              <w:top w:val="nil"/>
              <w:left w:val="nil"/>
              <w:bottom w:val="nil"/>
              <w:right w:val="nil"/>
            </w:tcBorders>
            <w:shd w:val="clear" w:color="auto" w:fill="auto"/>
            <w:vAlign w:val="bottom"/>
            <w:hideMark/>
          </w:tcPr>
          <w:p w14:paraId="137405BA"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50C5BA7"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6250085"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491A28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12157921"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Improving Debt Reporting</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CD4972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2B81E9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4C7A7C1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11F86F0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02C7469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FFFFFF"/>
            <w:vAlign w:val="center"/>
            <w:hideMark/>
          </w:tcPr>
          <w:p w14:paraId="31ECD94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658C71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76D9F08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1EE4A75" w14:textId="4C351FA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DAB4072" w14:textId="3CCDCAB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DD43C5E" w14:textId="51506BF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21CABA8" w14:textId="4A7685B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0F206C6" w14:textId="725C489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FFAC35B" w14:textId="4734A7B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225436A" w14:textId="739B999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A980CAF" w14:textId="605ED19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4A3FBE2" w14:textId="77777777" w:rsidTr="00B84551">
        <w:trPr>
          <w:trHeight w:val="315"/>
        </w:trPr>
        <w:tc>
          <w:tcPr>
            <w:tcW w:w="702" w:type="dxa"/>
            <w:gridSpan w:val="2"/>
            <w:tcBorders>
              <w:top w:val="nil"/>
              <w:left w:val="nil"/>
              <w:bottom w:val="nil"/>
              <w:right w:val="nil"/>
            </w:tcBorders>
            <w:shd w:val="clear" w:color="000000" w:fill="6FE7FF"/>
            <w:vAlign w:val="center"/>
            <w:hideMark/>
          </w:tcPr>
          <w:p w14:paraId="4370A2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531642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17FA098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1242" w:type="dxa"/>
            <w:tcBorders>
              <w:top w:val="nil"/>
              <w:left w:val="nil"/>
              <w:bottom w:val="single" w:sz="8" w:space="0" w:color="auto"/>
              <w:right w:val="nil"/>
            </w:tcBorders>
            <w:shd w:val="clear" w:color="000000" w:fill="6FE7FF"/>
            <w:vAlign w:val="center"/>
            <w:hideMark/>
          </w:tcPr>
          <w:p w14:paraId="6E4BF7B9"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736B6E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Introduction new debt instruments</w:t>
            </w:r>
          </w:p>
        </w:tc>
        <w:tc>
          <w:tcPr>
            <w:tcW w:w="522" w:type="dxa"/>
            <w:gridSpan w:val="2"/>
            <w:tcBorders>
              <w:top w:val="nil"/>
              <w:left w:val="nil"/>
              <w:bottom w:val="single" w:sz="8" w:space="0" w:color="auto"/>
              <w:right w:val="nil"/>
            </w:tcBorders>
            <w:shd w:val="clear" w:color="000000" w:fill="6FE7FF"/>
            <w:vAlign w:val="center"/>
            <w:hideMark/>
          </w:tcPr>
          <w:p w14:paraId="7B6F1C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70A7237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570868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78A80DA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21FBE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76ECFB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C713A9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EE2BF9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7BDD48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33A8E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87FB3A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461BC17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31D8F9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6BEC2B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E4D2A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51563E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9D15AFD" w14:textId="77777777" w:rsidTr="00B84551">
        <w:trPr>
          <w:trHeight w:val="232"/>
        </w:trPr>
        <w:tc>
          <w:tcPr>
            <w:tcW w:w="702" w:type="dxa"/>
            <w:gridSpan w:val="2"/>
            <w:tcBorders>
              <w:top w:val="nil"/>
              <w:left w:val="nil"/>
              <w:bottom w:val="nil"/>
              <w:right w:val="nil"/>
            </w:tcBorders>
            <w:shd w:val="clear" w:color="auto" w:fill="auto"/>
            <w:vAlign w:val="bottom"/>
            <w:hideMark/>
          </w:tcPr>
          <w:p w14:paraId="5202F57A"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56902435"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2C9EBC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766378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76D5651" w14:textId="6F7940CB" w:rsidR="00C93723" w:rsidRPr="0062158E" w:rsidRDefault="001733BE" w:rsidP="00C93723">
            <w:pPr>
              <w:spacing w:after="0" w:line="240" w:lineRule="auto"/>
              <w:rPr>
                <w:rFonts w:eastAsia="Times New Roman" w:cs="Calibri"/>
                <w:sz w:val="16"/>
                <w:szCs w:val="16"/>
              </w:rPr>
            </w:pPr>
            <w:r w:rsidRPr="008208F0">
              <w:rPr>
                <w:rFonts w:eastAsia="Times New Roman" w:cs="Calibri"/>
                <w:sz w:val="16"/>
                <w:szCs w:val="16"/>
              </w:rPr>
              <w:t>Issuing of Development bond for citizens</w:t>
            </w:r>
            <w:r>
              <w:rPr>
                <w:rFonts w:eastAsia="Times New Roman" w:cs="Calibri"/>
                <w:sz w:val="16"/>
                <w:szCs w:val="16"/>
                <w:lang w:val="en-US"/>
              </w:rPr>
              <w:t xml:space="preserve">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895293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5AB08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B3399B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59BE2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85DB72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E4916B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4F9040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01C7E7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2DB4F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4833D1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CC913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7ED069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B2192B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20626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0F1D4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86946E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57632381" w14:textId="77777777" w:rsidTr="00B84551">
        <w:trPr>
          <w:trHeight w:val="259"/>
        </w:trPr>
        <w:tc>
          <w:tcPr>
            <w:tcW w:w="702" w:type="dxa"/>
            <w:gridSpan w:val="2"/>
            <w:tcBorders>
              <w:top w:val="nil"/>
              <w:left w:val="nil"/>
              <w:bottom w:val="nil"/>
              <w:right w:val="nil"/>
            </w:tcBorders>
            <w:shd w:val="clear" w:color="auto" w:fill="auto"/>
            <w:vAlign w:val="bottom"/>
            <w:hideMark/>
          </w:tcPr>
          <w:p w14:paraId="7F9C84A8"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29A1EB0"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D9810F0"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DCEC09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FBE84C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Issuing of Green bonds on domestic market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AF84A56" w14:textId="4B42D66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48BE41" w14:textId="2F52287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BB78493" w14:textId="1E76E69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A65E7C0" w14:textId="2D743A8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787D41" w14:textId="2227D5D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369EB8D" w14:textId="3E30484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7E37E6" w14:textId="41210F6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32332475" w14:textId="3A5618A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F0A754B" w14:textId="5DB5766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F42A173" w14:textId="4DCADCD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A38A580" w14:textId="354DE2E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A31E88F" w14:textId="5A9A353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7B36D3F" w14:textId="02DA11C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972E5AD" w14:textId="60E67D7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E1E4E1" w14:textId="2905545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0166D12" w14:textId="49A49DA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8C42BC5" w14:textId="77777777" w:rsidTr="00B84551">
        <w:trPr>
          <w:trHeight w:val="196"/>
        </w:trPr>
        <w:tc>
          <w:tcPr>
            <w:tcW w:w="15210" w:type="dxa"/>
            <w:gridSpan w:val="54"/>
            <w:tcBorders>
              <w:top w:val="nil"/>
              <w:left w:val="nil"/>
              <w:bottom w:val="nil"/>
              <w:right w:val="nil"/>
            </w:tcBorders>
            <w:shd w:val="clear" w:color="000000" w:fill="33CCFF"/>
            <w:vAlign w:val="center"/>
            <w:hideMark/>
          </w:tcPr>
          <w:p w14:paraId="1155EF2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II - Revenue Mobilisation</w:t>
            </w:r>
          </w:p>
        </w:tc>
      </w:tr>
      <w:tr w:rsidR="00C93723" w:rsidRPr="0062158E" w14:paraId="00B8362C" w14:textId="77777777" w:rsidTr="00B84551">
        <w:trPr>
          <w:trHeight w:val="300"/>
        </w:trPr>
        <w:tc>
          <w:tcPr>
            <w:tcW w:w="702" w:type="dxa"/>
            <w:gridSpan w:val="2"/>
            <w:tcBorders>
              <w:top w:val="nil"/>
              <w:left w:val="nil"/>
              <w:bottom w:val="nil"/>
              <w:right w:val="nil"/>
            </w:tcBorders>
            <w:shd w:val="clear" w:color="000000" w:fill="00FF00"/>
            <w:vAlign w:val="center"/>
            <w:hideMark/>
          </w:tcPr>
          <w:p w14:paraId="08CFE96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2B3AD1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1.</w:t>
            </w:r>
          </w:p>
        </w:tc>
        <w:tc>
          <w:tcPr>
            <w:tcW w:w="3258" w:type="dxa"/>
            <w:gridSpan w:val="2"/>
            <w:tcBorders>
              <w:top w:val="nil"/>
              <w:left w:val="nil"/>
              <w:bottom w:val="nil"/>
              <w:right w:val="nil"/>
            </w:tcBorders>
            <w:shd w:val="clear" w:color="000000" w:fill="00FF00"/>
            <w:vAlign w:val="center"/>
            <w:hideMark/>
          </w:tcPr>
          <w:p w14:paraId="0A8A432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Tax and customs policy</w:t>
            </w:r>
          </w:p>
        </w:tc>
        <w:tc>
          <w:tcPr>
            <w:tcW w:w="522" w:type="dxa"/>
            <w:gridSpan w:val="2"/>
            <w:tcBorders>
              <w:top w:val="nil"/>
              <w:left w:val="nil"/>
              <w:bottom w:val="nil"/>
              <w:right w:val="nil"/>
            </w:tcBorders>
            <w:shd w:val="clear" w:color="000000" w:fill="00FF00"/>
            <w:vAlign w:val="center"/>
            <w:hideMark/>
          </w:tcPr>
          <w:p w14:paraId="753EBA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2934A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6795AD8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430150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3A3825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62CCF4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BDD7C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AF352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3BC500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7A56CF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F7441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5A0627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3938C3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1AE98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210ACD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44C2D0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FC34DF6" w14:textId="77777777" w:rsidTr="00B84551">
        <w:trPr>
          <w:trHeight w:val="423"/>
        </w:trPr>
        <w:tc>
          <w:tcPr>
            <w:tcW w:w="702" w:type="dxa"/>
            <w:gridSpan w:val="2"/>
            <w:tcBorders>
              <w:top w:val="nil"/>
              <w:left w:val="nil"/>
              <w:bottom w:val="nil"/>
              <w:right w:val="nil"/>
            </w:tcBorders>
            <w:shd w:val="clear" w:color="000000" w:fill="6FE7FF"/>
            <w:vAlign w:val="center"/>
            <w:hideMark/>
          </w:tcPr>
          <w:p w14:paraId="3602ECD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9447FB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43E4A1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3503E0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70BE86E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Improved revenue legislation framework, harmonized with the EU acquis and best practices</w:t>
            </w:r>
          </w:p>
        </w:tc>
        <w:tc>
          <w:tcPr>
            <w:tcW w:w="522" w:type="dxa"/>
            <w:gridSpan w:val="2"/>
            <w:tcBorders>
              <w:top w:val="nil"/>
              <w:left w:val="nil"/>
              <w:bottom w:val="single" w:sz="8" w:space="0" w:color="auto"/>
              <w:right w:val="nil"/>
            </w:tcBorders>
            <w:shd w:val="clear" w:color="000000" w:fill="6FE7FF"/>
            <w:vAlign w:val="center"/>
            <w:hideMark/>
          </w:tcPr>
          <w:p w14:paraId="584A71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AE033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461820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69C64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8BBADE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330C0A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FFEB36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936000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7AC565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9788E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0EEC2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42A75A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2945B3F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7216ABF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ACF8E9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79D7CA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7B93C542" w14:textId="77777777" w:rsidTr="00B84551">
        <w:trPr>
          <w:trHeight w:val="349"/>
        </w:trPr>
        <w:tc>
          <w:tcPr>
            <w:tcW w:w="702" w:type="dxa"/>
            <w:gridSpan w:val="2"/>
            <w:tcBorders>
              <w:top w:val="nil"/>
              <w:left w:val="nil"/>
              <w:bottom w:val="nil"/>
              <w:right w:val="nil"/>
            </w:tcBorders>
            <w:shd w:val="clear" w:color="auto" w:fill="auto"/>
            <w:vAlign w:val="bottom"/>
            <w:hideMark/>
          </w:tcPr>
          <w:p w14:paraId="72929A8D"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D3FF84C"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A257D2A"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B3F69FC"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AD1A51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Gap analysis of the national tax and customs legislation (laws and by-laws) compared to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7B73435" w14:textId="14C1B2A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A5A885A" w14:textId="4B04AA7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E2DE041" w14:textId="5A36DA9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100E53F" w14:textId="3B5F92D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A676E3E" w14:textId="2BE517B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CFCF785" w14:textId="4A6AE17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FB08F98" w14:textId="2023D57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38191BC" w14:textId="3D0BC0B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CC0B921" w14:textId="668B041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88B0D0A" w14:textId="0DB2886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980219C" w14:textId="4201253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3962382" w14:textId="022D9D0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1DCF0CB" w14:textId="19ECD01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40E68ED" w14:textId="3E6D9D5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7DC0305" w14:textId="3A9B886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E6CB621" w14:textId="1EC9353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0EC18E78" w14:textId="77777777" w:rsidTr="00B84551">
        <w:trPr>
          <w:trHeight w:val="646"/>
        </w:trPr>
        <w:tc>
          <w:tcPr>
            <w:tcW w:w="702" w:type="dxa"/>
            <w:gridSpan w:val="2"/>
            <w:tcBorders>
              <w:top w:val="nil"/>
              <w:left w:val="nil"/>
              <w:bottom w:val="nil"/>
              <w:right w:val="nil"/>
            </w:tcBorders>
            <w:shd w:val="clear" w:color="auto" w:fill="auto"/>
            <w:vAlign w:val="bottom"/>
            <w:hideMark/>
          </w:tcPr>
          <w:p w14:paraId="6F037ACC"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38ACDD5"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F07499C"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59FA86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190D7E1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New legal acts and/or amendments to the existing national tax and customs legislation (laws and by-laws) drafted in line with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5AB3B68" w14:textId="26C6EB3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512D2B6" w14:textId="29AD150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E2A3FFF" w14:textId="5501D07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5E5F618" w14:textId="63ADEA5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21EFC78" w14:textId="5899608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9C843E9" w14:textId="37D6B5D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2E223F4" w14:textId="0A2CF19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88A071B" w14:textId="24A7C9C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23F6AE1" w14:textId="0202F6F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5F40BF0" w14:textId="052BFA7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E7AB3A1" w14:textId="1AF3265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449FF3A" w14:textId="6211889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5D148CF" w14:textId="54B1D51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8E306E4" w14:textId="20C1A9B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88C1C8F" w14:textId="1AB4B94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230A1F2" w14:textId="49374C0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788501F" w14:textId="77777777" w:rsidTr="00B84551">
        <w:trPr>
          <w:trHeight w:val="300"/>
        </w:trPr>
        <w:tc>
          <w:tcPr>
            <w:tcW w:w="702" w:type="dxa"/>
            <w:gridSpan w:val="2"/>
            <w:tcBorders>
              <w:top w:val="nil"/>
              <w:left w:val="nil"/>
              <w:bottom w:val="nil"/>
              <w:right w:val="nil"/>
            </w:tcBorders>
            <w:shd w:val="clear" w:color="000000" w:fill="00FF00"/>
            <w:vAlign w:val="center"/>
            <w:hideMark/>
          </w:tcPr>
          <w:p w14:paraId="328344F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268" w:type="dxa"/>
            <w:gridSpan w:val="4"/>
            <w:tcBorders>
              <w:top w:val="nil"/>
              <w:left w:val="nil"/>
              <w:bottom w:val="nil"/>
              <w:right w:val="nil"/>
            </w:tcBorders>
            <w:shd w:val="clear" w:color="000000" w:fill="00FF00"/>
            <w:vAlign w:val="center"/>
            <w:hideMark/>
          </w:tcPr>
          <w:p w14:paraId="70FAB55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p>
        </w:tc>
        <w:tc>
          <w:tcPr>
            <w:tcW w:w="1242" w:type="dxa"/>
            <w:tcBorders>
              <w:top w:val="nil"/>
              <w:left w:val="nil"/>
              <w:bottom w:val="nil"/>
              <w:right w:val="nil"/>
            </w:tcBorders>
            <w:shd w:val="clear" w:color="000000" w:fill="00FF00"/>
            <w:vAlign w:val="center"/>
            <w:hideMark/>
          </w:tcPr>
          <w:p w14:paraId="5D0BA81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00FF00"/>
            <w:vAlign w:val="center"/>
            <w:hideMark/>
          </w:tcPr>
          <w:p w14:paraId="233D54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Tax administration</w:t>
            </w:r>
          </w:p>
        </w:tc>
        <w:tc>
          <w:tcPr>
            <w:tcW w:w="522" w:type="dxa"/>
            <w:gridSpan w:val="2"/>
            <w:tcBorders>
              <w:top w:val="nil"/>
              <w:left w:val="nil"/>
              <w:bottom w:val="nil"/>
              <w:right w:val="nil"/>
            </w:tcBorders>
            <w:shd w:val="clear" w:color="000000" w:fill="00FF00"/>
            <w:vAlign w:val="center"/>
            <w:hideMark/>
          </w:tcPr>
          <w:p w14:paraId="02E919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371DB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0208A6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20F5CF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1137F7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2B1505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07E02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5D3CB65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7D2C676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B88741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CD9CE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3AD996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4875C1D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689B076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1E7835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04BB110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76E9647" w14:textId="77777777" w:rsidTr="00B84551">
        <w:trPr>
          <w:trHeight w:val="360"/>
        </w:trPr>
        <w:tc>
          <w:tcPr>
            <w:tcW w:w="702" w:type="dxa"/>
            <w:gridSpan w:val="2"/>
            <w:tcBorders>
              <w:top w:val="nil"/>
              <w:left w:val="nil"/>
              <w:bottom w:val="nil"/>
              <w:right w:val="nil"/>
            </w:tcBorders>
            <w:shd w:val="clear" w:color="000000" w:fill="6FE7FF"/>
            <w:vAlign w:val="center"/>
            <w:hideMark/>
          </w:tcPr>
          <w:p w14:paraId="637679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53182F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61ECBC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51F92C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F1DC8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 administrative capacity for better revenue collection and tax compliance</w:t>
            </w:r>
          </w:p>
        </w:tc>
        <w:tc>
          <w:tcPr>
            <w:tcW w:w="522" w:type="dxa"/>
            <w:gridSpan w:val="2"/>
            <w:tcBorders>
              <w:top w:val="nil"/>
              <w:left w:val="nil"/>
              <w:bottom w:val="single" w:sz="8" w:space="0" w:color="auto"/>
              <w:right w:val="nil"/>
            </w:tcBorders>
            <w:shd w:val="clear" w:color="000000" w:fill="6FE7FF"/>
            <w:vAlign w:val="center"/>
            <w:hideMark/>
          </w:tcPr>
          <w:p w14:paraId="14A37A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E97B4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7D015FE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38C97C9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4BE36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302B7D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F82A0C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215F078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5B17F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573F0D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BEC39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055C81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5E929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5CE1D20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E4412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747BAB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799B203" w14:textId="77777777" w:rsidTr="00B84551">
        <w:trPr>
          <w:trHeight w:val="570"/>
        </w:trPr>
        <w:tc>
          <w:tcPr>
            <w:tcW w:w="702" w:type="dxa"/>
            <w:gridSpan w:val="2"/>
            <w:tcBorders>
              <w:top w:val="nil"/>
              <w:left w:val="nil"/>
              <w:bottom w:val="nil"/>
              <w:right w:val="nil"/>
            </w:tcBorders>
            <w:shd w:val="clear" w:color="auto" w:fill="auto"/>
            <w:vAlign w:val="bottom"/>
            <w:hideMark/>
          </w:tcPr>
          <w:p w14:paraId="788800B9"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1490BEBB"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FF1D9C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C3CC34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521CF4D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More effective and efficient management of overdue tax debt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BE948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7CF44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7B5444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00940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E9CC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D6169F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D2A62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E0CC13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5D01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D0686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E737A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F41C8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9ACFE3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CA18D8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CC020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1AEBD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D20029F" w14:textId="77777777" w:rsidTr="00B84551">
        <w:trPr>
          <w:trHeight w:val="340"/>
        </w:trPr>
        <w:tc>
          <w:tcPr>
            <w:tcW w:w="702" w:type="dxa"/>
            <w:gridSpan w:val="2"/>
            <w:tcBorders>
              <w:top w:val="nil"/>
              <w:left w:val="nil"/>
              <w:bottom w:val="nil"/>
              <w:right w:val="nil"/>
            </w:tcBorders>
            <w:shd w:val="clear" w:color="auto" w:fill="auto"/>
            <w:vAlign w:val="bottom"/>
            <w:hideMark/>
          </w:tcPr>
          <w:p w14:paraId="6E4F0AEF"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963579A"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32494A0"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D66844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0ECB26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Improving the Compliance risk management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3856F9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15C63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B633E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950203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F086F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37699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E33A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33C5E3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DF82E5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51693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E31E5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B492B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119CB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5A55A2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38101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723A28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3471011" w14:textId="77777777" w:rsidTr="00B84551">
        <w:trPr>
          <w:trHeight w:val="615"/>
        </w:trPr>
        <w:tc>
          <w:tcPr>
            <w:tcW w:w="702" w:type="dxa"/>
            <w:gridSpan w:val="2"/>
            <w:tcBorders>
              <w:top w:val="nil"/>
              <w:left w:val="nil"/>
              <w:bottom w:val="nil"/>
              <w:right w:val="nil"/>
            </w:tcBorders>
            <w:shd w:val="clear" w:color="000000" w:fill="6FE7FF"/>
            <w:vAlign w:val="center"/>
            <w:hideMark/>
          </w:tcPr>
          <w:p w14:paraId="401149E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724E03D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35F5CA1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315681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EAE93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Digital transformation of the PRO with the establishment of an Integrated Tax Information System (ITIS)</w:t>
            </w:r>
          </w:p>
        </w:tc>
        <w:tc>
          <w:tcPr>
            <w:tcW w:w="522" w:type="dxa"/>
            <w:gridSpan w:val="2"/>
            <w:tcBorders>
              <w:top w:val="nil"/>
              <w:left w:val="nil"/>
              <w:bottom w:val="single" w:sz="8" w:space="0" w:color="auto"/>
              <w:right w:val="nil"/>
            </w:tcBorders>
            <w:shd w:val="clear" w:color="000000" w:fill="6FE7FF"/>
            <w:vAlign w:val="center"/>
            <w:hideMark/>
          </w:tcPr>
          <w:p w14:paraId="6A50E18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BE8595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5BB78C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BA3A7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4053CE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6A2FF5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CE9B6C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3D156EC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7A4849A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23F22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B28D7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38D63B6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DB14B5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65A309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AB785A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2D8FDE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5940558A" w14:textId="77777777" w:rsidTr="00B84551">
        <w:trPr>
          <w:trHeight w:val="358"/>
        </w:trPr>
        <w:tc>
          <w:tcPr>
            <w:tcW w:w="702" w:type="dxa"/>
            <w:gridSpan w:val="2"/>
            <w:tcBorders>
              <w:top w:val="nil"/>
              <w:left w:val="nil"/>
              <w:bottom w:val="nil"/>
              <w:right w:val="nil"/>
            </w:tcBorders>
            <w:shd w:val="clear" w:color="auto" w:fill="auto"/>
            <w:vAlign w:val="bottom"/>
            <w:hideMark/>
          </w:tcPr>
          <w:p w14:paraId="58400024"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2A52461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15899A2"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F0AA03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5B01E1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Completion of the remaining modules of the Integrated Tax Information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07F2B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AA25D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F7B684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C5D23B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C302A3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ECFD6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77C0D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B2DC78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64C749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E208F1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21DD92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E2022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1EAB6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456D3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1F9301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FB6F77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290514E" w14:textId="77777777" w:rsidTr="00B84551">
        <w:trPr>
          <w:trHeight w:val="493"/>
        </w:trPr>
        <w:tc>
          <w:tcPr>
            <w:tcW w:w="702" w:type="dxa"/>
            <w:gridSpan w:val="2"/>
            <w:tcBorders>
              <w:top w:val="nil"/>
              <w:left w:val="nil"/>
              <w:bottom w:val="nil"/>
              <w:right w:val="nil"/>
            </w:tcBorders>
            <w:shd w:val="clear" w:color="auto" w:fill="auto"/>
            <w:vAlign w:val="bottom"/>
            <w:hideMark/>
          </w:tcPr>
          <w:p w14:paraId="141E69B9"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DCAA8D5"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2BBF04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EFDF29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F4F7A8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Ensuring IS security (Information System) and smooth functioning of the integrated tax information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71D06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E6A6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594194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D9B87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B57B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74AB25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7A7C0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985E24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047D2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E73D36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C81A8D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53781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D5E78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C46BF6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12AE45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586770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6C5A57D" w14:textId="77777777" w:rsidTr="00B84551">
        <w:trPr>
          <w:trHeight w:val="241"/>
        </w:trPr>
        <w:tc>
          <w:tcPr>
            <w:tcW w:w="702" w:type="dxa"/>
            <w:gridSpan w:val="2"/>
            <w:tcBorders>
              <w:top w:val="nil"/>
              <w:left w:val="nil"/>
              <w:bottom w:val="nil"/>
              <w:right w:val="nil"/>
            </w:tcBorders>
            <w:shd w:val="clear" w:color="000000" w:fill="00FF00"/>
            <w:vAlign w:val="center"/>
            <w:hideMark/>
          </w:tcPr>
          <w:p w14:paraId="258C10E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268" w:type="dxa"/>
            <w:gridSpan w:val="4"/>
            <w:tcBorders>
              <w:top w:val="nil"/>
              <w:left w:val="nil"/>
              <w:bottom w:val="nil"/>
              <w:right w:val="nil"/>
            </w:tcBorders>
            <w:shd w:val="clear" w:color="000000" w:fill="00FF00"/>
            <w:vAlign w:val="center"/>
            <w:hideMark/>
          </w:tcPr>
          <w:p w14:paraId="09703E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3.</w:t>
            </w:r>
          </w:p>
        </w:tc>
        <w:tc>
          <w:tcPr>
            <w:tcW w:w="1242" w:type="dxa"/>
            <w:tcBorders>
              <w:top w:val="nil"/>
              <w:left w:val="nil"/>
              <w:bottom w:val="nil"/>
              <w:right w:val="nil"/>
            </w:tcBorders>
            <w:shd w:val="clear" w:color="000000" w:fill="00FF00"/>
            <w:vAlign w:val="center"/>
            <w:hideMark/>
          </w:tcPr>
          <w:p w14:paraId="3226787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00FF00"/>
            <w:vAlign w:val="center"/>
            <w:hideMark/>
          </w:tcPr>
          <w:p w14:paraId="08E780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Customs</w:t>
            </w:r>
          </w:p>
        </w:tc>
        <w:tc>
          <w:tcPr>
            <w:tcW w:w="522" w:type="dxa"/>
            <w:gridSpan w:val="2"/>
            <w:tcBorders>
              <w:top w:val="nil"/>
              <w:left w:val="nil"/>
              <w:bottom w:val="nil"/>
              <w:right w:val="nil"/>
            </w:tcBorders>
            <w:shd w:val="clear" w:color="000000" w:fill="00FF00"/>
            <w:vAlign w:val="center"/>
            <w:hideMark/>
          </w:tcPr>
          <w:p w14:paraId="344565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550294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4F4DB66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35C88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FDB6E3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6020804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9E73D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172979B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2D2E46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35490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E4A517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4423ED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316540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145A409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56C3AA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04128D5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1762C6F5" w14:textId="77777777" w:rsidTr="00B84551">
        <w:trPr>
          <w:trHeight w:val="615"/>
        </w:trPr>
        <w:tc>
          <w:tcPr>
            <w:tcW w:w="702" w:type="dxa"/>
            <w:gridSpan w:val="2"/>
            <w:tcBorders>
              <w:top w:val="nil"/>
              <w:left w:val="nil"/>
              <w:bottom w:val="nil"/>
              <w:right w:val="nil"/>
            </w:tcBorders>
            <w:shd w:val="clear" w:color="000000" w:fill="6FE7FF"/>
            <w:vAlign w:val="center"/>
            <w:hideMark/>
          </w:tcPr>
          <w:p w14:paraId="776A86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CB896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606EDC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181ADB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95FDA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Strengthening joint control mechanisms and capacities in order to combat illegal trade and organized crime</w:t>
            </w:r>
          </w:p>
        </w:tc>
        <w:tc>
          <w:tcPr>
            <w:tcW w:w="522" w:type="dxa"/>
            <w:gridSpan w:val="2"/>
            <w:tcBorders>
              <w:top w:val="nil"/>
              <w:left w:val="nil"/>
              <w:bottom w:val="single" w:sz="8" w:space="0" w:color="auto"/>
              <w:right w:val="nil"/>
            </w:tcBorders>
            <w:shd w:val="clear" w:color="000000" w:fill="6FE7FF"/>
            <w:vAlign w:val="center"/>
            <w:hideMark/>
          </w:tcPr>
          <w:p w14:paraId="4D42EA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B22D3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22262A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D2C4A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7266D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384A4AB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520D8D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282ACC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CFAE1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FA0AE1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2429D2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7093352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A6C346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04221AB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B67E8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4C4F40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1239BCB0" w14:textId="77777777" w:rsidTr="00B84551">
        <w:trPr>
          <w:trHeight w:val="718"/>
        </w:trPr>
        <w:tc>
          <w:tcPr>
            <w:tcW w:w="702" w:type="dxa"/>
            <w:gridSpan w:val="2"/>
            <w:tcBorders>
              <w:top w:val="nil"/>
              <w:left w:val="nil"/>
              <w:bottom w:val="nil"/>
              <w:right w:val="nil"/>
            </w:tcBorders>
            <w:shd w:val="clear" w:color="auto" w:fill="auto"/>
            <w:vAlign w:val="bottom"/>
            <w:hideMark/>
          </w:tcPr>
          <w:p w14:paraId="43775795"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5467B9E8"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A53DDC3"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E6F4B91"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EB2EFB0"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Equipping with modern and reliable control equipment and appropriate training for employees, in order to protect financial and economic interests, guarantee the safety and security of citizens, environmental protection and protection from unfair and illicit trade</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1A21012" w14:textId="75EEE89A"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4F7A46" w14:textId="62EB1C2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112B376" w14:textId="74F7287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57B7C3A" w14:textId="1BBC60F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D59860D" w14:textId="3CE92B6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E78776B" w14:textId="19824EFD"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E89FD6A" w14:textId="7035A62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ECBB887" w14:textId="4ECA642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72F7E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D9CF8E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05F1F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1214D9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5AAECD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94D543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A4A6D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5A125F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1EF05A8" w14:textId="77777777" w:rsidTr="00B84551">
        <w:trPr>
          <w:trHeight w:val="510"/>
        </w:trPr>
        <w:tc>
          <w:tcPr>
            <w:tcW w:w="702" w:type="dxa"/>
            <w:gridSpan w:val="2"/>
            <w:tcBorders>
              <w:top w:val="nil"/>
              <w:left w:val="nil"/>
              <w:bottom w:val="nil"/>
              <w:right w:val="nil"/>
            </w:tcBorders>
            <w:shd w:val="clear" w:color="000000" w:fill="6FE7FF"/>
            <w:vAlign w:val="center"/>
            <w:hideMark/>
          </w:tcPr>
          <w:p w14:paraId="4C0864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7904AE6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43A2D9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598536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6689EF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Modernization of customs services and their digitalization</w:t>
            </w:r>
          </w:p>
        </w:tc>
        <w:tc>
          <w:tcPr>
            <w:tcW w:w="522" w:type="dxa"/>
            <w:gridSpan w:val="2"/>
            <w:tcBorders>
              <w:top w:val="nil"/>
              <w:left w:val="nil"/>
              <w:bottom w:val="single" w:sz="8" w:space="0" w:color="auto"/>
              <w:right w:val="nil"/>
            </w:tcBorders>
            <w:shd w:val="clear" w:color="000000" w:fill="6FE7FF"/>
            <w:vAlign w:val="center"/>
            <w:hideMark/>
          </w:tcPr>
          <w:p w14:paraId="54AA51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50BD4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51DC7D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12BD83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B60EBE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20475C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CBA5B0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44438F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6EF0D7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891117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05848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35E4B4F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21FE92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E4E3D8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A9C65B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CF65A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63CB6648" w14:textId="77777777" w:rsidTr="00B84551">
        <w:trPr>
          <w:trHeight w:val="700"/>
        </w:trPr>
        <w:tc>
          <w:tcPr>
            <w:tcW w:w="702" w:type="dxa"/>
            <w:gridSpan w:val="2"/>
            <w:tcBorders>
              <w:top w:val="nil"/>
              <w:left w:val="nil"/>
              <w:bottom w:val="nil"/>
              <w:right w:val="nil"/>
            </w:tcBorders>
            <w:shd w:val="clear" w:color="auto" w:fill="auto"/>
            <w:vAlign w:val="bottom"/>
            <w:hideMark/>
          </w:tcPr>
          <w:p w14:paraId="59B8E189"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24B12701"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center"/>
            <w:hideMark/>
          </w:tcPr>
          <w:p w14:paraId="3B3209D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09B1151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6983CB5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Implementation of modern systems in order to comply with the Multiannual Strategic Plan of the EU (MASP), integration with European systems and procurement of appropriate hardware.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01D496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E9520F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A1DD6C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5C58A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64DF4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7BA30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CF654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11A05A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E5784A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87C75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9F8217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F2799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D3F99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BFC35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599616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83B3E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B84551" w:rsidRPr="00D11D72" w14:paraId="1F706B4F" w14:textId="77777777" w:rsidTr="00B84551">
        <w:trPr>
          <w:gridBefore w:val="1"/>
          <w:wBefore w:w="90" w:type="dxa"/>
          <w:trHeight w:val="700"/>
        </w:trPr>
        <w:tc>
          <w:tcPr>
            <w:tcW w:w="720" w:type="dxa"/>
            <w:gridSpan w:val="2"/>
            <w:tcBorders>
              <w:top w:val="nil"/>
              <w:left w:val="nil"/>
              <w:bottom w:val="nil"/>
              <w:right w:val="nil"/>
            </w:tcBorders>
            <w:shd w:val="clear" w:color="auto" w:fill="00B0F0"/>
            <w:vAlign w:val="bottom"/>
          </w:tcPr>
          <w:p w14:paraId="00CB1E58" w14:textId="77777777" w:rsidR="00B84551" w:rsidRPr="0062158E" w:rsidRDefault="00B84551" w:rsidP="00B6646E">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00B0F0"/>
            <w:vAlign w:val="center"/>
          </w:tcPr>
          <w:p w14:paraId="0B57C015" w14:textId="77777777" w:rsidR="00B84551" w:rsidRPr="00D11D72" w:rsidRDefault="00B84551" w:rsidP="00B6646E">
            <w:pPr>
              <w:spacing w:after="0" w:line="240" w:lineRule="auto"/>
              <w:rPr>
                <w:rFonts w:eastAsia="Times New Roman" w:cs="Calibri"/>
                <w:b/>
                <w:bCs/>
                <w:sz w:val="16"/>
                <w:szCs w:val="16"/>
              </w:rPr>
            </w:pPr>
            <w:r w:rsidRPr="0062158E">
              <w:rPr>
                <w:rFonts w:eastAsia="Times New Roman" w:cs="Calibri"/>
                <w:b/>
                <w:bCs/>
                <w:sz w:val="16"/>
                <w:szCs w:val="16"/>
              </w:rPr>
              <w:t> </w:t>
            </w:r>
          </w:p>
        </w:tc>
        <w:tc>
          <w:tcPr>
            <w:tcW w:w="1200" w:type="dxa"/>
            <w:tcBorders>
              <w:top w:val="nil"/>
              <w:left w:val="nil"/>
              <w:bottom w:val="nil"/>
              <w:right w:val="nil"/>
            </w:tcBorders>
            <w:shd w:val="clear" w:color="auto" w:fill="00B0F0"/>
            <w:vAlign w:val="center"/>
          </w:tcPr>
          <w:p w14:paraId="40709C41" w14:textId="77777777" w:rsidR="00B84551" w:rsidRPr="00D11D72" w:rsidRDefault="00B84551" w:rsidP="00B6646E">
            <w:pPr>
              <w:spacing w:after="0" w:line="240" w:lineRule="auto"/>
              <w:rPr>
                <w:rFonts w:eastAsia="Times New Roman" w:cs="Calibri"/>
                <w:b/>
                <w:bCs/>
                <w:sz w:val="16"/>
                <w:szCs w:val="16"/>
              </w:rPr>
            </w:pPr>
            <w:r w:rsidRPr="0062158E">
              <w:rPr>
                <w:rFonts w:eastAsia="Times New Roman" w:cs="Calibri"/>
                <w:b/>
                <w:bCs/>
                <w:sz w:val="16"/>
                <w:szCs w:val="16"/>
              </w:rPr>
              <w:t xml:space="preserve">Measure </w:t>
            </w:r>
            <w:r w:rsidRPr="00D11D72">
              <w:rPr>
                <w:rFonts w:eastAsia="Times New Roman" w:cs="Calibri"/>
                <w:b/>
                <w:bCs/>
                <w:sz w:val="16"/>
                <w:szCs w:val="16"/>
              </w:rPr>
              <w:t>3</w:t>
            </w:r>
            <w:r w:rsidRPr="0062158E">
              <w:rPr>
                <w:rFonts w:eastAsia="Times New Roman" w:cs="Calibri"/>
                <w:b/>
                <w:bCs/>
                <w:sz w:val="16"/>
                <w:szCs w:val="16"/>
              </w:rPr>
              <w:t>.</w:t>
            </w:r>
          </w:p>
        </w:tc>
        <w:tc>
          <w:tcPr>
            <w:tcW w:w="1350" w:type="dxa"/>
            <w:gridSpan w:val="2"/>
            <w:tcBorders>
              <w:top w:val="nil"/>
              <w:left w:val="nil"/>
              <w:bottom w:val="single" w:sz="4" w:space="0" w:color="auto"/>
              <w:right w:val="nil"/>
            </w:tcBorders>
            <w:shd w:val="clear" w:color="auto" w:fill="00B0F0"/>
            <w:vAlign w:val="center"/>
          </w:tcPr>
          <w:p w14:paraId="3B27388D" w14:textId="77777777" w:rsidR="00B84551" w:rsidRPr="00D11D72" w:rsidRDefault="00B84551" w:rsidP="00B6646E">
            <w:pPr>
              <w:spacing w:after="0" w:line="240" w:lineRule="auto"/>
              <w:rPr>
                <w:rFonts w:eastAsia="Times New Roman" w:cs="Calibri"/>
                <w:b/>
                <w:bCs/>
                <w:sz w:val="16"/>
                <w:szCs w:val="16"/>
              </w:rPr>
            </w:pPr>
            <w:r w:rsidRPr="0062158E">
              <w:rPr>
                <w:rFonts w:eastAsia="Times New Roman" w:cs="Calibri"/>
                <w:b/>
                <w:bCs/>
                <w:sz w:val="16"/>
                <w:szCs w:val="16"/>
              </w:rPr>
              <w:t> </w:t>
            </w:r>
          </w:p>
        </w:tc>
        <w:tc>
          <w:tcPr>
            <w:tcW w:w="3150" w:type="dxa"/>
            <w:tcBorders>
              <w:top w:val="nil"/>
              <w:left w:val="nil"/>
              <w:bottom w:val="single" w:sz="4" w:space="0" w:color="auto"/>
              <w:right w:val="nil"/>
            </w:tcBorders>
            <w:shd w:val="clear" w:color="auto" w:fill="00B0F0"/>
            <w:vAlign w:val="center"/>
          </w:tcPr>
          <w:p w14:paraId="6AB14D97" w14:textId="77777777" w:rsidR="00B84551" w:rsidRPr="00D11D72" w:rsidRDefault="00B84551" w:rsidP="00B6646E">
            <w:pPr>
              <w:spacing w:after="0" w:line="240" w:lineRule="auto"/>
              <w:rPr>
                <w:rFonts w:eastAsia="Times New Roman" w:cs="Calibri"/>
                <w:b/>
                <w:bCs/>
                <w:sz w:val="16"/>
                <w:szCs w:val="16"/>
              </w:rPr>
            </w:pPr>
            <w:r w:rsidRPr="00BE1382">
              <w:rPr>
                <w:rFonts w:eastAsia="Times New Roman" w:cs="Calibri"/>
                <w:b/>
                <w:bCs/>
                <w:sz w:val="16"/>
                <w:szCs w:val="16"/>
              </w:rPr>
              <w:t>Adequate monitoring of excise good sand collection of excise duties</w:t>
            </w:r>
          </w:p>
        </w:tc>
        <w:tc>
          <w:tcPr>
            <w:tcW w:w="450" w:type="dxa"/>
            <w:tcBorders>
              <w:top w:val="nil"/>
              <w:left w:val="nil"/>
              <w:bottom w:val="single" w:sz="4" w:space="0" w:color="auto"/>
              <w:right w:val="nil"/>
            </w:tcBorders>
            <w:shd w:val="clear" w:color="auto" w:fill="00B0F0"/>
            <w:vAlign w:val="center"/>
          </w:tcPr>
          <w:p w14:paraId="2EFA87ED"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5C3D626B"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510" w:type="dxa"/>
            <w:gridSpan w:val="2"/>
            <w:tcBorders>
              <w:top w:val="nil"/>
              <w:left w:val="nil"/>
              <w:bottom w:val="single" w:sz="4" w:space="0" w:color="auto"/>
              <w:right w:val="nil"/>
            </w:tcBorders>
            <w:shd w:val="clear" w:color="auto" w:fill="00B0F0"/>
            <w:vAlign w:val="center"/>
          </w:tcPr>
          <w:p w14:paraId="39F57C1D"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4" w:space="0" w:color="auto"/>
              <w:right w:val="nil"/>
            </w:tcBorders>
            <w:shd w:val="clear" w:color="auto" w:fill="00B0F0"/>
            <w:vAlign w:val="center"/>
          </w:tcPr>
          <w:p w14:paraId="19A724D4"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3C3C86A6"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540" w:type="dxa"/>
            <w:gridSpan w:val="2"/>
            <w:tcBorders>
              <w:top w:val="nil"/>
              <w:left w:val="nil"/>
              <w:bottom w:val="single" w:sz="4" w:space="0" w:color="auto"/>
              <w:right w:val="nil"/>
            </w:tcBorders>
            <w:shd w:val="clear" w:color="auto" w:fill="00B0F0"/>
            <w:vAlign w:val="center"/>
          </w:tcPr>
          <w:p w14:paraId="79065988"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03A59E56"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4" w:space="0" w:color="auto"/>
              <w:right w:val="nil"/>
            </w:tcBorders>
            <w:shd w:val="clear" w:color="auto" w:fill="00B0F0"/>
            <w:vAlign w:val="center"/>
          </w:tcPr>
          <w:p w14:paraId="03B7FA53"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4" w:space="0" w:color="auto"/>
              <w:right w:val="nil"/>
            </w:tcBorders>
            <w:shd w:val="clear" w:color="auto" w:fill="00B0F0"/>
            <w:vAlign w:val="center"/>
          </w:tcPr>
          <w:p w14:paraId="440AF4A7"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735894D7"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2852E4B5"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4" w:space="0" w:color="auto"/>
              <w:right w:val="nil"/>
            </w:tcBorders>
            <w:shd w:val="clear" w:color="auto" w:fill="00B0F0"/>
            <w:vAlign w:val="center"/>
          </w:tcPr>
          <w:p w14:paraId="0F1CBD1D"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4" w:space="0" w:color="auto"/>
              <w:right w:val="nil"/>
            </w:tcBorders>
            <w:shd w:val="clear" w:color="auto" w:fill="00B0F0"/>
            <w:vAlign w:val="center"/>
          </w:tcPr>
          <w:p w14:paraId="5C8FAE57"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540" w:type="dxa"/>
            <w:gridSpan w:val="4"/>
            <w:tcBorders>
              <w:top w:val="nil"/>
              <w:left w:val="nil"/>
              <w:bottom w:val="single" w:sz="4" w:space="0" w:color="auto"/>
              <w:right w:val="nil"/>
            </w:tcBorders>
            <w:shd w:val="clear" w:color="auto" w:fill="00B0F0"/>
            <w:vAlign w:val="center"/>
          </w:tcPr>
          <w:p w14:paraId="0F203146"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4" w:space="0" w:color="auto"/>
              <w:right w:val="nil"/>
            </w:tcBorders>
            <w:shd w:val="clear" w:color="auto" w:fill="00B0F0"/>
            <w:vAlign w:val="center"/>
          </w:tcPr>
          <w:p w14:paraId="610F12F5"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c>
          <w:tcPr>
            <w:tcW w:w="630" w:type="dxa"/>
            <w:gridSpan w:val="2"/>
            <w:tcBorders>
              <w:top w:val="nil"/>
              <w:left w:val="nil"/>
              <w:bottom w:val="single" w:sz="4" w:space="0" w:color="auto"/>
              <w:right w:val="nil"/>
            </w:tcBorders>
            <w:shd w:val="clear" w:color="auto" w:fill="00B0F0"/>
            <w:vAlign w:val="center"/>
          </w:tcPr>
          <w:p w14:paraId="1A573A9D" w14:textId="77777777" w:rsidR="00B84551" w:rsidRPr="00D11D72" w:rsidRDefault="00B84551" w:rsidP="00B6646E">
            <w:pPr>
              <w:spacing w:after="0" w:line="240" w:lineRule="auto"/>
              <w:jc w:val="center"/>
              <w:rPr>
                <w:rFonts w:eastAsia="Times New Roman" w:cs="Calibri"/>
                <w:b/>
                <w:bCs/>
                <w:sz w:val="16"/>
                <w:szCs w:val="16"/>
              </w:rPr>
            </w:pPr>
            <w:r w:rsidRPr="0062158E">
              <w:rPr>
                <w:rFonts w:eastAsia="Times New Roman" w:cs="Calibri"/>
                <w:b/>
                <w:bCs/>
                <w:sz w:val="16"/>
                <w:szCs w:val="16"/>
              </w:rPr>
              <w:t> </w:t>
            </w:r>
          </w:p>
        </w:tc>
      </w:tr>
      <w:tr w:rsidR="00B84551" w:rsidRPr="00D11D72" w14:paraId="768FA9E6" w14:textId="77777777" w:rsidTr="00B84551">
        <w:trPr>
          <w:gridBefore w:val="1"/>
          <w:wBefore w:w="90" w:type="dxa"/>
          <w:trHeight w:val="700"/>
        </w:trPr>
        <w:tc>
          <w:tcPr>
            <w:tcW w:w="720" w:type="dxa"/>
            <w:gridSpan w:val="2"/>
            <w:tcBorders>
              <w:top w:val="nil"/>
              <w:left w:val="nil"/>
              <w:bottom w:val="nil"/>
              <w:right w:val="nil"/>
            </w:tcBorders>
            <w:shd w:val="clear" w:color="auto" w:fill="auto"/>
            <w:vAlign w:val="bottom"/>
          </w:tcPr>
          <w:p w14:paraId="36D17A1C" w14:textId="77777777" w:rsidR="00B84551" w:rsidRPr="0062158E" w:rsidRDefault="00B84551" w:rsidP="00B6646E">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center"/>
          </w:tcPr>
          <w:p w14:paraId="1D4657CB" w14:textId="77777777" w:rsidR="00B84551" w:rsidRPr="0062158E" w:rsidRDefault="00B84551" w:rsidP="00B6646E">
            <w:pPr>
              <w:spacing w:after="0" w:line="240" w:lineRule="auto"/>
              <w:rPr>
                <w:rFonts w:eastAsia="Times New Roman" w:cs="Calibri"/>
                <w:b/>
                <w:bCs/>
                <w:sz w:val="16"/>
                <w:szCs w:val="16"/>
              </w:rPr>
            </w:pPr>
          </w:p>
        </w:tc>
        <w:tc>
          <w:tcPr>
            <w:tcW w:w="1200" w:type="dxa"/>
            <w:tcBorders>
              <w:top w:val="nil"/>
              <w:left w:val="nil"/>
              <w:bottom w:val="nil"/>
              <w:right w:val="single" w:sz="4" w:space="0" w:color="auto"/>
            </w:tcBorders>
            <w:shd w:val="clear" w:color="auto" w:fill="auto"/>
            <w:vAlign w:val="center"/>
          </w:tcPr>
          <w:p w14:paraId="2EA2D57F" w14:textId="77777777" w:rsidR="00B84551" w:rsidRPr="00DE4CD2" w:rsidRDefault="00B84551" w:rsidP="00B6646E">
            <w:pPr>
              <w:spacing w:after="0" w:line="240" w:lineRule="auto"/>
              <w:rPr>
                <w:rFonts w:eastAsia="Times New Roman" w:cs="Calibri"/>
                <w:b/>
                <w:bCs/>
                <w:sz w:val="16"/>
                <w:szCs w:val="16"/>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53F4E" w14:textId="77777777" w:rsidR="00B84551" w:rsidRPr="00B84551" w:rsidRDefault="00B84551" w:rsidP="00B6646E">
            <w:pPr>
              <w:spacing w:after="0" w:line="240" w:lineRule="auto"/>
              <w:rPr>
                <w:rFonts w:eastAsia="Times New Roman" w:cs="Calibri"/>
                <w:bCs/>
                <w:sz w:val="16"/>
                <w:szCs w:val="16"/>
                <w:lang w:val="en-US"/>
              </w:rPr>
            </w:pPr>
            <w:r w:rsidRPr="00B84551">
              <w:rPr>
                <w:rFonts w:eastAsia="Times New Roman" w:cs="Calibri"/>
                <w:bCs/>
                <w:sz w:val="16"/>
                <w:szCs w:val="16"/>
                <w:lang w:val="en-US"/>
              </w:rPr>
              <w:t>Activity 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0BA68D4" w14:textId="77777777" w:rsidR="00B84551" w:rsidRPr="00DE4CD2" w:rsidRDefault="00B84551" w:rsidP="00B6646E">
            <w:pPr>
              <w:spacing w:after="0" w:line="240" w:lineRule="auto"/>
              <w:rPr>
                <w:rFonts w:eastAsia="Times New Roman" w:cs="Calibri"/>
                <w:b/>
                <w:bCs/>
                <w:sz w:val="16"/>
                <w:szCs w:val="16"/>
              </w:rPr>
            </w:pPr>
            <w:r w:rsidRPr="00B84551">
              <w:rPr>
                <w:rFonts w:eastAsia="Times New Roman" w:cs="Calibri"/>
                <w:sz w:val="16"/>
                <w:szCs w:val="16"/>
              </w:rPr>
              <w:t>Establishing a system for marking and tracking tobacco products (cigarettes) through the TRACK&amp;TRACE system</w:t>
            </w:r>
          </w:p>
        </w:tc>
        <w:tc>
          <w:tcPr>
            <w:tcW w:w="450" w:type="dxa"/>
            <w:tcBorders>
              <w:top w:val="single" w:sz="4" w:space="0" w:color="auto"/>
              <w:left w:val="single" w:sz="4" w:space="0" w:color="auto"/>
              <w:bottom w:val="single" w:sz="4" w:space="0" w:color="auto"/>
              <w:right w:val="single" w:sz="4" w:space="0" w:color="auto"/>
            </w:tcBorders>
            <w:shd w:val="clear" w:color="auto" w:fill="0000FF"/>
            <w:vAlign w:val="center"/>
          </w:tcPr>
          <w:p w14:paraId="3A547085"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546D808C" w14:textId="77777777" w:rsidR="00B84551" w:rsidRPr="00D11D72" w:rsidRDefault="00B84551" w:rsidP="00B6646E">
            <w:pPr>
              <w:spacing w:after="0" w:line="240" w:lineRule="auto"/>
              <w:jc w:val="center"/>
              <w:rPr>
                <w:rFonts w:eastAsia="Times New Roman" w:cs="Calibri"/>
                <w:color w:val="FFFFFF"/>
                <w:sz w:val="16"/>
                <w:szCs w:val="16"/>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07E959B9" w14:textId="77777777" w:rsidR="00B84551" w:rsidRPr="00D11D72" w:rsidRDefault="00B84551" w:rsidP="00B6646E">
            <w:pPr>
              <w:spacing w:after="0" w:line="240" w:lineRule="auto"/>
              <w:jc w:val="center"/>
              <w:rPr>
                <w:rFonts w:eastAsia="Times New Roman" w:cs="Calibri"/>
                <w:color w:val="FFFFFF"/>
                <w:sz w:val="16"/>
                <w:szCs w:val="16"/>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1E23C009"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5C8AEB17" w14:textId="77777777" w:rsidR="00B84551" w:rsidRPr="00D11D72" w:rsidRDefault="00B84551" w:rsidP="00B6646E">
            <w:pPr>
              <w:spacing w:after="0" w:line="240" w:lineRule="auto"/>
              <w:jc w:val="center"/>
              <w:rPr>
                <w:rFonts w:eastAsia="Times New Roman" w:cs="Calibri"/>
                <w:color w:val="FFFFFF"/>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5869B8AE"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6ADED78E" w14:textId="77777777" w:rsidR="00B84551" w:rsidRPr="00D11D72" w:rsidRDefault="00B84551" w:rsidP="00B6646E">
            <w:pPr>
              <w:spacing w:after="0" w:line="240" w:lineRule="auto"/>
              <w:jc w:val="center"/>
              <w:rPr>
                <w:rFonts w:eastAsia="Times New Roman" w:cs="Calibri"/>
                <w:color w:val="FFFFFF"/>
                <w:sz w:val="16"/>
                <w:szCs w:val="16"/>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02005575"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0000FF"/>
            <w:vAlign w:val="center"/>
          </w:tcPr>
          <w:p w14:paraId="61DB0826"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2AD47ED0"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3511B659"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038D446F"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0000FF"/>
            <w:vAlign w:val="center"/>
          </w:tcPr>
          <w:p w14:paraId="5D871078" w14:textId="77777777" w:rsidR="00B84551" w:rsidRPr="00D11D72" w:rsidRDefault="00B84551" w:rsidP="00B6646E">
            <w:pPr>
              <w:spacing w:after="0" w:line="240" w:lineRule="auto"/>
              <w:jc w:val="center"/>
              <w:rPr>
                <w:rFonts w:eastAsia="Times New Roman" w:cs="Calibri"/>
                <w:color w:val="FFFFFF"/>
                <w:sz w:val="16"/>
                <w:szCs w:val="16"/>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0000FF"/>
            <w:vAlign w:val="center"/>
          </w:tcPr>
          <w:p w14:paraId="218FA3A3" w14:textId="77777777" w:rsidR="00B84551" w:rsidRPr="00D11D72" w:rsidRDefault="00B84551" w:rsidP="00B6646E">
            <w:pPr>
              <w:spacing w:after="0" w:line="240" w:lineRule="auto"/>
              <w:jc w:val="center"/>
              <w:rPr>
                <w:rFonts w:eastAsia="Times New Roman" w:cs="Calibri"/>
                <w:color w:val="FFFFFF"/>
                <w:sz w:val="16"/>
                <w:szCs w:val="16"/>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1E85681A" w14:textId="77777777" w:rsidR="00B84551" w:rsidRPr="00D11D72" w:rsidRDefault="00B84551" w:rsidP="00B6646E">
            <w:pPr>
              <w:spacing w:after="0" w:line="240" w:lineRule="auto"/>
              <w:jc w:val="center"/>
              <w:rPr>
                <w:rFonts w:eastAsia="Times New Roman" w:cs="Calibri"/>
                <w:color w:val="FFFFFF"/>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7EF776A6" w14:textId="77777777" w:rsidR="00B84551" w:rsidRPr="00D11D72" w:rsidRDefault="00B84551" w:rsidP="00B6646E">
            <w:pPr>
              <w:spacing w:after="0" w:line="240" w:lineRule="auto"/>
              <w:jc w:val="center"/>
              <w:rPr>
                <w:rFonts w:eastAsia="Times New Roman" w:cs="Calibri"/>
                <w:color w:val="FFFFFF"/>
                <w:sz w:val="16"/>
                <w:szCs w:val="16"/>
              </w:rPr>
            </w:pPr>
          </w:p>
        </w:tc>
      </w:tr>
      <w:tr w:rsidR="00B84551" w:rsidRPr="0062158E" w14:paraId="1EEA0F85" w14:textId="77777777" w:rsidTr="00B84551">
        <w:trPr>
          <w:trHeight w:val="700"/>
        </w:trPr>
        <w:tc>
          <w:tcPr>
            <w:tcW w:w="702" w:type="dxa"/>
            <w:gridSpan w:val="2"/>
            <w:tcBorders>
              <w:top w:val="nil"/>
              <w:left w:val="nil"/>
              <w:bottom w:val="nil"/>
              <w:right w:val="nil"/>
            </w:tcBorders>
            <w:shd w:val="clear" w:color="auto" w:fill="auto"/>
            <w:vAlign w:val="bottom"/>
          </w:tcPr>
          <w:p w14:paraId="5DFB5EAE" w14:textId="77777777" w:rsidR="00B84551" w:rsidRPr="0062158E" w:rsidRDefault="00B84551"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tcPr>
          <w:p w14:paraId="0F6C25DC" w14:textId="77777777" w:rsidR="00B84551" w:rsidRPr="0062158E" w:rsidRDefault="00B84551"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center"/>
          </w:tcPr>
          <w:p w14:paraId="42F52AEF" w14:textId="77777777" w:rsidR="00B84551" w:rsidRPr="0062158E" w:rsidRDefault="00B84551" w:rsidP="00C93723">
            <w:pPr>
              <w:spacing w:after="0" w:line="240" w:lineRule="auto"/>
              <w:rPr>
                <w:rFonts w:eastAsia="Times New Roman" w:cs="Calibri"/>
                <w:sz w:val="16"/>
                <w:szCs w:val="16"/>
              </w:rPr>
            </w:pPr>
          </w:p>
        </w:tc>
        <w:tc>
          <w:tcPr>
            <w:tcW w:w="1242" w:type="dxa"/>
            <w:tcBorders>
              <w:top w:val="nil"/>
              <w:left w:val="nil"/>
              <w:bottom w:val="single" w:sz="8" w:space="0" w:color="auto"/>
              <w:right w:val="nil"/>
            </w:tcBorders>
            <w:shd w:val="clear" w:color="auto" w:fill="auto"/>
            <w:vAlign w:val="center"/>
          </w:tcPr>
          <w:p w14:paraId="527CEDA3" w14:textId="77777777" w:rsidR="00B84551" w:rsidRPr="0062158E" w:rsidRDefault="00B84551" w:rsidP="00C93723">
            <w:pPr>
              <w:spacing w:after="0" w:line="240" w:lineRule="auto"/>
              <w:rPr>
                <w:rFonts w:eastAsia="Times New Roman" w:cs="Calibri"/>
                <w:sz w:val="16"/>
                <w:szCs w:val="16"/>
              </w:rPr>
            </w:pPr>
          </w:p>
        </w:tc>
        <w:tc>
          <w:tcPr>
            <w:tcW w:w="3258" w:type="dxa"/>
            <w:gridSpan w:val="2"/>
            <w:tcBorders>
              <w:top w:val="nil"/>
              <w:left w:val="nil"/>
              <w:bottom w:val="single" w:sz="8" w:space="0" w:color="auto"/>
              <w:right w:val="single" w:sz="8" w:space="0" w:color="auto"/>
            </w:tcBorders>
            <w:shd w:val="clear" w:color="auto" w:fill="auto"/>
            <w:vAlign w:val="center"/>
          </w:tcPr>
          <w:p w14:paraId="1DB565C0" w14:textId="77777777" w:rsidR="00B84551" w:rsidRPr="0062158E" w:rsidRDefault="00B84551" w:rsidP="00C93723">
            <w:pPr>
              <w:spacing w:after="0" w:line="240" w:lineRule="auto"/>
              <w:rPr>
                <w:rFonts w:eastAsia="Times New Roman" w:cs="Calibri"/>
                <w:sz w:val="16"/>
                <w:szCs w:val="16"/>
              </w:rPr>
            </w:pPr>
          </w:p>
        </w:tc>
        <w:tc>
          <w:tcPr>
            <w:tcW w:w="522" w:type="dxa"/>
            <w:gridSpan w:val="2"/>
            <w:tcBorders>
              <w:top w:val="nil"/>
              <w:left w:val="nil"/>
              <w:bottom w:val="single" w:sz="8" w:space="0" w:color="auto"/>
              <w:right w:val="single" w:sz="8" w:space="0" w:color="auto"/>
            </w:tcBorders>
            <w:shd w:val="clear" w:color="000000" w:fill="0000FF"/>
            <w:vAlign w:val="center"/>
          </w:tcPr>
          <w:p w14:paraId="530D40EE" w14:textId="77777777" w:rsidR="00B84551" w:rsidRPr="0062158E" w:rsidRDefault="00B84551" w:rsidP="00C93723">
            <w:pPr>
              <w:spacing w:after="0" w:line="240" w:lineRule="auto"/>
              <w:jc w:val="center"/>
              <w:rPr>
                <w:rFonts w:eastAsia="Times New Roman" w:cs="Calibri"/>
                <w:color w:val="FFFFFF"/>
                <w:sz w:val="16"/>
                <w:szCs w:val="16"/>
              </w:rPr>
            </w:pPr>
          </w:p>
        </w:tc>
        <w:tc>
          <w:tcPr>
            <w:tcW w:w="378" w:type="dxa"/>
            <w:gridSpan w:val="2"/>
            <w:tcBorders>
              <w:top w:val="nil"/>
              <w:left w:val="nil"/>
              <w:bottom w:val="single" w:sz="8" w:space="0" w:color="auto"/>
              <w:right w:val="single" w:sz="8" w:space="0" w:color="auto"/>
            </w:tcBorders>
            <w:shd w:val="clear" w:color="000000" w:fill="0000FF"/>
            <w:vAlign w:val="center"/>
          </w:tcPr>
          <w:p w14:paraId="3E80BD8F" w14:textId="77777777" w:rsidR="00B84551" w:rsidRPr="0062158E" w:rsidRDefault="00B84551" w:rsidP="00C93723">
            <w:pPr>
              <w:spacing w:after="0" w:line="240" w:lineRule="auto"/>
              <w:jc w:val="center"/>
              <w:rPr>
                <w:rFonts w:eastAsia="Times New Roman" w:cs="Calibri"/>
                <w:color w:val="FFFFFF"/>
                <w:sz w:val="16"/>
                <w:szCs w:val="16"/>
              </w:rPr>
            </w:pPr>
          </w:p>
        </w:tc>
        <w:tc>
          <w:tcPr>
            <w:tcW w:w="582" w:type="dxa"/>
            <w:gridSpan w:val="3"/>
            <w:tcBorders>
              <w:top w:val="nil"/>
              <w:left w:val="nil"/>
              <w:bottom w:val="single" w:sz="8" w:space="0" w:color="auto"/>
              <w:right w:val="single" w:sz="8" w:space="0" w:color="auto"/>
            </w:tcBorders>
            <w:shd w:val="clear" w:color="000000" w:fill="0000FF"/>
            <w:vAlign w:val="center"/>
          </w:tcPr>
          <w:p w14:paraId="6BF4DB48" w14:textId="77777777" w:rsidR="00B84551" w:rsidRPr="0062158E" w:rsidRDefault="00B84551" w:rsidP="00C93723">
            <w:pPr>
              <w:spacing w:after="0" w:line="240" w:lineRule="auto"/>
              <w:jc w:val="center"/>
              <w:rPr>
                <w:rFonts w:eastAsia="Times New Roman" w:cs="Calibri"/>
                <w:color w:val="FFFFFF"/>
                <w:sz w:val="16"/>
                <w:szCs w:val="16"/>
              </w:rPr>
            </w:pPr>
          </w:p>
        </w:tc>
        <w:tc>
          <w:tcPr>
            <w:tcW w:w="480" w:type="dxa"/>
            <w:gridSpan w:val="3"/>
            <w:tcBorders>
              <w:top w:val="nil"/>
              <w:left w:val="nil"/>
              <w:bottom w:val="single" w:sz="8" w:space="0" w:color="auto"/>
              <w:right w:val="single" w:sz="8" w:space="0" w:color="auto"/>
            </w:tcBorders>
            <w:shd w:val="clear" w:color="000000" w:fill="0000FF"/>
            <w:vAlign w:val="center"/>
          </w:tcPr>
          <w:p w14:paraId="2B8D4C2C" w14:textId="77777777" w:rsidR="00B84551" w:rsidRPr="0062158E" w:rsidRDefault="00B84551" w:rsidP="00C93723">
            <w:pPr>
              <w:spacing w:after="0" w:line="240" w:lineRule="auto"/>
              <w:jc w:val="center"/>
              <w:rPr>
                <w:rFonts w:eastAsia="Times New Roman" w:cs="Calibri"/>
                <w:color w:val="FFFFFF"/>
                <w:sz w:val="16"/>
                <w:szCs w:val="16"/>
              </w:rPr>
            </w:pPr>
          </w:p>
        </w:tc>
        <w:tc>
          <w:tcPr>
            <w:tcW w:w="378" w:type="dxa"/>
            <w:gridSpan w:val="2"/>
            <w:tcBorders>
              <w:top w:val="nil"/>
              <w:left w:val="nil"/>
              <w:bottom w:val="single" w:sz="8" w:space="0" w:color="auto"/>
              <w:right w:val="single" w:sz="8" w:space="0" w:color="auto"/>
            </w:tcBorders>
            <w:shd w:val="clear" w:color="000000" w:fill="0000FF"/>
            <w:vAlign w:val="center"/>
          </w:tcPr>
          <w:p w14:paraId="66B006EE" w14:textId="77777777" w:rsidR="00B84551" w:rsidRPr="0062158E" w:rsidRDefault="00B84551" w:rsidP="00C93723">
            <w:pPr>
              <w:spacing w:after="0" w:line="240" w:lineRule="auto"/>
              <w:jc w:val="center"/>
              <w:rPr>
                <w:rFonts w:eastAsia="Times New Roman" w:cs="Calibri"/>
                <w:color w:val="FFFFFF"/>
                <w:sz w:val="16"/>
                <w:szCs w:val="16"/>
              </w:rPr>
            </w:pPr>
          </w:p>
        </w:tc>
        <w:tc>
          <w:tcPr>
            <w:tcW w:w="612" w:type="dxa"/>
            <w:gridSpan w:val="3"/>
            <w:tcBorders>
              <w:top w:val="nil"/>
              <w:left w:val="nil"/>
              <w:bottom w:val="single" w:sz="8" w:space="0" w:color="auto"/>
              <w:right w:val="single" w:sz="8" w:space="0" w:color="auto"/>
            </w:tcBorders>
            <w:shd w:val="clear" w:color="000000" w:fill="0000FF"/>
            <w:vAlign w:val="center"/>
          </w:tcPr>
          <w:p w14:paraId="0A06B53A"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3E63209A" w14:textId="77777777" w:rsidR="00B84551" w:rsidRPr="0062158E" w:rsidRDefault="00B84551" w:rsidP="00C93723">
            <w:pPr>
              <w:spacing w:after="0" w:line="240" w:lineRule="auto"/>
              <w:jc w:val="center"/>
              <w:rPr>
                <w:rFonts w:eastAsia="Times New Roman" w:cs="Calibri"/>
                <w:color w:val="FFFFFF"/>
                <w:sz w:val="16"/>
                <w:szCs w:val="16"/>
              </w:rPr>
            </w:pPr>
          </w:p>
        </w:tc>
        <w:tc>
          <w:tcPr>
            <w:tcW w:w="540" w:type="dxa"/>
            <w:gridSpan w:val="3"/>
            <w:tcBorders>
              <w:top w:val="nil"/>
              <w:left w:val="nil"/>
              <w:bottom w:val="single" w:sz="8" w:space="0" w:color="auto"/>
              <w:right w:val="single" w:sz="8" w:space="0" w:color="auto"/>
            </w:tcBorders>
            <w:shd w:val="clear" w:color="000000" w:fill="0000FF"/>
            <w:vAlign w:val="center"/>
          </w:tcPr>
          <w:p w14:paraId="7BE68610"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4"/>
            <w:tcBorders>
              <w:top w:val="nil"/>
              <w:left w:val="nil"/>
              <w:bottom w:val="single" w:sz="8" w:space="0" w:color="auto"/>
              <w:right w:val="single" w:sz="8" w:space="0" w:color="auto"/>
            </w:tcBorders>
            <w:shd w:val="clear" w:color="000000" w:fill="0000FF"/>
            <w:vAlign w:val="center"/>
          </w:tcPr>
          <w:p w14:paraId="55B21703"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2C29AA07" w14:textId="77777777" w:rsidR="00B84551" w:rsidRPr="0062158E" w:rsidRDefault="00B84551" w:rsidP="00C93723">
            <w:pPr>
              <w:spacing w:after="0" w:line="240" w:lineRule="auto"/>
              <w:jc w:val="center"/>
              <w:rPr>
                <w:rFonts w:eastAsia="Times New Roman" w:cs="Calibri"/>
                <w:color w:val="FFFFFF"/>
                <w:sz w:val="16"/>
                <w:szCs w:val="16"/>
              </w:rPr>
            </w:pPr>
          </w:p>
        </w:tc>
        <w:tc>
          <w:tcPr>
            <w:tcW w:w="378" w:type="dxa"/>
            <w:gridSpan w:val="2"/>
            <w:tcBorders>
              <w:top w:val="nil"/>
              <w:left w:val="nil"/>
              <w:bottom w:val="single" w:sz="8" w:space="0" w:color="auto"/>
              <w:right w:val="single" w:sz="8" w:space="0" w:color="auto"/>
            </w:tcBorders>
            <w:shd w:val="clear" w:color="000000" w:fill="0000FF"/>
            <w:vAlign w:val="center"/>
          </w:tcPr>
          <w:p w14:paraId="556CA383" w14:textId="77777777" w:rsidR="00B84551" w:rsidRPr="0062158E" w:rsidRDefault="00B84551" w:rsidP="00C93723">
            <w:pPr>
              <w:spacing w:after="0" w:line="240" w:lineRule="auto"/>
              <w:jc w:val="center"/>
              <w:rPr>
                <w:rFonts w:eastAsia="Times New Roman" w:cs="Calibri"/>
                <w:color w:val="FFFFFF"/>
                <w:sz w:val="16"/>
                <w:szCs w:val="16"/>
              </w:rPr>
            </w:pPr>
          </w:p>
        </w:tc>
        <w:tc>
          <w:tcPr>
            <w:tcW w:w="522" w:type="dxa"/>
            <w:gridSpan w:val="3"/>
            <w:tcBorders>
              <w:top w:val="nil"/>
              <w:left w:val="nil"/>
              <w:bottom w:val="single" w:sz="8" w:space="0" w:color="auto"/>
              <w:right w:val="single" w:sz="8" w:space="0" w:color="auto"/>
            </w:tcBorders>
            <w:shd w:val="clear" w:color="000000" w:fill="0000FF"/>
            <w:vAlign w:val="center"/>
          </w:tcPr>
          <w:p w14:paraId="43C9B1AE"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4"/>
            <w:tcBorders>
              <w:top w:val="nil"/>
              <w:left w:val="nil"/>
              <w:bottom w:val="single" w:sz="8" w:space="0" w:color="auto"/>
              <w:right w:val="single" w:sz="8" w:space="0" w:color="auto"/>
            </w:tcBorders>
            <w:shd w:val="clear" w:color="000000" w:fill="0000FF"/>
            <w:vAlign w:val="center"/>
          </w:tcPr>
          <w:p w14:paraId="2BB238ED"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6F3EB855" w14:textId="77777777" w:rsidR="00B84551" w:rsidRPr="0062158E" w:rsidRDefault="00B84551" w:rsidP="00C93723">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543285B8" w14:textId="77777777" w:rsidR="00B84551" w:rsidRPr="0062158E" w:rsidRDefault="00B84551" w:rsidP="00C93723">
            <w:pPr>
              <w:spacing w:after="0" w:line="240" w:lineRule="auto"/>
              <w:jc w:val="center"/>
              <w:rPr>
                <w:rFonts w:eastAsia="Times New Roman" w:cs="Calibri"/>
                <w:color w:val="FFFFFF"/>
                <w:sz w:val="16"/>
                <w:szCs w:val="16"/>
              </w:rPr>
            </w:pPr>
          </w:p>
        </w:tc>
        <w:tc>
          <w:tcPr>
            <w:tcW w:w="648" w:type="dxa"/>
            <w:gridSpan w:val="3"/>
            <w:tcBorders>
              <w:top w:val="nil"/>
              <w:left w:val="nil"/>
              <w:bottom w:val="single" w:sz="8" w:space="0" w:color="auto"/>
              <w:right w:val="single" w:sz="8" w:space="0" w:color="auto"/>
            </w:tcBorders>
            <w:shd w:val="clear" w:color="000000" w:fill="0000FF"/>
            <w:vAlign w:val="center"/>
          </w:tcPr>
          <w:p w14:paraId="3140D2F7" w14:textId="77777777" w:rsidR="00B84551" w:rsidRPr="0062158E" w:rsidRDefault="00B84551" w:rsidP="00C93723">
            <w:pPr>
              <w:spacing w:after="0" w:line="240" w:lineRule="auto"/>
              <w:jc w:val="center"/>
              <w:rPr>
                <w:rFonts w:eastAsia="Times New Roman" w:cs="Calibri"/>
                <w:color w:val="FFFFFF"/>
                <w:sz w:val="16"/>
                <w:szCs w:val="16"/>
              </w:rPr>
            </w:pPr>
          </w:p>
        </w:tc>
      </w:tr>
      <w:tr w:rsidR="00C93723" w:rsidRPr="0062158E" w14:paraId="16243C7B"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0D1FC0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III - Planning and Budget</w:t>
            </w:r>
          </w:p>
        </w:tc>
      </w:tr>
      <w:tr w:rsidR="00C93723" w:rsidRPr="0062158E" w14:paraId="090DC6DD" w14:textId="77777777" w:rsidTr="00B84551">
        <w:trPr>
          <w:trHeight w:val="300"/>
        </w:trPr>
        <w:tc>
          <w:tcPr>
            <w:tcW w:w="702" w:type="dxa"/>
            <w:gridSpan w:val="2"/>
            <w:tcBorders>
              <w:top w:val="nil"/>
              <w:left w:val="nil"/>
              <w:bottom w:val="nil"/>
              <w:right w:val="nil"/>
            </w:tcBorders>
            <w:shd w:val="clear" w:color="000000" w:fill="00FF00"/>
            <w:vAlign w:val="center"/>
            <w:hideMark/>
          </w:tcPr>
          <w:p w14:paraId="0730FC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7D4414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1.</w:t>
            </w:r>
          </w:p>
        </w:tc>
        <w:tc>
          <w:tcPr>
            <w:tcW w:w="3258" w:type="dxa"/>
            <w:gridSpan w:val="2"/>
            <w:tcBorders>
              <w:top w:val="nil"/>
              <w:left w:val="nil"/>
              <w:bottom w:val="nil"/>
              <w:right w:val="nil"/>
            </w:tcBorders>
            <w:shd w:val="clear" w:color="000000" w:fill="00FF00"/>
            <w:vAlign w:val="center"/>
            <w:hideMark/>
          </w:tcPr>
          <w:p w14:paraId="37D3BF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Budget Planning</w:t>
            </w:r>
          </w:p>
        </w:tc>
        <w:tc>
          <w:tcPr>
            <w:tcW w:w="522" w:type="dxa"/>
            <w:gridSpan w:val="2"/>
            <w:tcBorders>
              <w:top w:val="nil"/>
              <w:left w:val="nil"/>
              <w:bottom w:val="nil"/>
              <w:right w:val="nil"/>
            </w:tcBorders>
            <w:shd w:val="clear" w:color="000000" w:fill="00FF00"/>
            <w:vAlign w:val="center"/>
            <w:hideMark/>
          </w:tcPr>
          <w:p w14:paraId="516F303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19897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45FF93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8C887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FF6D8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7BE95D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2B8272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DC2A6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1F84450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059149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47849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75B574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4D36CF9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4AC6CD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7D09F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299660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501C37A2" w14:textId="77777777" w:rsidTr="00B84551">
        <w:trPr>
          <w:trHeight w:val="315"/>
        </w:trPr>
        <w:tc>
          <w:tcPr>
            <w:tcW w:w="702" w:type="dxa"/>
            <w:gridSpan w:val="2"/>
            <w:tcBorders>
              <w:top w:val="nil"/>
              <w:left w:val="nil"/>
              <w:bottom w:val="nil"/>
              <w:right w:val="nil"/>
            </w:tcBorders>
            <w:shd w:val="clear" w:color="000000" w:fill="33CCFF"/>
            <w:vAlign w:val="center"/>
            <w:hideMark/>
          </w:tcPr>
          <w:p w14:paraId="7092CCF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4ACD56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4285E0E3" w14:textId="7A532A1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w:t>
            </w:r>
            <w:r w:rsidR="00612A97">
              <w:rPr>
                <w:rFonts w:eastAsia="Times New Roman" w:cs="Calibri"/>
                <w:b/>
                <w:bCs/>
                <w:sz w:val="16"/>
                <w:szCs w:val="16"/>
              </w:rPr>
              <w:t xml:space="preserve"> 1.</w:t>
            </w:r>
          </w:p>
        </w:tc>
        <w:tc>
          <w:tcPr>
            <w:tcW w:w="3258" w:type="dxa"/>
            <w:gridSpan w:val="2"/>
            <w:tcBorders>
              <w:top w:val="nil"/>
              <w:left w:val="nil"/>
              <w:bottom w:val="nil"/>
              <w:right w:val="nil"/>
            </w:tcBorders>
            <w:shd w:val="clear" w:color="000000" w:fill="33CCFF"/>
            <w:vAlign w:val="center"/>
            <w:hideMark/>
          </w:tcPr>
          <w:p w14:paraId="251135D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Improving medium-term planning</w:t>
            </w:r>
          </w:p>
        </w:tc>
        <w:tc>
          <w:tcPr>
            <w:tcW w:w="522" w:type="dxa"/>
            <w:gridSpan w:val="2"/>
            <w:tcBorders>
              <w:top w:val="nil"/>
              <w:left w:val="nil"/>
              <w:bottom w:val="nil"/>
              <w:right w:val="nil"/>
            </w:tcBorders>
            <w:shd w:val="clear" w:color="000000" w:fill="33CCFF"/>
            <w:vAlign w:val="center"/>
            <w:hideMark/>
          </w:tcPr>
          <w:p w14:paraId="204B36A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007B507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15CAFC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273A7D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09F46E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0137E8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58E185B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5ED36B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6FCDFDA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4C89F36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634C4FC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019D3B1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07F0CB3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3BB1632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1F36013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75DA3B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8F84598" w14:textId="77777777" w:rsidTr="00B84551">
        <w:trPr>
          <w:trHeight w:val="315"/>
        </w:trPr>
        <w:tc>
          <w:tcPr>
            <w:tcW w:w="702" w:type="dxa"/>
            <w:gridSpan w:val="2"/>
            <w:tcBorders>
              <w:top w:val="nil"/>
              <w:left w:val="nil"/>
              <w:bottom w:val="nil"/>
              <w:right w:val="nil"/>
            </w:tcBorders>
            <w:shd w:val="clear" w:color="auto" w:fill="auto"/>
            <w:vAlign w:val="bottom"/>
            <w:hideMark/>
          </w:tcPr>
          <w:p w14:paraId="658F346A"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1DABC4C"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7F7677C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single" w:sz="8" w:space="0" w:color="auto"/>
              <w:left w:val="nil"/>
              <w:bottom w:val="single" w:sz="8" w:space="0" w:color="auto"/>
              <w:right w:val="nil"/>
            </w:tcBorders>
            <w:shd w:val="clear" w:color="auto" w:fill="auto"/>
            <w:vAlign w:val="center"/>
            <w:hideMark/>
          </w:tcPr>
          <w:p w14:paraId="7EDD70F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043C12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Medium-Term Fiscal Strategy based on a sectoral approach</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125492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5190F3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40CD04D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143FBEF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C8DE42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1A7728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86053C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527AFE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38E65A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8DD92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75691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1F17D39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01CC1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A48E0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8DDCB5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FCF90F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EC92612" w14:textId="77777777" w:rsidTr="00B84551">
        <w:trPr>
          <w:trHeight w:val="315"/>
        </w:trPr>
        <w:tc>
          <w:tcPr>
            <w:tcW w:w="702" w:type="dxa"/>
            <w:gridSpan w:val="2"/>
            <w:tcBorders>
              <w:top w:val="nil"/>
              <w:left w:val="nil"/>
              <w:bottom w:val="nil"/>
              <w:right w:val="nil"/>
            </w:tcBorders>
            <w:shd w:val="clear" w:color="auto" w:fill="auto"/>
            <w:vAlign w:val="bottom"/>
            <w:hideMark/>
          </w:tcPr>
          <w:p w14:paraId="37929C2E"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0E7E60E3"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2157A59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3A77F2B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6A60E3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Determination of medium term expednitures celiings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B7B80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BF26E9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E8A2C1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5CA4A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CA7F34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22BEA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BF65C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EAFF70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FA3C34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887FD9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41898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EAE598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1ACEC0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1E6AE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9AFA1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1C648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F8F20AB" w14:textId="77777777" w:rsidTr="00B84551">
        <w:trPr>
          <w:trHeight w:val="615"/>
        </w:trPr>
        <w:tc>
          <w:tcPr>
            <w:tcW w:w="702" w:type="dxa"/>
            <w:gridSpan w:val="2"/>
            <w:tcBorders>
              <w:top w:val="nil"/>
              <w:left w:val="nil"/>
              <w:bottom w:val="nil"/>
              <w:right w:val="nil"/>
            </w:tcBorders>
            <w:shd w:val="clear" w:color="auto" w:fill="auto"/>
            <w:vAlign w:val="bottom"/>
            <w:hideMark/>
          </w:tcPr>
          <w:p w14:paraId="35C680D1"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1B48AA9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4DC451F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7F887F8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290B32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Strengthening medium-term planning at public enterprises and companies at central level</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436EFC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A9ABAF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D030C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8F2B18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9181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624D6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E3539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ADB3A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76B034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F6A18A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440B8A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1F8AD6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C21B8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4A10D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7F51F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C78562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71411ED" w14:textId="77777777" w:rsidTr="00B84551">
        <w:trPr>
          <w:trHeight w:val="457"/>
        </w:trPr>
        <w:tc>
          <w:tcPr>
            <w:tcW w:w="702" w:type="dxa"/>
            <w:gridSpan w:val="2"/>
            <w:tcBorders>
              <w:top w:val="nil"/>
              <w:left w:val="nil"/>
              <w:bottom w:val="nil"/>
              <w:right w:val="nil"/>
            </w:tcBorders>
            <w:shd w:val="clear" w:color="000000" w:fill="33CCFF"/>
            <w:vAlign w:val="center"/>
            <w:hideMark/>
          </w:tcPr>
          <w:p w14:paraId="00E500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6C534FE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532C541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3258" w:type="dxa"/>
            <w:gridSpan w:val="2"/>
            <w:tcBorders>
              <w:top w:val="nil"/>
              <w:left w:val="nil"/>
              <w:bottom w:val="nil"/>
              <w:right w:val="nil"/>
            </w:tcBorders>
            <w:shd w:val="clear" w:color="000000" w:fill="33CCFF"/>
            <w:vAlign w:val="center"/>
            <w:hideMark/>
          </w:tcPr>
          <w:p w14:paraId="66A2C4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Improving sectoral approach of budget planning and development and implementation of bylaws </w:t>
            </w:r>
          </w:p>
        </w:tc>
        <w:tc>
          <w:tcPr>
            <w:tcW w:w="522" w:type="dxa"/>
            <w:gridSpan w:val="2"/>
            <w:tcBorders>
              <w:top w:val="nil"/>
              <w:left w:val="nil"/>
              <w:bottom w:val="nil"/>
              <w:right w:val="nil"/>
            </w:tcBorders>
            <w:shd w:val="clear" w:color="000000" w:fill="33CCFF"/>
            <w:vAlign w:val="center"/>
            <w:hideMark/>
          </w:tcPr>
          <w:p w14:paraId="0D4DF4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02AABFA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6B863C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17BDCA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670DB1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13565C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732F98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03F072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3A64277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2F4A806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582BF10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28C9EFE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66048B3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575E90B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1E238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3EA47B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1A623E8" w14:textId="77777777" w:rsidTr="00B84551">
        <w:trPr>
          <w:trHeight w:val="450"/>
        </w:trPr>
        <w:tc>
          <w:tcPr>
            <w:tcW w:w="702" w:type="dxa"/>
            <w:gridSpan w:val="2"/>
            <w:tcBorders>
              <w:top w:val="nil"/>
              <w:left w:val="nil"/>
              <w:bottom w:val="nil"/>
              <w:right w:val="nil"/>
            </w:tcBorders>
            <w:shd w:val="clear" w:color="auto" w:fill="auto"/>
            <w:vAlign w:val="bottom"/>
            <w:hideMark/>
          </w:tcPr>
          <w:p w14:paraId="68009DBE"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AB06A65"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5CEEA5D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single" w:sz="8" w:space="0" w:color="auto"/>
              <w:left w:val="nil"/>
              <w:bottom w:val="single" w:sz="8" w:space="0" w:color="auto"/>
              <w:right w:val="nil"/>
            </w:tcBorders>
            <w:shd w:val="clear" w:color="auto" w:fill="auto"/>
            <w:vAlign w:val="center"/>
            <w:hideMark/>
          </w:tcPr>
          <w:p w14:paraId="4A5E152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65F764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Preparing and implementing OBL bylaws </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67486EB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0CC007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D3A2EC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C21F49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DB227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6965BD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514D32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199DD0D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661B8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DF2AB8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1AB48D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031712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2732D4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6411F1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F718EB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27D72B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014E70E" w14:textId="77777777" w:rsidTr="00B84551">
        <w:trPr>
          <w:trHeight w:val="520"/>
        </w:trPr>
        <w:tc>
          <w:tcPr>
            <w:tcW w:w="702" w:type="dxa"/>
            <w:gridSpan w:val="2"/>
            <w:tcBorders>
              <w:top w:val="nil"/>
              <w:left w:val="nil"/>
              <w:bottom w:val="nil"/>
              <w:right w:val="nil"/>
            </w:tcBorders>
            <w:shd w:val="clear" w:color="auto" w:fill="auto"/>
            <w:vAlign w:val="bottom"/>
            <w:hideMark/>
          </w:tcPr>
          <w:p w14:paraId="5DBC3DD1"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199C6028"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1F21ACA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69EA7A5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364EB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Preparing and implementing several types of classifications - administrative/organizational, economic, program, functional classifications, as well as classification of sources of financing</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hideMark/>
          </w:tcPr>
          <w:p w14:paraId="31AC2DD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single" w:sz="4" w:space="0" w:color="auto"/>
              <w:left w:val="nil"/>
              <w:bottom w:val="single" w:sz="4" w:space="0" w:color="auto"/>
              <w:right w:val="single" w:sz="4" w:space="0" w:color="auto"/>
            </w:tcBorders>
            <w:shd w:val="clear" w:color="000000" w:fill="FFFFFF"/>
            <w:vAlign w:val="center"/>
            <w:hideMark/>
          </w:tcPr>
          <w:p w14:paraId="3566CFB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single" w:sz="4" w:space="0" w:color="auto"/>
              <w:left w:val="nil"/>
              <w:bottom w:val="single" w:sz="4" w:space="0" w:color="auto"/>
              <w:right w:val="single" w:sz="4" w:space="0" w:color="auto"/>
            </w:tcBorders>
            <w:shd w:val="clear" w:color="000000" w:fill="FFFFFF"/>
            <w:vAlign w:val="center"/>
            <w:hideMark/>
          </w:tcPr>
          <w:p w14:paraId="443AA38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single" w:sz="4" w:space="0" w:color="auto"/>
              <w:left w:val="nil"/>
              <w:bottom w:val="single" w:sz="4" w:space="0" w:color="auto"/>
              <w:right w:val="single" w:sz="4" w:space="0" w:color="auto"/>
            </w:tcBorders>
            <w:shd w:val="clear" w:color="000000" w:fill="FFFFFF"/>
            <w:vAlign w:val="center"/>
            <w:hideMark/>
          </w:tcPr>
          <w:p w14:paraId="18A1216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88C3E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73AD7B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7228F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19AB9B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7D3727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5DB99B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4A51B2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D0FBC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FB6B51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F4E810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B900E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1644E1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13A6FCA1" w14:textId="77777777" w:rsidTr="00B84551">
        <w:trPr>
          <w:trHeight w:val="615"/>
        </w:trPr>
        <w:tc>
          <w:tcPr>
            <w:tcW w:w="702" w:type="dxa"/>
            <w:gridSpan w:val="2"/>
            <w:tcBorders>
              <w:top w:val="nil"/>
              <w:left w:val="nil"/>
              <w:bottom w:val="nil"/>
              <w:right w:val="nil"/>
            </w:tcBorders>
            <w:shd w:val="clear" w:color="auto" w:fill="auto"/>
            <w:vAlign w:val="bottom"/>
            <w:hideMark/>
          </w:tcPr>
          <w:p w14:paraId="5CF0D2FC"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1DDAF1A7"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737560E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7913FB9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EA9047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Strengthening of capacities, training of employees of the MoF and budget beneficiaries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51D0CE5" w14:textId="575159E1"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84617E" w14:textId="6CA8651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F9CF05E" w14:textId="56081BD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2BE3EEF" w14:textId="482310B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81292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115485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885E77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40C6A6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B5A225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BE5582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873882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33A9AD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A538BD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22981F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D6CA58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C17AF2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1DC2678" w14:textId="77777777" w:rsidTr="00B84551">
        <w:trPr>
          <w:trHeight w:val="315"/>
        </w:trPr>
        <w:tc>
          <w:tcPr>
            <w:tcW w:w="702" w:type="dxa"/>
            <w:gridSpan w:val="2"/>
            <w:tcBorders>
              <w:top w:val="nil"/>
              <w:left w:val="nil"/>
              <w:bottom w:val="nil"/>
              <w:right w:val="nil"/>
            </w:tcBorders>
            <w:shd w:val="clear" w:color="000000" w:fill="33CCFF"/>
            <w:vAlign w:val="center"/>
            <w:hideMark/>
          </w:tcPr>
          <w:p w14:paraId="08366C5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2AE6A3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6D0A80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3258" w:type="dxa"/>
            <w:gridSpan w:val="2"/>
            <w:tcBorders>
              <w:top w:val="nil"/>
              <w:left w:val="nil"/>
              <w:bottom w:val="nil"/>
              <w:right w:val="nil"/>
            </w:tcBorders>
            <w:shd w:val="clear" w:color="000000" w:fill="33CCFF"/>
            <w:vAlign w:val="center"/>
            <w:hideMark/>
          </w:tcPr>
          <w:p w14:paraId="46FAC4E1" w14:textId="1E07EBE2" w:rsidR="00C93723" w:rsidRPr="001C4890" w:rsidRDefault="00C93723" w:rsidP="001C4890">
            <w:pPr>
              <w:spacing w:after="0" w:line="240" w:lineRule="auto"/>
              <w:rPr>
                <w:rFonts w:eastAsia="Times New Roman" w:cs="Calibri"/>
                <w:b/>
                <w:bCs/>
                <w:sz w:val="16"/>
                <w:szCs w:val="16"/>
                <w:lang w:val="en-US"/>
              </w:rPr>
            </w:pPr>
            <w:r w:rsidRPr="0062158E">
              <w:rPr>
                <w:rFonts w:eastAsia="Times New Roman" w:cs="Calibri"/>
                <w:b/>
                <w:bCs/>
                <w:sz w:val="16"/>
                <w:szCs w:val="16"/>
              </w:rPr>
              <w:t>Introducing performance based budget</w:t>
            </w:r>
            <w:r w:rsidR="001C4890" w:rsidRPr="001C4890">
              <w:rPr>
                <w:rFonts w:eastAsia="Times New Roman" w:cs="Calibri"/>
                <w:b/>
                <w:bCs/>
                <w:sz w:val="16"/>
                <w:szCs w:val="16"/>
              </w:rPr>
              <w:t xml:space="preserve"> (value for</w:t>
            </w:r>
            <w:r w:rsidR="001C4890">
              <w:rPr>
                <w:rFonts w:eastAsia="Times New Roman" w:cs="Calibri"/>
                <w:b/>
                <w:bCs/>
                <w:sz w:val="16"/>
                <w:szCs w:val="16"/>
                <w:lang w:val="en-US"/>
              </w:rPr>
              <w:t xml:space="preserve"> </w:t>
            </w:r>
            <w:r w:rsidR="001C4890" w:rsidRPr="001C4890">
              <w:rPr>
                <w:rFonts w:eastAsia="Times New Roman" w:cs="Calibri"/>
                <w:b/>
                <w:bCs/>
                <w:sz w:val="16"/>
                <w:szCs w:val="16"/>
              </w:rPr>
              <w:t>money)</w:t>
            </w:r>
          </w:p>
        </w:tc>
        <w:tc>
          <w:tcPr>
            <w:tcW w:w="522" w:type="dxa"/>
            <w:gridSpan w:val="2"/>
            <w:tcBorders>
              <w:top w:val="nil"/>
              <w:left w:val="nil"/>
              <w:bottom w:val="nil"/>
              <w:right w:val="nil"/>
            </w:tcBorders>
            <w:shd w:val="clear" w:color="000000" w:fill="33CCFF"/>
            <w:vAlign w:val="center"/>
            <w:hideMark/>
          </w:tcPr>
          <w:p w14:paraId="1D5FD8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00FA301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19145A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3CEA0A2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7995864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784D21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4217287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0D7839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58417B1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31B50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29EC65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6CFC6E3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2B1C85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00410E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5AC69D2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108824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3B90D6A3" w14:textId="77777777" w:rsidTr="00B84551">
        <w:trPr>
          <w:trHeight w:val="466"/>
        </w:trPr>
        <w:tc>
          <w:tcPr>
            <w:tcW w:w="702" w:type="dxa"/>
            <w:gridSpan w:val="2"/>
            <w:tcBorders>
              <w:top w:val="nil"/>
              <w:left w:val="nil"/>
              <w:bottom w:val="nil"/>
              <w:right w:val="nil"/>
            </w:tcBorders>
            <w:shd w:val="clear" w:color="auto" w:fill="auto"/>
            <w:vAlign w:val="bottom"/>
            <w:hideMark/>
          </w:tcPr>
          <w:p w14:paraId="05BCAD54"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25219ED"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4" w:space="0" w:color="auto"/>
            </w:tcBorders>
            <w:shd w:val="clear" w:color="auto" w:fill="auto"/>
            <w:vAlign w:val="bottom"/>
            <w:hideMark/>
          </w:tcPr>
          <w:p w14:paraId="12B96B99"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4" w:space="0" w:color="auto"/>
              <w:left w:val="single" w:sz="4" w:space="0" w:color="auto"/>
              <w:bottom w:val="single" w:sz="4" w:space="0" w:color="auto"/>
            </w:tcBorders>
            <w:shd w:val="clear" w:color="auto" w:fill="auto"/>
            <w:vAlign w:val="center"/>
            <w:hideMark/>
          </w:tcPr>
          <w:p w14:paraId="6E617F88"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4" w:space="0" w:color="auto"/>
              <w:bottom w:val="single" w:sz="4" w:space="0" w:color="auto"/>
              <w:right w:val="single" w:sz="4" w:space="0" w:color="auto"/>
            </w:tcBorders>
            <w:shd w:val="clear" w:color="auto" w:fill="auto"/>
            <w:vAlign w:val="center"/>
            <w:hideMark/>
          </w:tcPr>
          <w:p w14:paraId="2D66720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Developing multi-year indicators for measuring the success in the implementation of budget policies</w:t>
            </w:r>
          </w:p>
        </w:tc>
        <w:tc>
          <w:tcPr>
            <w:tcW w:w="522" w:type="dxa"/>
            <w:gridSpan w:val="2"/>
            <w:tcBorders>
              <w:top w:val="nil"/>
              <w:left w:val="single" w:sz="4" w:space="0" w:color="auto"/>
              <w:bottom w:val="single" w:sz="8" w:space="0" w:color="auto"/>
              <w:right w:val="single" w:sz="8" w:space="0" w:color="auto"/>
            </w:tcBorders>
            <w:shd w:val="clear" w:color="000000" w:fill="0000FF"/>
            <w:vAlign w:val="center"/>
            <w:hideMark/>
          </w:tcPr>
          <w:p w14:paraId="4E31467E" w14:textId="4772E387"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36A2258" w14:textId="2643F6C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9B46A41" w14:textId="260E1A7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95D02C1" w14:textId="12D2390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single" w:sz="4" w:space="0" w:color="auto"/>
              <w:left w:val="nil"/>
              <w:bottom w:val="single" w:sz="4" w:space="0" w:color="auto"/>
              <w:right w:val="single" w:sz="4" w:space="0" w:color="auto"/>
            </w:tcBorders>
            <w:shd w:val="clear" w:color="000000" w:fill="0000FF"/>
            <w:vAlign w:val="center"/>
            <w:hideMark/>
          </w:tcPr>
          <w:p w14:paraId="503F4FF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4" w:space="0" w:color="auto"/>
              <w:left w:val="nil"/>
              <w:bottom w:val="single" w:sz="4" w:space="0" w:color="auto"/>
              <w:right w:val="single" w:sz="4" w:space="0" w:color="auto"/>
            </w:tcBorders>
            <w:shd w:val="clear" w:color="000000" w:fill="0000FF"/>
            <w:vAlign w:val="center"/>
            <w:hideMark/>
          </w:tcPr>
          <w:p w14:paraId="27ECD81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442A6D6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4" w:space="0" w:color="auto"/>
              <w:left w:val="nil"/>
              <w:bottom w:val="single" w:sz="4" w:space="0" w:color="auto"/>
              <w:right w:val="single" w:sz="4" w:space="0" w:color="auto"/>
            </w:tcBorders>
            <w:shd w:val="clear" w:color="000000" w:fill="0000FF"/>
            <w:vAlign w:val="center"/>
            <w:hideMark/>
          </w:tcPr>
          <w:p w14:paraId="2AB4D99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4" w:space="0" w:color="auto"/>
              <w:left w:val="nil"/>
              <w:bottom w:val="single" w:sz="4" w:space="0" w:color="auto"/>
              <w:right w:val="single" w:sz="4" w:space="0" w:color="auto"/>
            </w:tcBorders>
            <w:shd w:val="clear" w:color="000000" w:fill="0000FF"/>
            <w:vAlign w:val="center"/>
            <w:hideMark/>
          </w:tcPr>
          <w:p w14:paraId="770C84B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364D55C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4" w:space="0" w:color="auto"/>
              <w:left w:val="nil"/>
              <w:bottom w:val="single" w:sz="4" w:space="0" w:color="auto"/>
              <w:right w:val="single" w:sz="4" w:space="0" w:color="auto"/>
            </w:tcBorders>
            <w:shd w:val="clear" w:color="000000" w:fill="0000FF"/>
            <w:vAlign w:val="center"/>
            <w:hideMark/>
          </w:tcPr>
          <w:p w14:paraId="4FE0645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4" w:space="0" w:color="auto"/>
              <w:left w:val="nil"/>
              <w:bottom w:val="single" w:sz="4" w:space="0" w:color="auto"/>
              <w:right w:val="single" w:sz="4" w:space="0" w:color="auto"/>
            </w:tcBorders>
            <w:shd w:val="clear" w:color="000000" w:fill="0000FF"/>
            <w:vAlign w:val="center"/>
            <w:hideMark/>
          </w:tcPr>
          <w:p w14:paraId="6E77696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4" w:space="0" w:color="auto"/>
              <w:left w:val="nil"/>
              <w:bottom w:val="single" w:sz="4" w:space="0" w:color="auto"/>
              <w:right w:val="single" w:sz="4" w:space="0" w:color="auto"/>
            </w:tcBorders>
            <w:shd w:val="clear" w:color="000000" w:fill="0000FF"/>
            <w:vAlign w:val="center"/>
            <w:hideMark/>
          </w:tcPr>
          <w:p w14:paraId="7612720C"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4" w:space="0" w:color="auto"/>
              <w:left w:val="nil"/>
              <w:bottom w:val="single" w:sz="4" w:space="0" w:color="auto"/>
              <w:right w:val="single" w:sz="4" w:space="0" w:color="auto"/>
            </w:tcBorders>
            <w:shd w:val="clear" w:color="000000" w:fill="0000FF"/>
            <w:vAlign w:val="center"/>
            <w:hideMark/>
          </w:tcPr>
          <w:p w14:paraId="3CAE1F0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7EE96CA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4" w:space="0" w:color="auto"/>
              <w:left w:val="nil"/>
              <w:bottom w:val="single" w:sz="4" w:space="0" w:color="auto"/>
              <w:right w:val="single" w:sz="4" w:space="0" w:color="auto"/>
            </w:tcBorders>
            <w:shd w:val="clear" w:color="000000" w:fill="0000FF"/>
            <w:vAlign w:val="center"/>
            <w:hideMark/>
          </w:tcPr>
          <w:p w14:paraId="5BFAB22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835D304" w14:textId="77777777" w:rsidTr="00B84551">
        <w:trPr>
          <w:trHeight w:val="615"/>
        </w:trPr>
        <w:tc>
          <w:tcPr>
            <w:tcW w:w="702" w:type="dxa"/>
            <w:gridSpan w:val="2"/>
            <w:tcBorders>
              <w:top w:val="nil"/>
              <w:left w:val="nil"/>
              <w:bottom w:val="nil"/>
              <w:right w:val="nil"/>
            </w:tcBorders>
            <w:shd w:val="clear" w:color="auto" w:fill="auto"/>
            <w:vAlign w:val="bottom"/>
            <w:hideMark/>
          </w:tcPr>
          <w:p w14:paraId="3E86F099"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9C8FF1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4" w:space="0" w:color="auto"/>
            </w:tcBorders>
            <w:shd w:val="clear" w:color="auto" w:fill="auto"/>
            <w:vAlign w:val="bottom"/>
            <w:hideMark/>
          </w:tcPr>
          <w:p w14:paraId="0EEDEEB8"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4" w:space="0" w:color="auto"/>
              <w:left w:val="single" w:sz="4" w:space="0" w:color="auto"/>
              <w:bottom w:val="single" w:sz="4" w:space="0" w:color="auto"/>
            </w:tcBorders>
            <w:shd w:val="clear" w:color="auto" w:fill="auto"/>
            <w:vAlign w:val="center"/>
            <w:hideMark/>
          </w:tcPr>
          <w:p w14:paraId="58EBBD8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single" w:sz="4" w:space="0" w:color="auto"/>
              <w:bottom w:val="single" w:sz="4" w:space="0" w:color="auto"/>
              <w:right w:val="single" w:sz="4" w:space="0" w:color="auto"/>
            </w:tcBorders>
            <w:shd w:val="clear" w:color="auto" w:fill="auto"/>
            <w:vAlign w:val="center"/>
            <w:hideMark/>
          </w:tcPr>
          <w:p w14:paraId="66D2656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Preparing procedures for monitoring the impact of sectoral policies on performance indicators </w:t>
            </w:r>
          </w:p>
        </w:tc>
        <w:tc>
          <w:tcPr>
            <w:tcW w:w="522" w:type="dxa"/>
            <w:gridSpan w:val="2"/>
            <w:tcBorders>
              <w:top w:val="nil"/>
              <w:left w:val="single" w:sz="4" w:space="0" w:color="auto"/>
              <w:bottom w:val="single" w:sz="4" w:space="0" w:color="auto"/>
              <w:right w:val="single" w:sz="4" w:space="0" w:color="auto"/>
            </w:tcBorders>
            <w:shd w:val="clear" w:color="000000" w:fill="FFFFFF"/>
            <w:vAlign w:val="center"/>
            <w:hideMark/>
          </w:tcPr>
          <w:p w14:paraId="3088918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4" w:space="0" w:color="auto"/>
              <w:right w:val="single" w:sz="4" w:space="0" w:color="auto"/>
            </w:tcBorders>
            <w:shd w:val="clear" w:color="000000" w:fill="FFFFFF"/>
            <w:vAlign w:val="center"/>
            <w:hideMark/>
          </w:tcPr>
          <w:p w14:paraId="0242FC7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4" w:space="0" w:color="auto"/>
              <w:right w:val="single" w:sz="4" w:space="0" w:color="auto"/>
            </w:tcBorders>
            <w:shd w:val="clear" w:color="000000" w:fill="FFFFFF"/>
            <w:vAlign w:val="center"/>
            <w:hideMark/>
          </w:tcPr>
          <w:p w14:paraId="5EDB818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4" w:space="0" w:color="auto"/>
              <w:right w:val="single" w:sz="4" w:space="0" w:color="auto"/>
            </w:tcBorders>
            <w:shd w:val="clear" w:color="000000" w:fill="FFFFFF"/>
            <w:vAlign w:val="center"/>
            <w:hideMark/>
          </w:tcPr>
          <w:p w14:paraId="2605B36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4" w:space="0" w:color="auto"/>
              <w:right w:val="single" w:sz="4" w:space="0" w:color="auto"/>
            </w:tcBorders>
            <w:shd w:val="clear" w:color="000000" w:fill="0000FF"/>
            <w:vAlign w:val="center"/>
            <w:hideMark/>
          </w:tcPr>
          <w:p w14:paraId="43C125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4" w:space="0" w:color="auto"/>
              <w:right w:val="single" w:sz="4" w:space="0" w:color="auto"/>
            </w:tcBorders>
            <w:shd w:val="clear" w:color="000000" w:fill="0000FF"/>
            <w:vAlign w:val="center"/>
            <w:hideMark/>
          </w:tcPr>
          <w:p w14:paraId="63D135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6BF2BD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4" w:space="0" w:color="auto"/>
              <w:right w:val="single" w:sz="4" w:space="0" w:color="auto"/>
            </w:tcBorders>
            <w:shd w:val="clear" w:color="000000" w:fill="0000FF"/>
            <w:vAlign w:val="center"/>
            <w:hideMark/>
          </w:tcPr>
          <w:p w14:paraId="5A50EE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4" w:space="0" w:color="auto"/>
              <w:right w:val="single" w:sz="4" w:space="0" w:color="auto"/>
            </w:tcBorders>
            <w:shd w:val="clear" w:color="000000" w:fill="0000FF"/>
            <w:vAlign w:val="center"/>
            <w:hideMark/>
          </w:tcPr>
          <w:p w14:paraId="6DDD34E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5A44326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4" w:space="0" w:color="auto"/>
              <w:right w:val="single" w:sz="4" w:space="0" w:color="auto"/>
            </w:tcBorders>
            <w:shd w:val="clear" w:color="000000" w:fill="0000FF"/>
            <w:vAlign w:val="center"/>
            <w:hideMark/>
          </w:tcPr>
          <w:p w14:paraId="054F60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4" w:space="0" w:color="auto"/>
              <w:right w:val="single" w:sz="4" w:space="0" w:color="auto"/>
            </w:tcBorders>
            <w:shd w:val="clear" w:color="000000" w:fill="0000FF"/>
            <w:vAlign w:val="center"/>
            <w:hideMark/>
          </w:tcPr>
          <w:p w14:paraId="513AE2F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4" w:space="0" w:color="auto"/>
              <w:right w:val="single" w:sz="4" w:space="0" w:color="auto"/>
            </w:tcBorders>
            <w:shd w:val="clear" w:color="000000" w:fill="0000FF"/>
            <w:vAlign w:val="center"/>
            <w:hideMark/>
          </w:tcPr>
          <w:p w14:paraId="5B212B5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4" w:space="0" w:color="auto"/>
              <w:right w:val="single" w:sz="4" w:space="0" w:color="auto"/>
            </w:tcBorders>
            <w:shd w:val="clear" w:color="000000" w:fill="0000FF"/>
            <w:vAlign w:val="center"/>
            <w:hideMark/>
          </w:tcPr>
          <w:p w14:paraId="22878E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456926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4" w:space="0" w:color="auto"/>
              <w:right w:val="single" w:sz="4" w:space="0" w:color="auto"/>
            </w:tcBorders>
            <w:shd w:val="clear" w:color="000000" w:fill="0000FF"/>
            <w:vAlign w:val="center"/>
            <w:hideMark/>
          </w:tcPr>
          <w:p w14:paraId="6DF918B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1DC508D" w14:textId="77777777" w:rsidTr="00B84551">
        <w:trPr>
          <w:trHeight w:val="142"/>
        </w:trPr>
        <w:tc>
          <w:tcPr>
            <w:tcW w:w="702" w:type="dxa"/>
            <w:gridSpan w:val="2"/>
            <w:tcBorders>
              <w:top w:val="nil"/>
              <w:left w:val="nil"/>
              <w:bottom w:val="nil"/>
              <w:right w:val="nil"/>
            </w:tcBorders>
            <w:shd w:val="clear" w:color="000000" w:fill="33CCFF"/>
            <w:vAlign w:val="center"/>
            <w:hideMark/>
          </w:tcPr>
          <w:p w14:paraId="13ECEC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0331905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1F7A97E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4.</w:t>
            </w:r>
          </w:p>
        </w:tc>
        <w:tc>
          <w:tcPr>
            <w:tcW w:w="3258" w:type="dxa"/>
            <w:gridSpan w:val="2"/>
            <w:tcBorders>
              <w:top w:val="nil"/>
              <w:left w:val="nil"/>
              <w:bottom w:val="nil"/>
              <w:right w:val="nil"/>
            </w:tcBorders>
            <w:shd w:val="clear" w:color="000000" w:fill="33CCFF"/>
            <w:vAlign w:val="center"/>
            <w:hideMark/>
          </w:tcPr>
          <w:p w14:paraId="3D21FA9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Spending review</w:t>
            </w:r>
          </w:p>
        </w:tc>
        <w:tc>
          <w:tcPr>
            <w:tcW w:w="522" w:type="dxa"/>
            <w:gridSpan w:val="2"/>
            <w:tcBorders>
              <w:top w:val="nil"/>
              <w:left w:val="nil"/>
              <w:bottom w:val="nil"/>
              <w:right w:val="nil"/>
            </w:tcBorders>
            <w:shd w:val="clear" w:color="000000" w:fill="33CCFF"/>
            <w:vAlign w:val="center"/>
            <w:hideMark/>
          </w:tcPr>
          <w:p w14:paraId="5B967D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375460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3AFAA7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3CEBEA0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417DB40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0E6F83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71B3A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1A9657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14B265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1AF760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1F2FAD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032D523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7CB7255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1921AC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3BD8B0B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03013F0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64555644" w14:textId="77777777" w:rsidTr="00B84551">
        <w:trPr>
          <w:trHeight w:val="466"/>
        </w:trPr>
        <w:tc>
          <w:tcPr>
            <w:tcW w:w="702" w:type="dxa"/>
            <w:gridSpan w:val="2"/>
            <w:tcBorders>
              <w:top w:val="nil"/>
              <w:left w:val="nil"/>
              <w:bottom w:val="nil"/>
              <w:right w:val="nil"/>
            </w:tcBorders>
            <w:shd w:val="clear" w:color="auto" w:fill="auto"/>
            <w:vAlign w:val="bottom"/>
            <w:hideMark/>
          </w:tcPr>
          <w:p w14:paraId="5C0B1CF8"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1634E94"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49CA609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single" w:sz="8" w:space="0" w:color="auto"/>
              <w:left w:val="nil"/>
              <w:bottom w:val="single" w:sz="8" w:space="0" w:color="auto"/>
              <w:right w:val="nil"/>
            </w:tcBorders>
            <w:shd w:val="clear" w:color="auto" w:fill="auto"/>
            <w:vAlign w:val="center"/>
            <w:hideMark/>
          </w:tcPr>
          <w:p w14:paraId="73E8CFC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579063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Build capacity at the MoF and line ministries for conducting Spending Reviews  on a regular base</w:t>
            </w:r>
          </w:p>
        </w:tc>
        <w:tc>
          <w:tcPr>
            <w:tcW w:w="522" w:type="dxa"/>
            <w:gridSpan w:val="2"/>
            <w:tcBorders>
              <w:top w:val="single" w:sz="8" w:space="0" w:color="auto"/>
              <w:left w:val="nil"/>
              <w:bottom w:val="single" w:sz="8" w:space="0" w:color="auto"/>
              <w:right w:val="single" w:sz="8" w:space="0" w:color="auto"/>
            </w:tcBorders>
            <w:shd w:val="clear" w:color="000000" w:fill="FFFFFF"/>
            <w:vAlign w:val="center"/>
            <w:hideMark/>
          </w:tcPr>
          <w:p w14:paraId="4EEFAF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5C389DD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FFFFFF"/>
            <w:vAlign w:val="center"/>
            <w:hideMark/>
          </w:tcPr>
          <w:p w14:paraId="030D4FA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FFFFFF"/>
            <w:vAlign w:val="center"/>
            <w:hideMark/>
          </w:tcPr>
          <w:p w14:paraId="30B572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C008C6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C17ACB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34A3C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420C622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01EB4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4F5268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BD3126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5B76F1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D1DCE7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7B87A5E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DF502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5B79A25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27D064E" w14:textId="77777777" w:rsidTr="00B84551">
        <w:trPr>
          <w:trHeight w:val="394"/>
        </w:trPr>
        <w:tc>
          <w:tcPr>
            <w:tcW w:w="702" w:type="dxa"/>
            <w:gridSpan w:val="2"/>
            <w:tcBorders>
              <w:top w:val="nil"/>
              <w:left w:val="nil"/>
              <w:bottom w:val="nil"/>
              <w:right w:val="nil"/>
            </w:tcBorders>
            <w:shd w:val="clear" w:color="auto" w:fill="auto"/>
            <w:vAlign w:val="bottom"/>
            <w:hideMark/>
          </w:tcPr>
          <w:p w14:paraId="38DB622B"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351E1F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0755979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79A663A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F4A2D5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Prepare and adopt metodology with defining criteria and procedures for conducting Spending review</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BBB93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4620A2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6D0A53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402964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F0C9AC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9ADF1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D6D7F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CD06ED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33961E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B6EE54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85E3A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1FC96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231D5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CCCA4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DA26F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91555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03DF21A" w14:textId="77777777" w:rsidTr="00B84551">
        <w:trPr>
          <w:trHeight w:val="241"/>
        </w:trPr>
        <w:tc>
          <w:tcPr>
            <w:tcW w:w="702" w:type="dxa"/>
            <w:gridSpan w:val="2"/>
            <w:tcBorders>
              <w:top w:val="nil"/>
              <w:left w:val="nil"/>
              <w:bottom w:val="nil"/>
              <w:right w:val="nil"/>
            </w:tcBorders>
            <w:shd w:val="clear" w:color="auto" w:fill="auto"/>
            <w:vAlign w:val="bottom"/>
            <w:hideMark/>
          </w:tcPr>
          <w:p w14:paraId="7167C822"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575AC79"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7E667BF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3CAF978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755621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Spending review as a basis for appropriate budgeting for the next mid-term period </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61A03D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5B6B20B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37D1F00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0BF232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58A4EA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05F800B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64007C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3176557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3B8EA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80B11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2BBA3C8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22B10C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D27C54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9C8395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4CA4E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45E49B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DD19181" w14:textId="77777777" w:rsidTr="00B84551">
        <w:trPr>
          <w:trHeight w:val="300"/>
        </w:trPr>
        <w:tc>
          <w:tcPr>
            <w:tcW w:w="702" w:type="dxa"/>
            <w:gridSpan w:val="2"/>
            <w:tcBorders>
              <w:top w:val="nil"/>
              <w:left w:val="nil"/>
              <w:bottom w:val="nil"/>
              <w:right w:val="nil"/>
            </w:tcBorders>
            <w:shd w:val="clear" w:color="000000" w:fill="00FF00"/>
            <w:vAlign w:val="center"/>
            <w:hideMark/>
          </w:tcPr>
          <w:p w14:paraId="137DB1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580A994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p>
        </w:tc>
        <w:tc>
          <w:tcPr>
            <w:tcW w:w="3258" w:type="dxa"/>
            <w:gridSpan w:val="2"/>
            <w:tcBorders>
              <w:top w:val="nil"/>
              <w:left w:val="nil"/>
              <w:bottom w:val="nil"/>
              <w:right w:val="nil"/>
            </w:tcBorders>
            <w:shd w:val="clear" w:color="000000" w:fill="00FF00"/>
            <w:vAlign w:val="center"/>
            <w:hideMark/>
          </w:tcPr>
          <w:p w14:paraId="29A7E84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Strengthened public investment management</w:t>
            </w:r>
          </w:p>
        </w:tc>
        <w:tc>
          <w:tcPr>
            <w:tcW w:w="522" w:type="dxa"/>
            <w:gridSpan w:val="2"/>
            <w:tcBorders>
              <w:top w:val="nil"/>
              <w:left w:val="nil"/>
              <w:bottom w:val="nil"/>
              <w:right w:val="nil"/>
            </w:tcBorders>
            <w:shd w:val="clear" w:color="000000" w:fill="00FF00"/>
            <w:vAlign w:val="center"/>
            <w:hideMark/>
          </w:tcPr>
          <w:p w14:paraId="2985D1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DCF0E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5B665A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00B833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5AE4B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7A89726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5F789E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04732A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12416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707DE0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8267DC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67B328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F14A43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35EC808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D0AF3B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383469F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49DE0DF" w14:textId="77777777" w:rsidTr="00B84551">
        <w:trPr>
          <w:trHeight w:val="333"/>
        </w:trPr>
        <w:tc>
          <w:tcPr>
            <w:tcW w:w="702" w:type="dxa"/>
            <w:gridSpan w:val="2"/>
            <w:tcBorders>
              <w:top w:val="nil"/>
              <w:left w:val="nil"/>
              <w:bottom w:val="nil"/>
              <w:right w:val="nil"/>
            </w:tcBorders>
            <w:shd w:val="clear" w:color="000000" w:fill="6FE7FF"/>
            <w:vAlign w:val="center"/>
            <w:hideMark/>
          </w:tcPr>
          <w:p w14:paraId="7BC7CFD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3B7E2E7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72CA967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6FE7FF"/>
            <w:vAlign w:val="center"/>
            <w:hideMark/>
          </w:tcPr>
          <w:p w14:paraId="60FBA61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Efficient cordination and development of public investment management processes</w:t>
            </w:r>
          </w:p>
        </w:tc>
        <w:tc>
          <w:tcPr>
            <w:tcW w:w="522" w:type="dxa"/>
            <w:gridSpan w:val="2"/>
            <w:tcBorders>
              <w:top w:val="nil"/>
              <w:left w:val="nil"/>
              <w:bottom w:val="nil"/>
              <w:right w:val="nil"/>
            </w:tcBorders>
            <w:shd w:val="clear" w:color="000000" w:fill="6FE7FF"/>
            <w:vAlign w:val="center"/>
            <w:hideMark/>
          </w:tcPr>
          <w:p w14:paraId="311F2C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3FAFF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1F1BF8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0F0DA5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99BAB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0407CE4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3A80D50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7B785A1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5324C5D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4C6F7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004DE3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75CE13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DE19E3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53804F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C6449F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2E761F5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356A2FBC" w14:textId="77777777" w:rsidTr="00B84551">
        <w:trPr>
          <w:trHeight w:val="376"/>
        </w:trPr>
        <w:tc>
          <w:tcPr>
            <w:tcW w:w="702" w:type="dxa"/>
            <w:gridSpan w:val="2"/>
            <w:tcBorders>
              <w:top w:val="nil"/>
              <w:left w:val="nil"/>
              <w:bottom w:val="nil"/>
              <w:right w:val="nil"/>
            </w:tcBorders>
            <w:shd w:val="clear" w:color="auto" w:fill="auto"/>
            <w:vAlign w:val="bottom"/>
            <w:hideMark/>
          </w:tcPr>
          <w:p w14:paraId="37C87353"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1FFD065B"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8E9844F"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4185ADD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06A83C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Strengthen the supporting legal framework for PIM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14DE9AB" w14:textId="1B85803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50A1B71" w14:textId="6698B7EA"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FCB7B1E" w14:textId="6E82056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C3F092A" w14:textId="5384C42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94F4CE0" w14:textId="12F2334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2450531" w14:textId="42E6255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CE4FE26" w14:textId="5E344F4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7F6A703" w14:textId="62C361C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6C71E23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67FF9CA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5428F87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FFFFFF"/>
            <w:vAlign w:val="center"/>
            <w:hideMark/>
          </w:tcPr>
          <w:p w14:paraId="42D0287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46AC80F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FFFFFF"/>
            <w:vAlign w:val="center"/>
            <w:hideMark/>
          </w:tcPr>
          <w:p w14:paraId="62DD797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6589F1B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FFFFFF"/>
            <w:vAlign w:val="center"/>
            <w:hideMark/>
          </w:tcPr>
          <w:p w14:paraId="780A123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5AD64B0E" w14:textId="77777777" w:rsidTr="00B84551">
        <w:trPr>
          <w:trHeight w:val="331"/>
        </w:trPr>
        <w:tc>
          <w:tcPr>
            <w:tcW w:w="702" w:type="dxa"/>
            <w:gridSpan w:val="2"/>
            <w:tcBorders>
              <w:top w:val="nil"/>
              <w:left w:val="nil"/>
              <w:bottom w:val="nil"/>
              <w:right w:val="nil"/>
            </w:tcBorders>
            <w:shd w:val="clear" w:color="auto" w:fill="auto"/>
            <w:vAlign w:val="bottom"/>
            <w:hideMark/>
          </w:tcPr>
          <w:p w14:paraId="45B61218"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4E0F18A"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49F3EA1"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C329E4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CEFB488"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Strengthen the institutional capacity of the MoF in the PIM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2EDA6F6" w14:textId="29625E0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2B183D" w14:textId="4291335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A4DB326" w14:textId="7DEB8B3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1DEB496" w14:textId="056E117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7C2BB08" w14:textId="6176B46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48DE1E6" w14:textId="37CA31E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21FECAC" w14:textId="51BC6E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DC7848F" w14:textId="5E51E0F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A35485F" w14:textId="195A0281"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9267053" w14:textId="0FFE3630"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B01E43" w14:textId="6A39CDE1"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985985A" w14:textId="6CE3EF3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5328E63" w14:textId="18813D3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F8D46B5" w14:textId="5510FD7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9DE3FF5" w14:textId="3230F4A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E48684E" w14:textId="2492C13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B7DA920" w14:textId="77777777" w:rsidTr="00B84551">
        <w:trPr>
          <w:trHeight w:val="286"/>
        </w:trPr>
        <w:tc>
          <w:tcPr>
            <w:tcW w:w="702" w:type="dxa"/>
            <w:gridSpan w:val="2"/>
            <w:tcBorders>
              <w:top w:val="nil"/>
              <w:left w:val="nil"/>
              <w:bottom w:val="nil"/>
              <w:right w:val="nil"/>
            </w:tcBorders>
            <w:shd w:val="clear" w:color="000000" w:fill="6FE7FF"/>
            <w:vAlign w:val="center"/>
            <w:hideMark/>
          </w:tcPr>
          <w:p w14:paraId="6A0A46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737FF9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2A553B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3258" w:type="dxa"/>
            <w:gridSpan w:val="2"/>
            <w:tcBorders>
              <w:top w:val="nil"/>
              <w:left w:val="nil"/>
              <w:bottom w:val="nil"/>
              <w:right w:val="nil"/>
            </w:tcBorders>
            <w:shd w:val="clear" w:color="000000" w:fill="6FE7FF"/>
            <w:vAlign w:val="center"/>
            <w:hideMark/>
          </w:tcPr>
          <w:p w14:paraId="22CD946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Established single pipeline of appraised capital public investment projects</w:t>
            </w:r>
          </w:p>
        </w:tc>
        <w:tc>
          <w:tcPr>
            <w:tcW w:w="522" w:type="dxa"/>
            <w:gridSpan w:val="2"/>
            <w:tcBorders>
              <w:top w:val="nil"/>
              <w:left w:val="nil"/>
              <w:bottom w:val="nil"/>
              <w:right w:val="nil"/>
            </w:tcBorders>
            <w:shd w:val="clear" w:color="000000" w:fill="6FE7FF"/>
            <w:vAlign w:val="center"/>
            <w:hideMark/>
          </w:tcPr>
          <w:p w14:paraId="43C2408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E334F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618FA2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5E5623E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9AD4B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7835AEB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3E7C4D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41BE37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39764B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A2D44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5BBD45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11CD8C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5932F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4A8248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3157AA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6A0FCE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7848543D" w14:textId="77777777" w:rsidTr="00B84551">
        <w:trPr>
          <w:trHeight w:val="313"/>
        </w:trPr>
        <w:tc>
          <w:tcPr>
            <w:tcW w:w="702" w:type="dxa"/>
            <w:gridSpan w:val="2"/>
            <w:tcBorders>
              <w:top w:val="nil"/>
              <w:left w:val="nil"/>
              <w:bottom w:val="nil"/>
              <w:right w:val="nil"/>
            </w:tcBorders>
            <w:shd w:val="clear" w:color="auto" w:fill="auto"/>
            <w:vAlign w:val="bottom"/>
            <w:hideMark/>
          </w:tcPr>
          <w:p w14:paraId="1ECE1DDF"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645CC78E"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66080BB"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4F37603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A733FD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 general public investment project appraisal methodology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26468AE" w14:textId="397BD74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10ABAE" w14:textId="4F8FAC4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7973590" w14:textId="39E369E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EEE98D2" w14:textId="2AD8D240"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269A361" w14:textId="2C94AF6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9AD9A14" w14:textId="03C6A0B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3FCC2F0" w14:textId="7FCD5EA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2CF4A94" w14:textId="557648F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056CDDF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3C8D250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0DD2498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FFFFFF"/>
            <w:vAlign w:val="center"/>
            <w:hideMark/>
          </w:tcPr>
          <w:p w14:paraId="575B543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65B9FD0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FFFFFF"/>
            <w:vAlign w:val="center"/>
            <w:hideMark/>
          </w:tcPr>
          <w:p w14:paraId="2B2D8B0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0D3A707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FFFFFF"/>
            <w:vAlign w:val="center"/>
            <w:hideMark/>
          </w:tcPr>
          <w:p w14:paraId="15F8790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33CE3F80" w14:textId="77777777" w:rsidTr="00B84551">
        <w:trPr>
          <w:trHeight w:val="322"/>
        </w:trPr>
        <w:tc>
          <w:tcPr>
            <w:tcW w:w="702" w:type="dxa"/>
            <w:gridSpan w:val="2"/>
            <w:tcBorders>
              <w:top w:val="nil"/>
              <w:left w:val="nil"/>
              <w:bottom w:val="nil"/>
              <w:right w:val="nil"/>
            </w:tcBorders>
            <w:shd w:val="clear" w:color="auto" w:fill="auto"/>
            <w:vAlign w:val="bottom"/>
            <w:hideMark/>
          </w:tcPr>
          <w:p w14:paraId="09D49FAD"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CFE5889"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4974B73"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B363FC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B39E706"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Establish standard criteria for project selection/prioritization</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760A552" w14:textId="7980B30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1B33A52" w14:textId="030D49C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3D1151C" w14:textId="63D91B1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723AB4B" w14:textId="3DB331CC"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E6F17BD" w14:textId="393302E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6EE900B" w14:textId="73008B1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918BC6D" w14:textId="6209A1B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50197E9" w14:textId="09B849F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92D983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7535564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1A3B31D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6BF3D55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44CCC2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1140510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B714C1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7481D4D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6D413E71" w14:textId="77777777" w:rsidTr="00B84551">
        <w:trPr>
          <w:trHeight w:val="615"/>
        </w:trPr>
        <w:tc>
          <w:tcPr>
            <w:tcW w:w="702" w:type="dxa"/>
            <w:gridSpan w:val="2"/>
            <w:tcBorders>
              <w:top w:val="nil"/>
              <w:left w:val="nil"/>
              <w:bottom w:val="nil"/>
              <w:right w:val="nil"/>
            </w:tcBorders>
            <w:shd w:val="clear" w:color="auto" w:fill="auto"/>
            <w:vAlign w:val="bottom"/>
            <w:hideMark/>
          </w:tcPr>
          <w:p w14:paraId="0A66E8CC"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28FD7EAD"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FF17EE7"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E9E256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640DD72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Provide training to MoF professionals on project appraisal and review of preinvestment studies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204D5BC" w14:textId="5DCCF59D"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E882E7E" w14:textId="20A0727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96C5D29" w14:textId="27660A4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D3EC003" w14:textId="1873828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59364B" w14:textId="00DD41B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88490D2" w14:textId="6CCCFCF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0B49D43" w14:textId="31B9FF5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C01C611" w14:textId="5581100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B1852E3" w14:textId="6519848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F30D110" w14:textId="29E8ABF1"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ED143BB" w14:textId="00B6CBF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D202C94" w14:textId="3BF3697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65B2D30" w14:textId="2A121DA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2E17B5C" w14:textId="18FC970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F4621A2" w14:textId="47CDDC9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08519F2" w14:textId="269CB98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r>
      <w:tr w:rsidR="00942045" w:rsidRPr="0062158E" w14:paraId="1EEB1002" w14:textId="77777777" w:rsidTr="00B84551">
        <w:trPr>
          <w:trHeight w:val="70"/>
        </w:trPr>
        <w:tc>
          <w:tcPr>
            <w:tcW w:w="702" w:type="dxa"/>
            <w:gridSpan w:val="2"/>
            <w:tcBorders>
              <w:top w:val="nil"/>
              <w:left w:val="nil"/>
              <w:bottom w:val="nil"/>
              <w:right w:val="nil"/>
            </w:tcBorders>
            <w:shd w:val="clear" w:color="auto" w:fill="auto"/>
            <w:vAlign w:val="bottom"/>
            <w:hideMark/>
          </w:tcPr>
          <w:p w14:paraId="7B05539B"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16656A81"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BB3A0D1"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52D567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775B7D61"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Provide training to budget users/SoEs/LSGUs professionals on project formulation appraisal and selection</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BE5E422" w14:textId="716D48F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6DA36D" w14:textId="51974DC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223537B" w14:textId="6C899D5C"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0466914" w14:textId="5CC8AE0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83A047A" w14:textId="79F2F06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4CA787D" w14:textId="4383131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7D27C7" w14:textId="666B8BA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A6BEB5E" w14:textId="16C28E7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931221B" w14:textId="1EE80701"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CF63F0D" w14:textId="21C259A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DD9602" w14:textId="679B324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8D0C516" w14:textId="397E910E"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C25A84C" w14:textId="6A816994"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BB63425" w14:textId="3082C8D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FB1C52" w14:textId="32ED2C9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77A6E6D" w14:textId="170D9B4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r>
      <w:tr w:rsidR="00C93723" w:rsidRPr="0062158E" w14:paraId="77CB5744" w14:textId="77777777" w:rsidTr="00B84551">
        <w:trPr>
          <w:trHeight w:val="315"/>
        </w:trPr>
        <w:tc>
          <w:tcPr>
            <w:tcW w:w="702" w:type="dxa"/>
            <w:gridSpan w:val="2"/>
            <w:tcBorders>
              <w:top w:val="nil"/>
              <w:left w:val="nil"/>
              <w:bottom w:val="nil"/>
              <w:right w:val="nil"/>
            </w:tcBorders>
            <w:shd w:val="clear" w:color="000000" w:fill="6FE7FF"/>
            <w:vAlign w:val="center"/>
            <w:hideMark/>
          </w:tcPr>
          <w:p w14:paraId="3AD1F05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2FE551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1212DC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3258" w:type="dxa"/>
            <w:gridSpan w:val="2"/>
            <w:tcBorders>
              <w:top w:val="nil"/>
              <w:left w:val="nil"/>
              <w:bottom w:val="nil"/>
              <w:right w:val="nil"/>
            </w:tcBorders>
            <w:shd w:val="clear" w:color="000000" w:fill="6FE7FF"/>
            <w:vAlign w:val="center"/>
            <w:hideMark/>
          </w:tcPr>
          <w:p w14:paraId="78AD53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Efficient and effective monitoring of capital investments</w:t>
            </w:r>
          </w:p>
        </w:tc>
        <w:tc>
          <w:tcPr>
            <w:tcW w:w="522" w:type="dxa"/>
            <w:gridSpan w:val="2"/>
            <w:tcBorders>
              <w:top w:val="nil"/>
              <w:left w:val="nil"/>
              <w:bottom w:val="nil"/>
              <w:right w:val="nil"/>
            </w:tcBorders>
            <w:shd w:val="clear" w:color="000000" w:fill="6FE7FF"/>
            <w:vAlign w:val="center"/>
            <w:hideMark/>
          </w:tcPr>
          <w:p w14:paraId="2C6D1E7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136040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40449F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23AB15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5716C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1B4E59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7D7D44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1DF79A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3EF22A7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B53AC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413A7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010577E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49D5D7B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2BC0AE6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19EF18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0495899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23617A52" w14:textId="77777777" w:rsidTr="00B84551">
        <w:trPr>
          <w:trHeight w:val="367"/>
        </w:trPr>
        <w:tc>
          <w:tcPr>
            <w:tcW w:w="702" w:type="dxa"/>
            <w:gridSpan w:val="2"/>
            <w:tcBorders>
              <w:top w:val="nil"/>
              <w:left w:val="nil"/>
              <w:bottom w:val="nil"/>
              <w:right w:val="nil"/>
            </w:tcBorders>
            <w:shd w:val="clear" w:color="auto" w:fill="auto"/>
            <w:vAlign w:val="bottom"/>
            <w:hideMark/>
          </w:tcPr>
          <w:p w14:paraId="4EDFB281"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6CFE0CB"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FEFB519"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4A03428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7A1CACC1"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Introduce procedures for risk-based centralized monitoring</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91C5549" w14:textId="7439731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F009E06" w14:textId="707626E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5BB111E" w14:textId="0524044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48C6393" w14:textId="69DE2877"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8D4B04D" w14:textId="0069251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27C7920" w14:textId="6510A7E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C3FA3D5" w14:textId="539BDAF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07CE8BC" w14:textId="188CD94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2F963A5" w14:textId="1D8A6E8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470616C" w14:textId="60715A4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65633B8" w14:textId="7C207D5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40AEF43" w14:textId="2CEC7DD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289B9E0" w14:textId="65D25EC8"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8ACACBB" w14:textId="3B09B3AD"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36B3A35" w14:textId="4A294D5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3A4C68A" w14:textId="60E90BA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r>
      <w:tr w:rsidR="00942045" w:rsidRPr="0062158E" w14:paraId="67A0239B" w14:textId="77777777" w:rsidTr="00B84551">
        <w:trPr>
          <w:trHeight w:val="313"/>
        </w:trPr>
        <w:tc>
          <w:tcPr>
            <w:tcW w:w="702" w:type="dxa"/>
            <w:gridSpan w:val="2"/>
            <w:tcBorders>
              <w:top w:val="nil"/>
              <w:left w:val="nil"/>
              <w:bottom w:val="nil"/>
              <w:right w:val="nil"/>
            </w:tcBorders>
            <w:shd w:val="clear" w:color="auto" w:fill="auto"/>
            <w:vAlign w:val="bottom"/>
            <w:hideMark/>
          </w:tcPr>
          <w:p w14:paraId="6D9E5BA0"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6F2E0009"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2C43D4C"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D70795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EEB7AD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Introduce a formal requirement for ex-post review of completed projects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AD5209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3D51070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6887187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21C187C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882F09B" w14:textId="2FC7947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25521D4" w14:textId="2BA755F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6FFB2B5" w14:textId="25B3C23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A77AAC9" w14:textId="7FD39C19"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BDFC37A" w14:textId="6920528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25AECB9" w14:textId="6DE85CE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5384109" w14:textId="02D5D69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A23C938" w14:textId="5D48EF9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9EB1FBD" w14:textId="1701FFE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C2D90EA" w14:textId="5458F9F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B1D597D" w14:textId="05C69D9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FFF139C" w14:textId="0C98EBF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3C02E190" w14:textId="77777777" w:rsidTr="00B84551">
        <w:trPr>
          <w:trHeight w:val="169"/>
        </w:trPr>
        <w:tc>
          <w:tcPr>
            <w:tcW w:w="702" w:type="dxa"/>
            <w:gridSpan w:val="2"/>
            <w:tcBorders>
              <w:top w:val="nil"/>
              <w:left w:val="nil"/>
              <w:bottom w:val="nil"/>
              <w:right w:val="nil"/>
            </w:tcBorders>
            <w:shd w:val="clear" w:color="auto" w:fill="auto"/>
            <w:vAlign w:val="bottom"/>
            <w:hideMark/>
          </w:tcPr>
          <w:p w14:paraId="0582ECA5"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0ABD28AC"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5CE00D7"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B02EDF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5A7080A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 a short-term IT solution for PIM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904C25D" w14:textId="6EF57A4A"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6A14400" w14:textId="634EC217"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3BA8226" w14:textId="37DF57C2"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51FD6F5" w14:textId="5C98E41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861EBD" w14:textId="247A71E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156192C" w14:textId="56E57CC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F105EA9" w14:textId="6611A5A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20C63A6" w14:textId="4619FF6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057859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8AD954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643A17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1B95A1E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670EEC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4584927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9F4DBF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1A6832C"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F68146C" w14:textId="77777777" w:rsidTr="00B84551">
        <w:trPr>
          <w:trHeight w:val="223"/>
        </w:trPr>
        <w:tc>
          <w:tcPr>
            <w:tcW w:w="702" w:type="dxa"/>
            <w:gridSpan w:val="2"/>
            <w:tcBorders>
              <w:top w:val="nil"/>
              <w:left w:val="nil"/>
              <w:bottom w:val="nil"/>
              <w:right w:val="nil"/>
            </w:tcBorders>
            <w:shd w:val="clear" w:color="000000" w:fill="00FF00"/>
            <w:vAlign w:val="center"/>
            <w:hideMark/>
          </w:tcPr>
          <w:p w14:paraId="55941C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2E0682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3.</w:t>
            </w:r>
          </w:p>
        </w:tc>
        <w:tc>
          <w:tcPr>
            <w:tcW w:w="3258" w:type="dxa"/>
            <w:gridSpan w:val="2"/>
            <w:tcBorders>
              <w:top w:val="nil"/>
              <w:left w:val="nil"/>
              <w:bottom w:val="nil"/>
              <w:right w:val="nil"/>
            </w:tcBorders>
            <w:shd w:val="clear" w:color="000000" w:fill="00FF00"/>
            <w:vAlign w:val="center"/>
            <w:hideMark/>
          </w:tcPr>
          <w:p w14:paraId="4AD6157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 the accounting of budgets and budget users</w:t>
            </w:r>
          </w:p>
        </w:tc>
        <w:tc>
          <w:tcPr>
            <w:tcW w:w="522" w:type="dxa"/>
            <w:gridSpan w:val="2"/>
            <w:tcBorders>
              <w:top w:val="nil"/>
              <w:left w:val="nil"/>
              <w:bottom w:val="nil"/>
              <w:right w:val="nil"/>
            </w:tcBorders>
            <w:shd w:val="clear" w:color="000000" w:fill="00FF00"/>
            <w:vAlign w:val="center"/>
            <w:hideMark/>
          </w:tcPr>
          <w:p w14:paraId="1202929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7BF216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4A7003E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4653100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B99FB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5D4162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070035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543BE05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181A400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21604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1A5A46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2AA133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054189C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3E5017D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1AFB74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6D16D1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352D878C" w14:textId="77777777" w:rsidTr="00B84551">
        <w:trPr>
          <w:trHeight w:val="378"/>
        </w:trPr>
        <w:tc>
          <w:tcPr>
            <w:tcW w:w="702" w:type="dxa"/>
            <w:gridSpan w:val="2"/>
            <w:tcBorders>
              <w:top w:val="nil"/>
              <w:left w:val="nil"/>
              <w:bottom w:val="nil"/>
              <w:right w:val="nil"/>
            </w:tcBorders>
            <w:shd w:val="clear" w:color="000000" w:fill="6FE7FF"/>
            <w:vAlign w:val="center"/>
            <w:hideMark/>
          </w:tcPr>
          <w:p w14:paraId="76E435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BE70C2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59CB361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63E8354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E51B65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Strengthening the accounting system by applying  of new accounting practices </w:t>
            </w:r>
          </w:p>
        </w:tc>
        <w:tc>
          <w:tcPr>
            <w:tcW w:w="522" w:type="dxa"/>
            <w:gridSpan w:val="2"/>
            <w:tcBorders>
              <w:top w:val="nil"/>
              <w:left w:val="nil"/>
              <w:bottom w:val="single" w:sz="8" w:space="0" w:color="auto"/>
              <w:right w:val="nil"/>
            </w:tcBorders>
            <w:shd w:val="clear" w:color="000000" w:fill="6FE7FF"/>
            <w:vAlign w:val="center"/>
            <w:hideMark/>
          </w:tcPr>
          <w:p w14:paraId="7FCD32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7E294E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11B943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0B5348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51CBB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0A4F7EC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6C01A0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32B4123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12B38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2251C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4C97C6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0B547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590E7B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315C8D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5C7DCB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F6C34A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1363134" w14:textId="77777777" w:rsidTr="00B84551">
        <w:trPr>
          <w:trHeight w:val="601"/>
        </w:trPr>
        <w:tc>
          <w:tcPr>
            <w:tcW w:w="702" w:type="dxa"/>
            <w:gridSpan w:val="2"/>
            <w:tcBorders>
              <w:top w:val="nil"/>
              <w:left w:val="nil"/>
              <w:bottom w:val="nil"/>
              <w:right w:val="nil"/>
            </w:tcBorders>
            <w:shd w:val="clear" w:color="auto" w:fill="auto"/>
            <w:vAlign w:val="bottom"/>
            <w:hideMark/>
          </w:tcPr>
          <w:p w14:paraId="2EB5D044"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10038258"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1AC21F0"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39EE85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243A6F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Adoption a Strategy for Improvement of the Budget Institutions’s Accounting with a gap analysis, setting priorities and goals and action plan</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8696AC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F33649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1A5A83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B3390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3EAA5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2319183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4C26C0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01B6A93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786CC6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95C0C9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B5CF6A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086EEB5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247227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E01784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971431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926D13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770B4DF2" w14:textId="77777777" w:rsidTr="00B84551">
        <w:trPr>
          <w:trHeight w:val="421"/>
        </w:trPr>
        <w:tc>
          <w:tcPr>
            <w:tcW w:w="702" w:type="dxa"/>
            <w:gridSpan w:val="2"/>
            <w:tcBorders>
              <w:top w:val="nil"/>
              <w:left w:val="nil"/>
              <w:bottom w:val="nil"/>
              <w:right w:val="nil"/>
            </w:tcBorders>
            <w:shd w:val="clear" w:color="auto" w:fill="auto"/>
            <w:vAlign w:val="bottom"/>
            <w:hideMark/>
          </w:tcPr>
          <w:p w14:paraId="470A977E"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C62A37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F27407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FE0DC7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077775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Adopting a new regulatory framework on accounting of budgets and budget users and bylaws </w:t>
            </w:r>
          </w:p>
        </w:tc>
        <w:tc>
          <w:tcPr>
            <w:tcW w:w="522" w:type="dxa"/>
            <w:gridSpan w:val="2"/>
            <w:tcBorders>
              <w:top w:val="nil"/>
              <w:left w:val="nil"/>
              <w:bottom w:val="single" w:sz="8" w:space="0" w:color="auto"/>
              <w:right w:val="single" w:sz="8" w:space="0" w:color="auto"/>
            </w:tcBorders>
            <w:shd w:val="clear" w:color="auto" w:fill="auto"/>
            <w:vAlign w:val="center"/>
            <w:hideMark/>
          </w:tcPr>
          <w:p w14:paraId="022AD6F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086AE8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09E3729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75AFAC6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F76937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303E2D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7215AB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5A31DA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DB5D92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458713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FFBAF0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3576A94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44843A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035784F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F945C1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99D6A7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302CC61B" w14:textId="77777777" w:rsidTr="00B84551">
        <w:trPr>
          <w:trHeight w:val="615"/>
        </w:trPr>
        <w:tc>
          <w:tcPr>
            <w:tcW w:w="702" w:type="dxa"/>
            <w:gridSpan w:val="2"/>
            <w:tcBorders>
              <w:top w:val="nil"/>
              <w:left w:val="nil"/>
              <w:bottom w:val="nil"/>
              <w:right w:val="nil"/>
            </w:tcBorders>
            <w:shd w:val="clear" w:color="auto" w:fill="auto"/>
            <w:vAlign w:val="bottom"/>
            <w:hideMark/>
          </w:tcPr>
          <w:p w14:paraId="07BA2585"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0B3E025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64EB63D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35632D5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8CE44F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Harmonizing budget information systems and budget users with the new accounting requirements</w:t>
            </w:r>
          </w:p>
        </w:tc>
        <w:tc>
          <w:tcPr>
            <w:tcW w:w="522" w:type="dxa"/>
            <w:gridSpan w:val="2"/>
            <w:tcBorders>
              <w:top w:val="nil"/>
              <w:left w:val="nil"/>
              <w:bottom w:val="single" w:sz="8" w:space="0" w:color="auto"/>
              <w:right w:val="single" w:sz="8" w:space="0" w:color="auto"/>
            </w:tcBorders>
            <w:shd w:val="clear" w:color="auto" w:fill="auto"/>
            <w:vAlign w:val="center"/>
            <w:hideMark/>
          </w:tcPr>
          <w:p w14:paraId="5C383E3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B8EF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75C9AC1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54DBC20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DB042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3DF49AF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BE9EDD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0856317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DB46C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DB2AB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A5B37E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87C4D8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3B6AE6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24E4D8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101549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B17EEB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5D9D498" w14:textId="77777777" w:rsidTr="00B84551">
        <w:trPr>
          <w:trHeight w:val="340"/>
        </w:trPr>
        <w:tc>
          <w:tcPr>
            <w:tcW w:w="702" w:type="dxa"/>
            <w:gridSpan w:val="2"/>
            <w:tcBorders>
              <w:top w:val="nil"/>
              <w:left w:val="nil"/>
              <w:bottom w:val="nil"/>
              <w:right w:val="nil"/>
            </w:tcBorders>
            <w:shd w:val="clear" w:color="auto" w:fill="auto"/>
            <w:vAlign w:val="bottom"/>
            <w:hideMark/>
          </w:tcPr>
          <w:p w14:paraId="46B6C31F"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C68587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A17F0F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38495F1" w14:textId="144361CE"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Activity </w:t>
            </w:r>
            <w:r w:rsidR="00446404">
              <w:rPr>
                <w:rFonts w:eastAsia="Times New Roman" w:cs="Calibri"/>
                <w:sz w:val="16"/>
                <w:szCs w:val="16"/>
                <w:lang w:val="en-US"/>
              </w:rPr>
              <w:t>4</w:t>
            </w:r>
            <w:r w:rsidRPr="0062158E">
              <w:rPr>
                <w:rFonts w:eastAsia="Times New Roman" w:cs="Calibri"/>
                <w:sz w:val="16"/>
                <w:szCs w:val="16"/>
              </w:rPr>
              <w:t>.</w:t>
            </w:r>
          </w:p>
        </w:tc>
        <w:tc>
          <w:tcPr>
            <w:tcW w:w="3258" w:type="dxa"/>
            <w:gridSpan w:val="2"/>
            <w:tcBorders>
              <w:top w:val="nil"/>
              <w:left w:val="nil"/>
              <w:bottom w:val="single" w:sz="8" w:space="0" w:color="auto"/>
              <w:right w:val="single" w:sz="8" w:space="0" w:color="auto"/>
            </w:tcBorders>
            <w:shd w:val="clear" w:color="auto" w:fill="auto"/>
            <w:vAlign w:val="center"/>
            <w:hideMark/>
          </w:tcPr>
          <w:p w14:paraId="1079006A" w14:textId="57246B04" w:rsidR="00C93723" w:rsidRPr="0062158E" w:rsidRDefault="005330C5" w:rsidP="00C93723">
            <w:pPr>
              <w:spacing w:after="0" w:line="240" w:lineRule="auto"/>
              <w:rPr>
                <w:rFonts w:eastAsia="Times New Roman" w:cs="Calibri"/>
                <w:sz w:val="16"/>
                <w:szCs w:val="16"/>
              </w:rPr>
            </w:pPr>
            <w:r w:rsidRPr="005330C5">
              <w:rPr>
                <w:rFonts w:eastAsia="Times New Roman" w:cs="Calibri"/>
                <w:sz w:val="16"/>
                <w:szCs w:val="16"/>
              </w:rPr>
              <w:t>Training and examination for accountants in the public sector</w:t>
            </w:r>
          </w:p>
        </w:tc>
        <w:tc>
          <w:tcPr>
            <w:tcW w:w="522" w:type="dxa"/>
            <w:gridSpan w:val="2"/>
            <w:tcBorders>
              <w:top w:val="nil"/>
              <w:left w:val="nil"/>
              <w:bottom w:val="single" w:sz="8" w:space="0" w:color="auto"/>
              <w:right w:val="single" w:sz="8" w:space="0" w:color="auto"/>
            </w:tcBorders>
            <w:shd w:val="clear" w:color="auto" w:fill="auto"/>
            <w:vAlign w:val="center"/>
            <w:hideMark/>
          </w:tcPr>
          <w:p w14:paraId="0D11AF6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A822A6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6EA094A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21743E4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385579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D7E587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3144C1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CB88C3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EE7DCB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00C38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EBA0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D7C4F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515916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778C7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F85CAD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AC3D5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34486B8"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30BD8F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IV - Public Procurement</w:t>
            </w:r>
          </w:p>
        </w:tc>
      </w:tr>
      <w:tr w:rsidR="00C93723" w:rsidRPr="0062158E" w14:paraId="50C60022" w14:textId="77777777" w:rsidTr="00B84551">
        <w:trPr>
          <w:trHeight w:val="300"/>
        </w:trPr>
        <w:tc>
          <w:tcPr>
            <w:tcW w:w="702" w:type="dxa"/>
            <w:gridSpan w:val="2"/>
            <w:tcBorders>
              <w:top w:val="nil"/>
              <w:left w:val="nil"/>
              <w:bottom w:val="nil"/>
              <w:right w:val="nil"/>
            </w:tcBorders>
            <w:shd w:val="clear" w:color="000000" w:fill="00FF00"/>
            <w:vAlign w:val="center"/>
            <w:hideMark/>
          </w:tcPr>
          <w:p w14:paraId="26F1299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0CD583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1.</w:t>
            </w:r>
          </w:p>
        </w:tc>
        <w:tc>
          <w:tcPr>
            <w:tcW w:w="3258" w:type="dxa"/>
            <w:gridSpan w:val="2"/>
            <w:tcBorders>
              <w:top w:val="nil"/>
              <w:left w:val="nil"/>
              <w:bottom w:val="nil"/>
              <w:right w:val="nil"/>
            </w:tcBorders>
            <w:shd w:val="clear" w:color="000000" w:fill="00FF00"/>
            <w:vAlign w:val="center"/>
            <w:hideMark/>
          </w:tcPr>
          <w:p w14:paraId="7628C34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Public procurement policy</w:t>
            </w:r>
          </w:p>
        </w:tc>
        <w:tc>
          <w:tcPr>
            <w:tcW w:w="522" w:type="dxa"/>
            <w:gridSpan w:val="2"/>
            <w:tcBorders>
              <w:top w:val="nil"/>
              <w:left w:val="nil"/>
              <w:bottom w:val="nil"/>
              <w:right w:val="nil"/>
            </w:tcBorders>
            <w:shd w:val="clear" w:color="000000" w:fill="00FF00"/>
            <w:vAlign w:val="center"/>
            <w:hideMark/>
          </w:tcPr>
          <w:p w14:paraId="14D7A5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FE78B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60DEBE0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5C2C21C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4189AF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5EFE077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271453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5E79E2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050410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8021C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3FF4F5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0494E0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E7E2B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294524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C93399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171662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35C4CDE" w14:textId="77777777" w:rsidTr="00B84551">
        <w:trPr>
          <w:trHeight w:val="693"/>
        </w:trPr>
        <w:tc>
          <w:tcPr>
            <w:tcW w:w="702" w:type="dxa"/>
            <w:gridSpan w:val="2"/>
            <w:tcBorders>
              <w:top w:val="nil"/>
              <w:left w:val="nil"/>
              <w:bottom w:val="nil"/>
              <w:right w:val="nil"/>
            </w:tcBorders>
            <w:shd w:val="clear" w:color="000000" w:fill="6FE7FF"/>
            <w:vAlign w:val="center"/>
            <w:hideMark/>
          </w:tcPr>
          <w:p w14:paraId="570002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366237C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710366F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2A9149F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22CEC8D2" w14:textId="1F1A804E" w:rsidR="00C93723" w:rsidRPr="0062158E" w:rsidRDefault="000331F8" w:rsidP="00C93723">
            <w:pPr>
              <w:spacing w:after="0" w:line="240" w:lineRule="auto"/>
              <w:rPr>
                <w:rFonts w:eastAsia="Times New Roman" w:cs="Calibri"/>
                <w:b/>
                <w:bCs/>
                <w:sz w:val="16"/>
                <w:szCs w:val="16"/>
              </w:rPr>
            </w:pPr>
            <w:r w:rsidRPr="00576D82">
              <w:rPr>
                <w:rFonts w:eastAsia="Times New Roman" w:cs="Calibri"/>
                <w:b/>
                <w:bCs/>
                <w:sz w:val="16"/>
                <w:szCs w:val="16"/>
              </w:rPr>
              <w:t>Improving the cooperation among the key institutions in the public procurement system</w:t>
            </w:r>
          </w:p>
        </w:tc>
        <w:tc>
          <w:tcPr>
            <w:tcW w:w="522" w:type="dxa"/>
            <w:gridSpan w:val="2"/>
            <w:tcBorders>
              <w:top w:val="nil"/>
              <w:left w:val="nil"/>
              <w:bottom w:val="single" w:sz="8" w:space="0" w:color="auto"/>
              <w:right w:val="nil"/>
            </w:tcBorders>
            <w:shd w:val="clear" w:color="000000" w:fill="6FE7FF"/>
            <w:vAlign w:val="center"/>
            <w:hideMark/>
          </w:tcPr>
          <w:p w14:paraId="71FAD61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EF3F3D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2FDF587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65114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F8F8C0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10FC5B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C5912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40293C0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8EFE6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66D8B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37BDF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222F20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04EDF2E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78C9A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800BFE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FCE95F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6B309928" w14:textId="77777777" w:rsidTr="00B84551">
        <w:trPr>
          <w:trHeight w:val="340"/>
        </w:trPr>
        <w:tc>
          <w:tcPr>
            <w:tcW w:w="702" w:type="dxa"/>
            <w:gridSpan w:val="2"/>
            <w:tcBorders>
              <w:top w:val="nil"/>
              <w:left w:val="nil"/>
              <w:bottom w:val="nil"/>
              <w:right w:val="nil"/>
            </w:tcBorders>
            <w:shd w:val="clear" w:color="auto" w:fill="auto"/>
            <w:vAlign w:val="bottom"/>
            <w:hideMark/>
          </w:tcPr>
          <w:p w14:paraId="36FDD191"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25D7753"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6B78837"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9F1706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5E71479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xml:space="preserve">Improving the coordination among the key institutions in the public procurement system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AD4BD48" w14:textId="3B92884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E6E40EF" w14:textId="55C28DC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6BDD922" w14:textId="26489C72"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C3FABB2" w14:textId="73F825C8"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1AA83F0" w14:textId="3801E02F"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594517A" w14:textId="61E6AD7F"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6066D24" w14:textId="7217A290"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F95E447" w14:textId="7E7A2824"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4636EB5" w14:textId="0149D414"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59AD36B" w14:textId="72772335"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AD9C83" w14:textId="7AE93FED"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25A5C54" w14:textId="6543634D"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F94DD68" w14:textId="3351B15C"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CFE9EEC" w14:textId="12C6E081"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F2389CB" w14:textId="6AE826F4"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16A0437" w14:textId="02CEB9A8" w:rsidR="00942045" w:rsidRPr="0062158E" w:rsidRDefault="00942045" w:rsidP="00942045">
            <w:pPr>
              <w:spacing w:after="0" w:line="240" w:lineRule="auto"/>
              <w:rPr>
                <w:rFonts w:eastAsia="Times New Roman" w:cs="Calibri"/>
                <w:color w:val="FF0000"/>
                <w:sz w:val="16"/>
                <w:szCs w:val="16"/>
              </w:rPr>
            </w:pPr>
            <w:r w:rsidRPr="0062158E">
              <w:rPr>
                <w:rFonts w:eastAsia="Times New Roman" w:cs="Calibri"/>
                <w:color w:val="FFFFFF"/>
                <w:sz w:val="16"/>
                <w:szCs w:val="16"/>
              </w:rPr>
              <w:t> </w:t>
            </w:r>
          </w:p>
        </w:tc>
      </w:tr>
      <w:tr w:rsidR="000331F8" w:rsidRPr="0062158E" w14:paraId="5CA07C89" w14:textId="77777777" w:rsidTr="00B84551">
        <w:trPr>
          <w:trHeight w:val="693"/>
        </w:trPr>
        <w:tc>
          <w:tcPr>
            <w:tcW w:w="810" w:type="dxa"/>
            <w:gridSpan w:val="3"/>
            <w:tcBorders>
              <w:top w:val="nil"/>
              <w:left w:val="nil"/>
              <w:bottom w:val="nil"/>
              <w:right w:val="nil"/>
            </w:tcBorders>
            <w:shd w:val="clear" w:color="000000" w:fill="6FE7FF"/>
            <w:vAlign w:val="center"/>
            <w:hideMark/>
          </w:tcPr>
          <w:p w14:paraId="6991856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0EB870B4"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1200" w:type="dxa"/>
            <w:tcBorders>
              <w:top w:val="nil"/>
              <w:left w:val="nil"/>
              <w:bottom w:val="nil"/>
              <w:right w:val="nil"/>
            </w:tcBorders>
            <w:shd w:val="clear" w:color="000000" w:fill="6FE7FF"/>
            <w:vAlign w:val="center"/>
            <w:hideMark/>
          </w:tcPr>
          <w:p w14:paraId="54C87584"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xml:space="preserve">Measure </w:t>
            </w:r>
            <w:r>
              <w:rPr>
                <w:rFonts w:eastAsia="Times New Roman" w:cs="Calibri"/>
                <w:b/>
                <w:bCs/>
                <w:sz w:val="16"/>
                <w:szCs w:val="16"/>
                <w:lang w:val="en-GB"/>
              </w:rPr>
              <w:t>2</w:t>
            </w:r>
            <w:r w:rsidRPr="0062158E">
              <w:rPr>
                <w:rFonts w:eastAsia="Times New Roman" w:cs="Calibri"/>
                <w:b/>
                <w:bCs/>
                <w:sz w:val="16"/>
                <w:szCs w:val="16"/>
              </w:rPr>
              <w:t>.</w:t>
            </w:r>
          </w:p>
        </w:tc>
        <w:tc>
          <w:tcPr>
            <w:tcW w:w="1350" w:type="dxa"/>
            <w:gridSpan w:val="2"/>
            <w:tcBorders>
              <w:top w:val="nil"/>
              <w:left w:val="nil"/>
              <w:bottom w:val="single" w:sz="8" w:space="0" w:color="auto"/>
              <w:right w:val="nil"/>
            </w:tcBorders>
            <w:shd w:val="clear" w:color="000000" w:fill="6FE7FF"/>
            <w:vAlign w:val="center"/>
            <w:hideMark/>
          </w:tcPr>
          <w:p w14:paraId="295137C6"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3150" w:type="dxa"/>
            <w:tcBorders>
              <w:top w:val="nil"/>
              <w:left w:val="nil"/>
              <w:bottom w:val="single" w:sz="8" w:space="0" w:color="auto"/>
              <w:right w:val="nil"/>
            </w:tcBorders>
            <w:shd w:val="clear" w:color="000000" w:fill="6FE7FF"/>
            <w:vAlign w:val="center"/>
            <w:hideMark/>
          </w:tcPr>
          <w:p w14:paraId="2BD57335" w14:textId="77777777" w:rsidR="000331F8" w:rsidRPr="0062158E" w:rsidRDefault="000331F8" w:rsidP="00241538">
            <w:pPr>
              <w:spacing w:after="0" w:line="240" w:lineRule="auto"/>
              <w:rPr>
                <w:rFonts w:eastAsia="Times New Roman" w:cs="Calibri"/>
                <w:b/>
                <w:bCs/>
                <w:sz w:val="16"/>
                <w:szCs w:val="16"/>
              </w:rPr>
            </w:pPr>
            <w:r w:rsidRPr="00576D82">
              <w:rPr>
                <w:rFonts w:eastAsia="Times New Roman" w:cs="Calibri"/>
                <w:b/>
                <w:bCs/>
                <w:sz w:val="16"/>
                <w:szCs w:val="16"/>
              </w:rPr>
              <w:t>Combating corruption in public procurement</w:t>
            </w:r>
          </w:p>
        </w:tc>
        <w:tc>
          <w:tcPr>
            <w:tcW w:w="630" w:type="dxa"/>
            <w:gridSpan w:val="3"/>
            <w:tcBorders>
              <w:top w:val="nil"/>
              <w:left w:val="nil"/>
              <w:bottom w:val="single" w:sz="8" w:space="0" w:color="auto"/>
              <w:right w:val="nil"/>
            </w:tcBorders>
            <w:shd w:val="clear" w:color="000000" w:fill="6FE7FF"/>
            <w:vAlign w:val="center"/>
            <w:hideMark/>
          </w:tcPr>
          <w:p w14:paraId="36B18EA6"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54BA3A57"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10" w:type="dxa"/>
            <w:gridSpan w:val="3"/>
            <w:tcBorders>
              <w:top w:val="nil"/>
              <w:left w:val="nil"/>
              <w:bottom w:val="single" w:sz="8" w:space="0" w:color="auto"/>
              <w:right w:val="nil"/>
            </w:tcBorders>
            <w:shd w:val="clear" w:color="000000" w:fill="6FE7FF"/>
            <w:vAlign w:val="center"/>
            <w:hideMark/>
          </w:tcPr>
          <w:p w14:paraId="075CF2C0"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13D96CBF"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172D8952"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48F9CF87"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29B457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4"/>
            <w:tcBorders>
              <w:top w:val="nil"/>
              <w:left w:val="nil"/>
              <w:bottom w:val="single" w:sz="8" w:space="0" w:color="auto"/>
              <w:right w:val="nil"/>
            </w:tcBorders>
            <w:shd w:val="clear" w:color="000000" w:fill="6FE7FF"/>
            <w:vAlign w:val="center"/>
            <w:hideMark/>
          </w:tcPr>
          <w:p w14:paraId="09C57EEA"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8A29AD1"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11A2C87"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42B0066"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70BB1C39"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536A85F"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CE6337B"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651CFE6"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tcBorders>
              <w:top w:val="nil"/>
              <w:left w:val="nil"/>
              <w:bottom w:val="single" w:sz="8" w:space="0" w:color="auto"/>
              <w:right w:val="nil"/>
            </w:tcBorders>
            <w:shd w:val="clear" w:color="000000" w:fill="6FE7FF"/>
            <w:vAlign w:val="center"/>
            <w:hideMark/>
          </w:tcPr>
          <w:p w14:paraId="5BA178B4"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r>
      <w:tr w:rsidR="000331F8" w:rsidRPr="0062158E" w14:paraId="26C03B86" w14:textId="77777777" w:rsidTr="00B84551">
        <w:trPr>
          <w:trHeight w:val="70"/>
        </w:trPr>
        <w:tc>
          <w:tcPr>
            <w:tcW w:w="810" w:type="dxa"/>
            <w:gridSpan w:val="3"/>
            <w:tcBorders>
              <w:top w:val="nil"/>
              <w:left w:val="nil"/>
              <w:bottom w:val="nil"/>
              <w:right w:val="nil"/>
            </w:tcBorders>
            <w:shd w:val="clear" w:color="auto" w:fill="auto"/>
            <w:vAlign w:val="bottom"/>
          </w:tcPr>
          <w:p w14:paraId="13D68A3C" w14:textId="77777777" w:rsidR="000331F8" w:rsidRPr="0062158E" w:rsidRDefault="000331F8" w:rsidP="00241538">
            <w:pPr>
              <w:spacing w:after="0" w:line="240" w:lineRule="auto"/>
              <w:jc w:val="center"/>
              <w:rPr>
                <w:rFonts w:eastAsia="Times New Roman" w:cs="Calibri"/>
                <w:color w:val="FF0000"/>
                <w:sz w:val="16"/>
                <w:szCs w:val="16"/>
              </w:rPr>
            </w:pPr>
          </w:p>
        </w:tc>
        <w:tc>
          <w:tcPr>
            <w:tcW w:w="960" w:type="dxa"/>
            <w:gridSpan w:val="2"/>
            <w:tcBorders>
              <w:top w:val="nil"/>
              <w:left w:val="nil"/>
              <w:bottom w:val="nil"/>
              <w:right w:val="nil"/>
            </w:tcBorders>
            <w:shd w:val="clear" w:color="auto" w:fill="auto"/>
            <w:vAlign w:val="bottom"/>
          </w:tcPr>
          <w:p w14:paraId="2881D9F1" w14:textId="77777777" w:rsidR="000331F8" w:rsidRPr="0062158E" w:rsidRDefault="000331F8" w:rsidP="00241538">
            <w:pPr>
              <w:spacing w:after="0" w:line="240" w:lineRule="auto"/>
              <w:rPr>
                <w:rFonts w:ascii="Times New Roman" w:eastAsia="Times New Roman" w:hAnsi="Times New Roman"/>
                <w:sz w:val="16"/>
                <w:szCs w:val="16"/>
              </w:rPr>
            </w:pPr>
          </w:p>
        </w:tc>
        <w:tc>
          <w:tcPr>
            <w:tcW w:w="1200" w:type="dxa"/>
            <w:tcBorders>
              <w:top w:val="nil"/>
              <w:left w:val="nil"/>
              <w:bottom w:val="nil"/>
              <w:right w:val="single" w:sz="8" w:space="0" w:color="auto"/>
            </w:tcBorders>
            <w:shd w:val="clear" w:color="auto" w:fill="auto"/>
            <w:vAlign w:val="bottom"/>
          </w:tcPr>
          <w:p w14:paraId="1892CA98" w14:textId="77777777" w:rsidR="000331F8" w:rsidRPr="0062158E" w:rsidRDefault="000331F8" w:rsidP="00241538">
            <w:pPr>
              <w:spacing w:after="0" w:line="240" w:lineRule="auto"/>
              <w:rPr>
                <w:rFonts w:eastAsia="Times New Roman" w:cs="Calibri"/>
                <w:sz w:val="16"/>
                <w:szCs w:val="16"/>
              </w:rPr>
            </w:pPr>
          </w:p>
        </w:tc>
        <w:tc>
          <w:tcPr>
            <w:tcW w:w="1350" w:type="dxa"/>
            <w:gridSpan w:val="2"/>
            <w:tcBorders>
              <w:top w:val="nil"/>
              <w:left w:val="nil"/>
              <w:bottom w:val="single" w:sz="8" w:space="0" w:color="auto"/>
              <w:right w:val="nil"/>
            </w:tcBorders>
            <w:shd w:val="clear" w:color="auto" w:fill="auto"/>
            <w:vAlign w:val="center"/>
          </w:tcPr>
          <w:p w14:paraId="5272ED1A" w14:textId="77777777" w:rsidR="000331F8" w:rsidRPr="0062158E" w:rsidRDefault="000331F8" w:rsidP="00241538">
            <w:pPr>
              <w:spacing w:after="0" w:line="240" w:lineRule="auto"/>
              <w:rPr>
                <w:rFonts w:eastAsia="Times New Roman" w:cs="Calibri"/>
                <w:sz w:val="16"/>
                <w:szCs w:val="16"/>
              </w:rPr>
            </w:pPr>
            <w:r w:rsidRPr="0062158E">
              <w:rPr>
                <w:rFonts w:eastAsia="Times New Roman" w:cs="Calibri"/>
                <w:sz w:val="16"/>
                <w:szCs w:val="16"/>
              </w:rPr>
              <w:t>Activity 1.</w:t>
            </w:r>
          </w:p>
        </w:tc>
        <w:tc>
          <w:tcPr>
            <w:tcW w:w="3150" w:type="dxa"/>
            <w:tcBorders>
              <w:top w:val="single" w:sz="8" w:space="0" w:color="auto"/>
              <w:left w:val="nil"/>
              <w:bottom w:val="single" w:sz="8" w:space="0" w:color="auto"/>
              <w:right w:val="single" w:sz="4" w:space="0" w:color="auto"/>
            </w:tcBorders>
            <w:shd w:val="clear" w:color="auto" w:fill="auto"/>
            <w:vAlign w:val="center"/>
          </w:tcPr>
          <w:p w14:paraId="1DFEEE04" w14:textId="77777777" w:rsidR="000331F8" w:rsidRPr="0062158E" w:rsidRDefault="000331F8" w:rsidP="00241538">
            <w:pPr>
              <w:spacing w:after="0" w:line="240" w:lineRule="auto"/>
              <w:rPr>
                <w:rFonts w:eastAsia="Times New Roman" w:cs="Calibri"/>
                <w:sz w:val="16"/>
                <w:szCs w:val="16"/>
              </w:rPr>
            </w:pPr>
            <w:r w:rsidRPr="002A71A0">
              <w:rPr>
                <w:rFonts w:eastAsia="Times New Roman" w:cs="Calibri"/>
                <w:sz w:val="16"/>
                <w:szCs w:val="16"/>
              </w:rPr>
              <w:t>Introducing documents for strengthening the integrity of the procurement process</w:t>
            </w:r>
          </w:p>
        </w:tc>
        <w:tc>
          <w:tcPr>
            <w:tcW w:w="630" w:type="dxa"/>
            <w:gridSpan w:val="3"/>
            <w:tcBorders>
              <w:top w:val="nil"/>
              <w:left w:val="single" w:sz="4" w:space="0" w:color="auto"/>
              <w:bottom w:val="single" w:sz="8" w:space="0" w:color="auto"/>
              <w:right w:val="single" w:sz="8" w:space="0" w:color="auto"/>
            </w:tcBorders>
            <w:shd w:val="clear" w:color="000000" w:fill="0000FF"/>
            <w:vAlign w:val="center"/>
          </w:tcPr>
          <w:p w14:paraId="57FDD4B0" w14:textId="77777777" w:rsidR="000331F8" w:rsidRPr="00C12D21" w:rsidRDefault="000331F8" w:rsidP="00241538">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3FD5377C" w14:textId="77777777" w:rsidR="000331F8" w:rsidRPr="00C12D21" w:rsidRDefault="000331F8" w:rsidP="00241538">
            <w:pPr>
              <w:spacing w:after="0" w:line="240" w:lineRule="auto"/>
              <w:jc w:val="center"/>
              <w:rPr>
                <w:rFonts w:eastAsia="Times New Roman" w:cs="Calibri"/>
                <w:color w:val="FFFFFF"/>
                <w:sz w:val="16"/>
                <w:szCs w:val="16"/>
              </w:rPr>
            </w:pPr>
          </w:p>
        </w:tc>
        <w:tc>
          <w:tcPr>
            <w:tcW w:w="510" w:type="dxa"/>
            <w:gridSpan w:val="3"/>
            <w:tcBorders>
              <w:top w:val="nil"/>
              <w:left w:val="nil"/>
              <w:bottom w:val="single" w:sz="8" w:space="0" w:color="auto"/>
              <w:right w:val="single" w:sz="8" w:space="0" w:color="auto"/>
            </w:tcBorders>
            <w:shd w:val="clear" w:color="000000" w:fill="0000FF"/>
            <w:vAlign w:val="center"/>
          </w:tcPr>
          <w:p w14:paraId="71BE57D3" w14:textId="77777777" w:rsidR="000331F8" w:rsidRPr="00C12D21" w:rsidRDefault="000331F8" w:rsidP="00241538">
            <w:pPr>
              <w:spacing w:after="0" w:line="240" w:lineRule="auto"/>
              <w:jc w:val="center"/>
              <w:rPr>
                <w:rFonts w:eastAsia="Times New Roman" w:cs="Calibri"/>
                <w:color w:val="FFFFFF"/>
                <w:sz w:val="16"/>
                <w:szCs w:val="16"/>
              </w:rPr>
            </w:pPr>
          </w:p>
        </w:tc>
        <w:tc>
          <w:tcPr>
            <w:tcW w:w="480" w:type="dxa"/>
            <w:gridSpan w:val="3"/>
            <w:tcBorders>
              <w:top w:val="nil"/>
              <w:left w:val="nil"/>
              <w:bottom w:val="single" w:sz="8" w:space="0" w:color="auto"/>
              <w:right w:val="single" w:sz="8" w:space="0" w:color="auto"/>
            </w:tcBorders>
            <w:shd w:val="clear" w:color="000000" w:fill="0000FF"/>
            <w:vAlign w:val="center"/>
          </w:tcPr>
          <w:p w14:paraId="2E3C3A4E" w14:textId="77777777" w:rsidR="000331F8" w:rsidRPr="00C12D21" w:rsidRDefault="000331F8" w:rsidP="00241538">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57959787" w14:textId="77777777" w:rsidR="000331F8" w:rsidRPr="00C12D21" w:rsidRDefault="000331F8" w:rsidP="00241538">
            <w:pPr>
              <w:spacing w:after="0" w:line="240" w:lineRule="auto"/>
              <w:jc w:val="center"/>
              <w:rPr>
                <w:rFonts w:eastAsia="Times New Roman" w:cs="Calibri"/>
                <w:color w:val="FFFFFF"/>
                <w:sz w:val="16"/>
                <w:szCs w:val="16"/>
              </w:rPr>
            </w:pPr>
          </w:p>
        </w:tc>
        <w:tc>
          <w:tcPr>
            <w:tcW w:w="540" w:type="dxa"/>
            <w:gridSpan w:val="3"/>
            <w:tcBorders>
              <w:top w:val="nil"/>
              <w:left w:val="nil"/>
              <w:bottom w:val="single" w:sz="8" w:space="0" w:color="auto"/>
              <w:right w:val="single" w:sz="8" w:space="0" w:color="auto"/>
            </w:tcBorders>
            <w:shd w:val="clear" w:color="000000" w:fill="0000FF"/>
            <w:vAlign w:val="center"/>
          </w:tcPr>
          <w:p w14:paraId="20E3040A" w14:textId="77777777" w:rsidR="000331F8" w:rsidRPr="00C12D21" w:rsidRDefault="000331F8" w:rsidP="00241538">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401EBFFC" w14:textId="77777777" w:rsidR="000331F8" w:rsidRPr="00C12D21" w:rsidRDefault="000331F8" w:rsidP="00241538">
            <w:pPr>
              <w:spacing w:after="0" w:line="240" w:lineRule="auto"/>
              <w:jc w:val="center"/>
              <w:rPr>
                <w:rFonts w:eastAsia="Times New Roman" w:cs="Calibri"/>
                <w:color w:val="FFFFFF"/>
                <w:sz w:val="16"/>
                <w:szCs w:val="16"/>
              </w:rPr>
            </w:pPr>
          </w:p>
        </w:tc>
        <w:tc>
          <w:tcPr>
            <w:tcW w:w="540" w:type="dxa"/>
            <w:gridSpan w:val="4"/>
            <w:tcBorders>
              <w:top w:val="nil"/>
              <w:left w:val="nil"/>
              <w:bottom w:val="single" w:sz="8" w:space="0" w:color="auto"/>
              <w:right w:val="single" w:sz="8" w:space="0" w:color="auto"/>
            </w:tcBorders>
            <w:shd w:val="clear" w:color="000000" w:fill="0000FF"/>
            <w:vAlign w:val="center"/>
          </w:tcPr>
          <w:p w14:paraId="76B803E8" w14:textId="77777777" w:rsidR="000331F8" w:rsidRPr="00C12D21" w:rsidRDefault="000331F8" w:rsidP="00241538">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0C7AC190"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5C60628A"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2"/>
            <w:tcBorders>
              <w:top w:val="nil"/>
              <w:left w:val="nil"/>
              <w:bottom w:val="single" w:sz="8" w:space="0" w:color="auto"/>
              <w:right w:val="single" w:sz="8" w:space="0" w:color="auto"/>
            </w:tcBorders>
            <w:shd w:val="clear" w:color="000000" w:fill="FFFFFF"/>
            <w:vAlign w:val="center"/>
          </w:tcPr>
          <w:p w14:paraId="78B12EEE"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4"/>
            <w:tcBorders>
              <w:top w:val="nil"/>
              <w:left w:val="nil"/>
              <w:bottom w:val="single" w:sz="8" w:space="0" w:color="auto"/>
              <w:right w:val="single" w:sz="8" w:space="0" w:color="auto"/>
            </w:tcBorders>
            <w:shd w:val="clear" w:color="000000" w:fill="FFFFFF"/>
            <w:vAlign w:val="center"/>
          </w:tcPr>
          <w:p w14:paraId="406268C1"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1A599D8A"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7AFD8069"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6A342EB5" w14:textId="77777777" w:rsidR="000331F8" w:rsidRPr="0062158E" w:rsidRDefault="000331F8" w:rsidP="00241538">
            <w:pPr>
              <w:spacing w:after="0" w:line="240" w:lineRule="auto"/>
              <w:jc w:val="center"/>
              <w:rPr>
                <w:rFonts w:eastAsia="Times New Roman" w:cs="Calibri"/>
                <w:color w:val="FF0000"/>
                <w:sz w:val="16"/>
                <w:szCs w:val="16"/>
              </w:rPr>
            </w:pPr>
          </w:p>
        </w:tc>
        <w:tc>
          <w:tcPr>
            <w:tcW w:w="540" w:type="dxa"/>
            <w:tcBorders>
              <w:top w:val="nil"/>
              <w:left w:val="nil"/>
              <w:bottom w:val="single" w:sz="8" w:space="0" w:color="auto"/>
              <w:right w:val="single" w:sz="8" w:space="0" w:color="auto"/>
            </w:tcBorders>
            <w:shd w:val="clear" w:color="000000" w:fill="FFFFFF"/>
            <w:vAlign w:val="center"/>
          </w:tcPr>
          <w:p w14:paraId="6EF0CB9D" w14:textId="77777777" w:rsidR="000331F8" w:rsidRPr="0062158E" w:rsidRDefault="000331F8" w:rsidP="00241538">
            <w:pPr>
              <w:spacing w:after="0" w:line="240" w:lineRule="auto"/>
              <w:jc w:val="center"/>
              <w:rPr>
                <w:rFonts w:eastAsia="Times New Roman" w:cs="Calibri"/>
                <w:color w:val="FF0000"/>
                <w:sz w:val="16"/>
                <w:szCs w:val="16"/>
              </w:rPr>
            </w:pPr>
          </w:p>
        </w:tc>
      </w:tr>
      <w:tr w:rsidR="000331F8" w:rsidRPr="0062158E" w14:paraId="76A29DFB" w14:textId="77777777" w:rsidTr="00B84551">
        <w:trPr>
          <w:trHeight w:val="693"/>
        </w:trPr>
        <w:tc>
          <w:tcPr>
            <w:tcW w:w="810" w:type="dxa"/>
            <w:gridSpan w:val="3"/>
            <w:tcBorders>
              <w:top w:val="nil"/>
              <w:left w:val="nil"/>
              <w:bottom w:val="nil"/>
              <w:right w:val="nil"/>
            </w:tcBorders>
            <w:shd w:val="clear" w:color="000000" w:fill="6FE7FF"/>
            <w:vAlign w:val="center"/>
            <w:hideMark/>
          </w:tcPr>
          <w:p w14:paraId="37B85654"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35D49568"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1200" w:type="dxa"/>
            <w:tcBorders>
              <w:top w:val="nil"/>
              <w:left w:val="nil"/>
              <w:bottom w:val="nil"/>
              <w:right w:val="nil"/>
            </w:tcBorders>
            <w:shd w:val="clear" w:color="000000" w:fill="6FE7FF"/>
            <w:vAlign w:val="center"/>
            <w:hideMark/>
          </w:tcPr>
          <w:p w14:paraId="377475C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xml:space="preserve">Measure </w:t>
            </w:r>
            <w:r>
              <w:rPr>
                <w:rFonts w:eastAsia="Times New Roman" w:cs="Calibri"/>
                <w:b/>
                <w:bCs/>
                <w:sz w:val="16"/>
                <w:szCs w:val="16"/>
                <w:lang w:val="en-GB"/>
              </w:rPr>
              <w:t>3</w:t>
            </w:r>
            <w:r w:rsidRPr="0062158E">
              <w:rPr>
                <w:rFonts w:eastAsia="Times New Roman" w:cs="Calibri"/>
                <w:b/>
                <w:bCs/>
                <w:sz w:val="16"/>
                <w:szCs w:val="16"/>
              </w:rPr>
              <w:t>.</w:t>
            </w:r>
          </w:p>
        </w:tc>
        <w:tc>
          <w:tcPr>
            <w:tcW w:w="1350" w:type="dxa"/>
            <w:gridSpan w:val="2"/>
            <w:tcBorders>
              <w:top w:val="nil"/>
              <w:left w:val="nil"/>
              <w:bottom w:val="single" w:sz="8" w:space="0" w:color="auto"/>
              <w:right w:val="nil"/>
            </w:tcBorders>
            <w:shd w:val="clear" w:color="000000" w:fill="6FE7FF"/>
            <w:vAlign w:val="center"/>
            <w:hideMark/>
          </w:tcPr>
          <w:p w14:paraId="09D7E3B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3150" w:type="dxa"/>
            <w:tcBorders>
              <w:top w:val="nil"/>
              <w:left w:val="nil"/>
              <w:bottom w:val="single" w:sz="8" w:space="0" w:color="auto"/>
              <w:right w:val="nil"/>
            </w:tcBorders>
            <w:shd w:val="clear" w:color="000000" w:fill="6FE7FF"/>
            <w:vAlign w:val="center"/>
            <w:hideMark/>
          </w:tcPr>
          <w:p w14:paraId="3A4867DB" w14:textId="77777777" w:rsidR="000331F8" w:rsidRPr="0062158E" w:rsidRDefault="000331F8" w:rsidP="00241538">
            <w:pPr>
              <w:spacing w:after="0" w:line="240" w:lineRule="auto"/>
              <w:rPr>
                <w:rFonts w:eastAsia="Times New Roman" w:cs="Calibri"/>
                <w:b/>
                <w:bCs/>
                <w:sz w:val="16"/>
                <w:szCs w:val="16"/>
              </w:rPr>
            </w:pPr>
            <w:r w:rsidRPr="002A71A0">
              <w:rPr>
                <w:rFonts w:eastAsia="Times New Roman" w:cs="Calibri"/>
                <w:b/>
                <w:bCs/>
                <w:sz w:val="16"/>
                <w:szCs w:val="16"/>
              </w:rPr>
              <w:t>Introducing new system for education within PPB</w:t>
            </w:r>
          </w:p>
        </w:tc>
        <w:tc>
          <w:tcPr>
            <w:tcW w:w="630" w:type="dxa"/>
            <w:gridSpan w:val="3"/>
            <w:tcBorders>
              <w:top w:val="nil"/>
              <w:left w:val="nil"/>
              <w:bottom w:val="single" w:sz="8" w:space="0" w:color="auto"/>
              <w:right w:val="nil"/>
            </w:tcBorders>
            <w:shd w:val="clear" w:color="000000" w:fill="6FE7FF"/>
            <w:vAlign w:val="center"/>
            <w:hideMark/>
          </w:tcPr>
          <w:p w14:paraId="06C51E1E"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53212B68"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10" w:type="dxa"/>
            <w:gridSpan w:val="3"/>
            <w:tcBorders>
              <w:top w:val="nil"/>
              <w:left w:val="nil"/>
              <w:bottom w:val="single" w:sz="8" w:space="0" w:color="auto"/>
              <w:right w:val="nil"/>
            </w:tcBorders>
            <w:shd w:val="clear" w:color="000000" w:fill="6FE7FF"/>
            <w:vAlign w:val="center"/>
            <w:hideMark/>
          </w:tcPr>
          <w:p w14:paraId="3A8B0BB3"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034CA07B"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2DB548FB"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EBD84CD"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79C7F1E"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4"/>
            <w:tcBorders>
              <w:top w:val="nil"/>
              <w:left w:val="nil"/>
              <w:bottom w:val="single" w:sz="8" w:space="0" w:color="auto"/>
              <w:right w:val="nil"/>
            </w:tcBorders>
            <w:shd w:val="clear" w:color="000000" w:fill="6FE7FF"/>
            <w:vAlign w:val="center"/>
            <w:hideMark/>
          </w:tcPr>
          <w:p w14:paraId="79C58925"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A2B5C2F"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C7C47C5"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26DA4276"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1E345FF1"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A51676F"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FF9E0B7"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02ED30E"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tcBorders>
              <w:top w:val="nil"/>
              <w:left w:val="nil"/>
              <w:bottom w:val="single" w:sz="8" w:space="0" w:color="auto"/>
              <w:right w:val="nil"/>
            </w:tcBorders>
            <w:shd w:val="clear" w:color="000000" w:fill="6FE7FF"/>
            <w:vAlign w:val="center"/>
            <w:hideMark/>
          </w:tcPr>
          <w:p w14:paraId="0F637C42"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r>
      <w:tr w:rsidR="000331F8" w:rsidRPr="0062158E" w14:paraId="7B965F85" w14:textId="77777777" w:rsidTr="00B84551">
        <w:trPr>
          <w:trHeight w:val="70"/>
        </w:trPr>
        <w:tc>
          <w:tcPr>
            <w:tcW w:w="810" w:type="dxa"/>
            <w:gridSpan w:val="3"/>
            <w:tcBorders>
              <w:top w:val="nil"/>
              <w:left w:val="nil"/>
              <w:bottom w:val="nil"/>
              <w:right w:val="nil"/>
            </w:tcBorders>
            <w:shd w:val="clear" w:color="auto" w:fill="auto"/>
            <w:vAlign w:val="bottom"/>
          </w:tcPr>
          <w:p w14:paraId="57939441" w14:textId="77777777" w:rsidR="000331F8" w:rsidRPr="0062158E" w:rsidRDefault="000331F8" w:rsidP="00241538">
            <w:pPr>
              <w:spacing w:after="0" w:line="240" w:lineRule="auto"/>
              <w:jc w:val="center"/>
              <w:rPr>
                <w:rFonts w:eastAsia="Times New Roman" w:cs="Calibri"/>
                <w:color w:val="FF0000"/>
                <w:sz w:val="16"/>
                <w:szCs w:val="16"/>
              </w:rPr>
            </w:pPr>
          </w:p>
        </w:tc>
        <w:tc>
          <w:tcPr>
            <w:tcW w:w="960" w:type="dxa"/>
            <w:gridSpan w:val="2"/>
            <w:tcBorders>
              <w:top w:val="nil"/>
              <w:left w:val="nil"/>
              <w:bottom w:val="nil"/>
              <w:right w:val="nil"/>
            </w:tcBorders>
            <w:shd w:val="clear" w:color="auto" w:fill="auto"/>
            <w:vAlign w:val="bottom"/>
          </w:tcPr>
          <w:p w14:paraId="53AB5502" w14:textId="77777777" w:rsidR="000331F8" w:rsidRPr="0062158E" w:rsidRDefault="000331F8" w:rsidP="00241538">
            <w:pPr>
              <w:spacing w:after="0" w:line="240" w:lineRule="auto"/>
              <w:rPr>
                <w:rFonts w:ascii="Times New Roman" w:eastAsia="Times New Roman" w:hAnsi="Times New Roman"/>
                <w:sz w:val="16"/>
                <w:szCs w:val="16"/>
              </w:rPr>
            </w:pPr>
          </w:p>
        </w:tc>
        <w:tc>
          <w:tcPr>
            <w:tcW w:w="1200" w:type="dxa"/>
            <w:tcBorders>
              <w:top w:val="nil"/>
              <w:left w:val="nil"/>
              <w:bottom w:val="nil"/>
              <w:right w:val="single" w:sz="8" w:space="0" w:color="auto"/>
            </w:tcBorders>
            <w:shd w:val="clear" w:color="auto" w:fill="auto"/>
            <w:vAlign w:val="bottom"/>
          </w:tcPr>
          <w:p w14:paraId="6EE90DEF" w14:textId="77777777" w:rsidR="000331F8" w:rsidRPr="0062158E" w:rsidRDefault="000331F8" w:rsidP="00241538">
            <w:pPr>
              <w:spacing w:after="0" w:line="240" w:lineRule="auto"/>
              <w:rPr>
                <w:rFonts w:eastAsia="Times New Roman" w:cs="Calibri"/>
                <w:sz w:val="16"/>
                <w:szCs w:val="16"/>
              </w:rPr>
            </w:pPr>
          </w:p>
        </w:tc>
        <w:tc>
          <w:tcPr>
            <w:tcW w:w="1350" w:type="dxa"/>
            <w:gridSpan w:val="2"/>
            <w:tcBorders>
              <w:top w:val="nil"/>
              <w:left w:val="nil"/>
              <w:bottom w:val="single" w:sz="8" w:space="0" w:color="auto"/>
              <w:right w:val="nil"/>
            </w:tcBorders>
            <w:shd w:val="clear" w:color="auto" w:fill="auto"/>
            <w:vAlign w:val="center"/>
          </w:tcPr>
          <w:p w14:paraId="7DC86C5A" w14:textId="77777777" w:rsidR="000331F8" w:rsidRPr="0062158E" w:rsidRDefault="000331F8" w:rsidP="00241538">
            <w:pPr>
              <w:spacing w:after="0" w:line="240" w:lineRule="auto"/>
              <w:rPr>
                <w:rFonts w:eastAsia="Times New Roman" w:cs="Calibri"/>
                <w:sz w:val="16"/>
                <w:szCs w:val="16"/>
              </w:rPr>
            </w:pPr>
            <w:r w:rsidRPr="0062158E">
              <w:rPr>
                <w:rFonts w:eastAsia="Times New Roman" w:cs="Calibri"/>
                <w:sz w:val="16"/>
                <w:szCs w:val="16"/>
              </w:rPr>
              <w:t>Activity 1.</w:t>
            </w:r>
          </w:p>
        </w:tc>
        <w:tc>
          <w:tcPr>
            <w:tcW w:w="3150" w:type="dxa"/>
            <w:tcBorders>
              <w:top w:val="single" w:sz="8" w:space="0" w:color="auto"/>
              <w:left w:val="nil"/>
              <w:bottom w:val="single" w:sz="8" w:space="0" w:color="auto"/>
              <w:right w:val="single" w:sz="4" w:space="0" w:color="auto"/>
            </w:tcBorders>
            <w:shd w:val="clear" w:color="auto" w:fill="auto"/>
            <w:vAlign w:val="center"/>
          </w:tcPr>
          <w:p w14:paraId="0CF1B382" w14:textId="77777777" w:rsidR="000331F8" w:rsidRPr="0062158E" w:rsidRDefault="000331F8" w:rsidP="00241538">
            <w:pPr>
              <w:spacing w:after="0" w:line="240" w:lineRule="auto"/>
              <w:rPr>
                <w:rFonts w:eastAsia="Times New Roman" w:cs="Calibri"/>
                <w:sz w:val="16"/>
                <w:szCs w:val="16"/>
              </w:rPr>
            </w:pPr>
            <w:r w:rsidRPr="002A71A0">
              <w:rPr>
                <w:rFonts w:eastAsia="Times New Roman" w:cs="Calibri"/>
                <w:sz w:val="16"/>
                <w:szCs w:val="16"/>
              </w:rPr>
              <w:t>Revision of the education programme</w:t>
            </w:r>
          </w:p>
        </w:tc>
        <w:tc>
          <w:tcPr>
            <w:tcW w:w="630" w:type="dxa"/>
            <w:gridSpan w:val="3"/>
            <w:tcBorders>
              <w:top w:val="nil"/>
              <w:left w:val="single" w:sz="4" w:space="0" w:color="auto"/>
              <w:bottom w:val="single" w:sz="8" w:space="0" w:color="auto"/>
              <w:right w:val="single" w:sz="8" w:space="0" w:color="auto"/>
            </w:tcBorders>
            <w:shd w:val="clear" w:color="000000" w:fill="0000FF"/>
            <w:vAlign w:val="center"/>
          </w:tcPr>
          <w:p w14:paraId="2F802A9D" w14:textId="77777777" w:rsidR="000331F8" w:rsidRPr="0062158E" w:rsidRDefault="000331F8" w:rsidP="00241538">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62EF9F33" w14:textId="77777777" w:rsidR="000331F8" w:rsidRPr="0062158E" w:rsidRDefault="000331F8" w:rsidP="00241538">
            <w:pPr>
              <w:spacing w:after="0" w:line="240" w:lineRule="auto"/>
              <w:jc w:val="center"/>
              <w:rPr>
                <w:rFonts w:eastAsia="Times New Roman" w:cs="Calibri"/>
                <w:color w:val="FFFFFF"/>
                <w:sz w:val="16"/>
                <w:szCs w:val="16"/>
              </w:rPr>
            </w:pPr>
          </w:p>
        </w:tc>
        <w:tc>
          <w:tcPr>
            <w:tcW w:w="510" w:type="dxa"/>
            <w:gridSpan w:val="3"/>
            <w:tcBorders>
              <w:top w:val="nil"/>
              <w:left w:val="nil"/>
              <w:bottom w:val="single" w:sz="8" w:space="0" w:color="auto"/>
              <w:right w:val="single" w:sz="8" w:space="0" w:color="auto"/>
            </w:tcBorders>
            <w:shd w:val="clear" w:color="000000" w:fill="0000FF"/>
            <w:vAlign w:val="center"/>
          </w:tcPr>
          <w:p w14:paraId="1DBB6363" w14:textId="77777777" w:rsidR="000331F8" w:rsidRPr="0062158E" w:rsidRDefault="000331F8" w:rsidP="00241538">
            <w:pPr>
              <w:spacing w:after="0" w:line="240" w:lineRule="auto"/>
              <w:jc w:val="center"/>
              <w:rPr>
                <w:rFonts w:eastAsia="Times New Roman" w:cs="Calibri"/>
                <w:color w:val="FFFFFF"/>
                <w:sz w:val="16"/>
                <w:szCs w:val="16"/>
              </w:rPr>
            </w:pPr>
          </w:p>
        </w:tc>
        <w:tc>
          <w:tcPr>
            <w:tcW w:w="480" w:type="dxa"/>
            <w:gridSpan w:val="3"/>
            <w:tcBorders>
              <w:top w:val="nil"/>
              <w:left w:val="nil"/>
              <w:bottom w:val="single" w:sz="8" w:space="0" w:color="auto"/>
              <w:right w:val="single" w:sz="8" w:space="0" w:color="auto"/>
            </w:tcBorders>
            <w:shd w:val="clear" w:color="000000" w:fill="0000FF"/>
            <w:vAlign w:val="center"/>
          </w:tcPr>
          <w:p w14:paraId="38E08A1B" w14:textId="77777777" w:rsidR="000331F8" w:rsidRPr="0062158E" w:rsidRDefault="000331F8" w:rsidP="00241538">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191F100B" w14:textId="77777777" w:rsidR="000331F8" w:rsidRPr="0062158E" w:rsidRDefault="000331F8" w:rsidP="00241538">
            <w:pPr>
              <w:spacing w:after="0" w:line="240" w:lineRule="auto"/>
              <w:jc w:val="center"/>
              <w:rPr>
                <w:rFonts w:eastAsia="Times New Roman" w:cs="Calibri"/>
                <w:color w:val="FFFFFF"/>
                <w:sz w:val="16"/>
                <w:szCs w:val="16"/>
              </w:rPr>
            </w:pPr>
          </w:p>
        </w:tc>
        <w:tc>
          <w:tcPr>
            <w:tcW w:w="540" w:type="dxa"/>
            <w:gridSpan w:val="3"/>
            <w:tcBorders>
              <w:top w:val="nil"/>
              <w:left w:val="nil"/>
              <w:bottom w:val="single" w:sz="8" w:space="0" w:color="auto"/>
              <w:right w:val="single" w:sz="8" w:space="0" w:color="auto"/>
            </w:tcBorders>
            <w:shd w:val="clear" w:color="000000" w:fill="0000FF"/>
            <w:vAlign w:val="center"/>
          </w:tcPr>
          <w:p w14:paraId="57B72E7E" w14:textId="77777777" w:rsidR="000331F8" w:rsidRPr="0062158E" w:rsidRDefault="000331F8" w:rsidP="00241538">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297F6FF7" w14:textId="77777777" w:rsidR="000331F8" w:rsidRPr="0062158E" w:rsidRDefault="000331F8" w:rsidP="00241538">
            <w:pPr>
              <w:spacing w:after="0" w:line="240" w:lineRule="auto"/>
              <w:jc w:val="center"/>
              <w:rPr>
                <w:rFonts w:eastAsia="Times New Roman" w:cs="Calibri"/>
                <w:color w:val="FFFFFF"/>
                <w:sz w:val="16"/>
                <w:szCs w:val="16"/>
              </w:rPr>
            </w:pPr>
          </w:p>
        </w:tc>
        <w:tc>
          <w:tcPr>
            <w:tcW w:w="540" w:type="dxa"/>
            <w:gridSpan w:val="4"/>
            <w:tcBorders>
              <w:top w:val="nil"/>
              <w:left w:val="nil"/>
              <w:bottom w:val="single" w:sz="8" w:space="0" w:color="auto"/>
              <w:right w:val="single" w:sz="8" w:space="0" w:color="auto"/>
            </w:tcBorders>
            <w:shd w:val="clear" w:color="000000" w:fill="0000FF"/>
            <w:vAlign w:val="center"/>
          </w:tcPr>
          <w:p w14:paraId="18F7288E" w14:textId="77777777" w:rsidR="000331F8" w:rsidRPr="0062158E" w:rsidRDefault="000331F8" w:rsidP="00241538">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5CDB908C"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6E453734"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2"/>
            <w:tcBorders>
              <w:top w:val="nil"/>
              <w:left w:val="nil"/>
              <w:bottom w:val="single" w:sz="8" w:space="0" w:color="auto"/>
              <w:right w:val="single" w:sz="8" w:space="0" w:color="auto"/>
            </w:tcBorders>
            <w:shd w:val="clear" w:color="000000" w:fill="FFFFFF"/>
            <w:vAlign w:val="center"/>
          </w:tcPr>
          <w:p w14:paraId="7063B8C1"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4"/>
            <w:tcBorders>
              <w:top w:val="nil"/>
              <w:left w:val="nil"/>
              <w:bottom w:val="single" w:sz="8" w:space="0" w:color="auto"/>
              <w:right w:val="single" w:sz="8" w:space="0" w:color="auto"/>
            </w:tcBorders>
            <w:shd w:val="clear" w:color="000000" w:fill="FFFFFF"/>
            <w:vAlign w:val="center"/>
          </w:tcPr>
          <w:p w14:paraId="3CB3AF7C"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54600D20"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03E45FBE" w14:textId="77777777" w:rsidR="000331F8" w:rsidRPr="0062158E" w:rsidRDefault="000331F8" w:rsidP="00241538">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6B39AAB4" w14:textId="77777777" w:rsidR="000331F8" w:rsidRPr="0062158E" w:rsidRDefault="000331F8" w:rsidP="00241538">
            <w:pPr>
              <w:spacing w:after="0" w:line="240" w:lineRule="auto"/>
              <w:jc w:val="center"/>
              <w:rPr>
                <w:rFonts w:eastAsia="Times New Roman" w:cs="Calibri"/>
                <w:color w:val="FF0000"/>
                <w:sz w:val="16"/>
                <w:szCs w:val="16"/>
              </w:rPr>
            </w:pPr>
          </w:p>
        </w:tc>
        <w:tc>
          <w:tcPr>
            <w:tcW w:w="540" w:type="dxa"/>
            <w:tcBorders>
              <w:top w:val="nil"/>
              <w:left w:val="nil"/>
              <w:bottom w:val="single" w:sz="8" w:space="0" w:color="auto"/>
              <w:right w:val="single" w:sz="8" w:space="0" w:color="auto"/>
            </w:tcBorders>
            <w:shd w:val="clear" w:color="000000" w:fill="FFFFFF"/>
            <w:vAlign w:val="center"/>
          </w:tcPr>
          <w:p w14:paraId="1E569B73" w14:textId="77777777" w:rsidR="000331F8" w:rsidRPr="0062158E" w:rsidRDefault="000331F8" w:rsidP="00241538">
            <w:pPr>
              <w:spacing w:after="0" w:line="240" w:lineRule="auto"/>
              <w:jc w:val="center"/>
              <w:rPr>
                <w:rFonts w:eastAsia="Times New Roman" w:cs="Calibri"/>
                <w:color w:val="FF0000"/>
                <w:sz w:val="16"/>
                <w:szCs w:val="16"/>
              </w:rPr>
            </w:pPr>
          </w:p>
        </w:tc>
      </w:tr>
      <w:tr w:rsidR="00C84918" w:rsidRPr="0062158E" w14:paraId="16AB3F33" w14:textId="77777777" w:rsidTr="00B84551">
        <w:trPr>
          <w:trHeight w:val="693"/>
        </w:trPr>
        <w:tc>
          <w:tcPr>
            <w:tcW w:w="810" w:type="dxa"/>
            <w:gridSpan w:val="3"/>
            <w:tcBorders>
              <w:top w:val="nil"/>
              <w:left w:val="nil"/>
              <w:bottom w:val="nil"/>
              <w:right w:val="nil"/>
            </w:tcBorders>
            <w:shd w:val="clear" w:color="000000" w:fill="6FE7FF"/>
            <w:vAlign w:val="center"/>
            <w:hideMark/>
          </w:tcPr>
          <w:p w14:paraId="0D6FBC4E"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297C638"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1200" w:type="dxa"/>
            <w:tcBorders>
              <w:top w:val="nil"/>
              <w:left w:val="nil"/>
              <w:bottom w:val="nil"/>
              <w:right w:val="nil"/>
            </w:tcBorders>
            <w:shd w:val="clear" w:color="000000" w:fill="6FE7FF"/>
            <w:vAlign w:val="center"/>
            <w:hideMark/>
          </w:tcPr>
          <w:p w14:paraId="639C0990"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xml:space="preserve">Measure </w:t>
            </w:r>
            <w:r>
              <w:rPr>
                <w:rFonts w:eastAsia="Times New Roman" w:cs="Calibri"/>
                <w:b/>
                <w:bCs/>
                <w:sz w:val="16"/>
                <w:szCs w:val="16"/>
                <w:lang w:val="en-GB"/>
              </w:rPr>
              <w:t>4</w:t>
            </w:r>
            <w:r w:rsidRPr="0062158E">
              <w:rPr>
                <w:rFonts w:eastAsia="Times New Roman" w:cs="Calibri"/>
                <w:b/>
                <w:bCs/>
                <w:sz w:val="16"/>
                <w:szCs w:val="16"/>
              </w:rPr>
              <w:t>.</w:t>
            </w:r>
          </w:p>
        </w:tc>
        <w:tc>
          <w:tcPr>
            <w:tcW w:w="1350" w:type="dxa"/>
            <w:gridSpan w:val="2"/>
            <w:tcBorders>
              <w:top w:val="nil"/>
              <w:left w:val="nil"/>
              <w:bottom w:val="single" w:sz="8" w:space="0" w:color="auto"/>
              <w:right w:val="nil"/>
            </w:tcBorders>
            <w:shd w:val="clear" w:color="000000" w:fill="6FE7FF"/>
            <w:vAlign w:val="center"/>
            <w:hideMark/>
          </w:tcPr>
          <w:p w14:paraId="7427D47E"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3150" w:type="dxa"/>
            <w:tcBorders>
              <w:top w:val="nil"/>
              <w:left w:val="nil"/>
              <w:bottom w:val="single" w:sz="8" w:space="0" w:color="auto"/>
              <w:right w:val="nil"/>
            </w:tcBorders>
            <w:shd w:val="clear" w:color="000000" w:fill="6FE7FF"/>
            <w:vAlign w:val="center"/>
            <w:hideMark/>
          </w:tcPr>
          <w:p w14:paraId="370FD74A" w14:textId="77777777" w:rsidR="00C84918" w:rsidRPr="0062158E" w:rsidRDefault="00C84918" w:rsidP="00407B01">
            <w:pPr>
              <w:spacing w:after="0" w:line="240" w:lineRule="auto"/>
              <w:rPr>
                <w:rFonts w:eastAsia="Times New Roman" w:cs="Calibri"/>
                <w:b/>
                <w:bCs/>
                <w:sz w:val="16"/>
                <w:szCs w:val="16"/>
              </w:rPr>
            </w:pPr>
            <w:r w:rsidRPr="002A71A0">
              <w:rPr>
                <w:rFonts w:eastAsia="Times New Roman" w:cs="Calibri"/>
                <w:b/>
                <w:bCs/>
                <w:sz w:val="16"/>
                <w:szCs w:val="16"/>
              </w:rPr>
              <w:t>Increasing the administrative capacities of the SAC</w:t>
            </w:r>
          </w:p>
        </w:tc>
        <w:tc>
          <w:tcPr>
            <w:tcW w:w="630" w:type="dxa"/>
            <w:gridSpan w:val="3"/>
            <w:tcBorders>
              <w:top w:val="nil"/>
              <w:left w:val="nil"/>
              <w:bottom w:val="single" w:sz="8" w:space="0" w:color="auto"/>
              <w:right w:val="nil"/>
            </w:tcBorders>
            <w:shd w:val="clear" w:color="000000" w:fill="6FE7FF"/>
            <w:vAlign w:val="center"/>
            <w:hideMark/>
          </w:tcPr>
          <w:p w14:paraId="75C312E9"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57B97D76"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510" w:type="dxa"/>
            <w:gridSpan w:val="3"/>
            <w:tcBorders>
              <w:top w:val="nil"/>
              <w:left w:val="nil"/>
              <w:bottom w:val="single" w:sz="8" w:space="0" w:color="auto"/>
              <w:right w:val="nil"/>
            </w:tcBorders>
            <w:shd w:val="clear" w:color="000000" w:fill="6FE7FF"/>
            <w:vAlign w:val="center"/>
            <w:hideMark/>
          </w:tcPr>
          <w:p w14:paraId="020F0BC9"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1643D16C"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42C5E6F1"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3D3979B4"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0FEB32C"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4"/>
            <w:tcBorders>
              <w:top w:val="nil"/>
              <w:left w:val="nil"/>
              <w:bottom w:val="single" w:sz="8" w:space="0" w:color="auto"/>
              <w:right w:val="nil"/>
            </w:tcBorders>
            <w:shd w:val="clear" w:color="000000" w:fill="6FE7FF"/>
            <w:vAlign w:val="center"/>
            <w:hideMark/>
          </w:tcPr>
          <w:p w14:paraId="262C9573"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76E16ED"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57233C6"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9391D2E"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F213710"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84A5A59"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778D3A2"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15BDCBE"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tcBorders>
              <w:top w:val="nil"/>
              <w:left w:val="nil"/>
              <w:bottom w:val="single" w:sz="8" w:space="0" w:color="auto"/>
              <w:right w:val="nil"/>
            </w:tcBorders>
            <w:shd w:val="clear" w:color="000000" w:fill="6FE7FF"/>
            <w:vAlign w:val="center"/>
            <w:hideMark/>
          </w:tcPr>
          <w:p w14:paraId="6C305EA1" w14:textId="77777777" w:rsidR="00C84918" w:rsidRPr="0062158E" w:rsidRDefault="00C84918" w:rsidP="00407B01">
            <w:pPr>
              <w:spacing w:after="0" w:line="240" w:lineRule="auto"/>
              <w:rPr>
                <w:rFonts w:eastAsia="Times New Roman" w:cs="Calibri"/>
                <w:b/>
                <w:bCs/>
                <w:sz w:val="16"/>
                <w:szCs w:val="16"/>
              </w:rPr>
            </w:pPr>
            <w:r w:rsidRPr="0062158E">
              <w:rPr>
                <w:rFonts w:eastAsia="Times New Roman" w:cs="Calibri"/>
                <w:b/>
                <w:bCs/>
                <w:sz w:val="16"/>
                <w:szCs w:val="16"/>
              </w:rPr>
              <w:t> </w:t>
            </w:r>
          </w:p>
        </w:tc>
      </w:tr>
      <w:tr w:rsidR="00C84918" w:rsidRPr="0062158E" w14:paraId="2F73DDFB" w14:textId="77777777" w:rsidTr="00B84551">
        <w:trPr>
          <w:trHeight w:val="70"/>
        </w:trPr>
        <w:tc>
          <w:tcPr>
            <w:tcW w:w="810" w:type="dxa"/>
            <w:gridSpan w:val="3"/>
            <w:tcBorders>
              <w:top w:val="nil"/>
              <w:left w:val="nil"/>
              <w:bottom w:val="nil"/>
              <w:right w:val="nil"/>
            </w:tcBorders>
            <w:shd w:val="clear" w:color="auto" w:fill="auto"/>
            <w:vAlign w:val="bottom"/>
          </w:tcPr>
          <w:p w14:paraId="42A452FB" w14:textId="77777777" w:rsidR="00C84918" w:rsidRPr="0062158E" w:rsidRDefault="00C84918" w:rsidP="00407B01">
            <w:pPr>
              <w:spacing w:after="0" w:line="240" w:lineRule="auto"/>
              <w:jc w:val="center"/>
              <w:rPr>
                <w:rFonts w:eastAsia="Times New Roman" w:cs="Calibri"/>
                <w:color w:val="FF0000"/>
                <w:sz w:val="16"/>
                <w:szCs w:val="16"/>
              </w:rPr>
            </w:pPr>
          </w:p>
        </w:tc>
        <w:tc>
          <w:tcPr>
            <w:tcW w:w="960" w:type="dxa"/>
            <w:gridSpan w:val="2"/>
            <w:tcBorders>
              <w:top w:val="nil"/>
              <w:left w:val="nil"/>
              <w:bottom w:val="nil"/>
              <w:right w:val="nil"/>
            </w:tcBorders>
            <w:shd w:val="clear" w:color="auto" w:fill="auto"/>
            <w:vAlign w:val="bottom"/>
          </w:tcPr>
          <w:p w14:paraId="35103DA7" w14:textId="77777777" w:rsidR="00C84918" w:rsidRPr="0062158E" w:rsidRDefault="00C84918" w:rsidP="00407B01">
            <w:pPr>
              <w:spacing w:after="0" w:line="240" w:lineRule="auto"/>
              <w:rPr>
                <w:rFonts w:ascii="Times New Roman" w:eastAsia="Times New Roman" w:hAnsi="Times New Roman"/>
                <w:sz w:val="16"/>
                <w:szCs w:val="16"/>
              </w:rPr>
            </w:pPr>
          </w:p>
        </w:tc>
        <w:tc>
          <w:tcPr>
            <w:tcW w:w="1200" w:type="dxa"/>
            <w:tcBorders>
              <w:top w:val="nil"/>
              <w:left w:val="nil"/>
              <w:bottom w:val="nil"/>
              <w:right w:val="single" w:sz="8" w:space="0" w:color="auto"/>
            </w:tcBorders>
            <w:shd w:val="clear" w:color="auto" w:fill="auto"/>
            <w:vAlign w:val="bottom"/>
          </w:tcPr>
          <w:p w14:paraId="4B19FAAC" w14:textId="77777777" w:rsidR="00C84918" w:rsidRPr="0062158E" w:rsidRDefault="00C84918" w:rsidP="00407B01">
            <w:pPr>
              <w:spacing w:after="0" w:line="240" w:lineRule="auto"/>
              <w:rPr>
                <w:rFonts w:eastAsia="Times New Roman" w:cs="Calibri"/>
                <w:sz w:val="16"/>
                <w:szCs w:val="16"/>
              </w:rPr>
            </w:pPr>
          </w:p>
        </w:tc>
        <w:tc>
          <w:tcPr>
            <w:tcW w:w="1350" w:type="dxa"/>
            <w:gridSpan w:val="2"/>
            <w:tcBorders>
              <w:top w:val="nil"/>
              <w:left w:val="nil"/>
              <w:bottom w:val="single" w:sz="8" w:space="0" w:color="auto"/>
              <w:right w:val="nil"/>
            </w:tcBorders>
            <w:shd w:val="clear" w:color="auto" w:fill="auto"/>
            <w:vAlign w:val="center"/>
          </w:tcPr>
          <w:p w14:paraId="3EB26B81" w14:textId="77777777" w:rsidR="00C84918" w:rsidRPr="0062158E" w:rsidRDefault="00C84918" w:rsidP="00407B01">
            <w:pPr>
              <w:spacing w:after="0" w:line="240" w:lineRule="auto"/>
              <w:rPr>
                <w:rFonts w:eastAsia="Times New Roman" w:cs="Calibri"/>
                <w:sz w:val="16"/>
                <w:szCs w:val="16"/>
              </w:rPr>
            </w:pPr>
            <w:r w:rsidRPr="0062158E">
              <w:rPr>
                <w:rFonts w:eastAsia="Times New Roman" w:cs="Calibri"/>
                <w:sz w:val="16"/>
                <w:szCs w:val="16"/>
              </w:rPr>
              <w:t>Activity 1.</w:t>
            </w:r>
          </w:p>
        </w:tc>
        <w:tc>
          <w:tcPr>
            <w:tcW w:w="3150" w:type="dxa"/>
            <w:tcBorders>
              <w:top w:val="nil"/>
              <w:left w:val="nil"/>
              <w:bottom w:val="single" w:sz="8" w:space="0" w:color="auto"/>
              <w:right w:val="nil"/>
            </w:tcBorders>
            <w:shd w:val="clear" w:color="auto" w:fill="auto"/>
            <w:vAlign w:val="center"/>
          </w:tcPr>
          <w:p w14:paraId="5DD31797" w14:textId="77777777" w:rsidR="00C84918" w:rsidRPr="0062158E" w:rsidRDefault="00C84918" w:rsidP="00407B01">
            <w:pPr>
              <w:spacing w:after="0" w:line="240" w:lineRule="auto"/>
              <w:rPr>
                <w:rFonts w:eastAsia="Times New Roman" w:cs="Calibri"/>
                <w:sz w:val="16"/>
                <w:szCs w:val="16"/>
              </w:rPr>
            </w:pPr>
            <w:r w:rsidRPr="002A71A0">
              <w:rPr>
                <w:rFonts w:eastAsia="Times New Roman" w:cs="Calibri"/>
                <w:sz w:val="16"/>
                <w:szCs w:val="16"/>
              </w:rPr>
              <w:t>Increasing the number of employees in SAC</w:t>
            </w:r>
          </w:p>
        </w:tc>
        <w:tc>
          <w:tcPr>
            <w:tcW w:w="630" w:type="dxa"/>
            <w:gridSpan w:val="3"/>
            <w:tcBorders>
              <w:top w:val="nil"/>
              <w:left w:val="nil"/>
              <w:bottom w:val="single" w:sz="8" w:space="0" w:color="auto"/>
              <w:right w:val="single" w:sz="8" w:space="0" w:color="auto"/>
            </w:tcBorders>
            <w:shd w:val="clear" w:color="000000" w:fill="0000FF"/>
            <w:vAlign w:val="center"/>
          </w:tcPr>
          <w:p w14:paraId="063CF2FF" w14:textId="77777777" w:rsidR="00C84918" w:rsidRPr="0062158E" w:rsidRDefault="00C84918" w:rsidP="00407B01">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6B42CCC4" w14:textId="77777777" w:rsidR="00C84918" w:rsidRPr="0062158E" w:rsidRDefault="00C84918" w:rsidP="00407B01">
            <w:pPr>
              <w:spacing w:after="0" w:line="240" w:lineRule="auto"/>
              <w:jc w:val="center"/>
              <w:rPr>
                <w:rFonts w:eastAsia="Times New Roman" w:cs="Calibri"/>
                <w:color w:val="FFFFFF"/>
                <w:sz w:val="16"/>
                <w:szCs w:val="16"/>
              </w:rPr>
            </w:pPr>
          </w:p>
        </w:tc>
        <w:tc>
          <w:tcPr>
            <w:tcW w:w="510" w:type="dxa"/>
            <w:gridSpan w:val="3"/>
            <w:tcBorders>
              <w:top w:val="nil"/>
              <w:left w:val="nil"/>
              <w:bottom w:val="single" w:sz="8" w:space="0" w:color="auto"/>
              <w:right w:val="single" w:sz="8" w:space="0" w:color="auto"/>
            </w:tcBorders>
            <w:shd w:val="clear" w:color="000000" w:fill="0000FF"/>
            <w:vAlign w:val="center"/>
          </w:tcPr>
          <w:p w14:paraId="7CB67AE1" w14:textId="77777777" w:rsidR="00C84918" w:rsidRPr="0062158E" w:rsidRDefault="00C84918" w:rsidP="00407B01">
            <w:pPr>
              <w:spacing w:after="0" w:line="240" w:lineRule="auto"/>
              <w:jc w:val="center"/>
              <w:rPr>
                <w:rFonts w:eastAsia="Times New Roman" w:cs="Calibri"/>
                <w:color w:val="FFFFFF"/>
                <w:sz w:val="16"/>
                <w:szCs w:val="16"/>
              </w:rPr>
            </w:pPr>
          </w:p>
        </w:tc>
        <w:tc>
          <w:tcPr>
            <w:tcW w:w="480" w:type="dxa"/>
            <w:gridSpan w:val="3"/>
            <w:tcBorders>
              <w:top w:val="nil"/>
              <w:left w:val="nil"/>
              <w:bottom w:val="single" w:sz="8" w:space="0" w:color="auto"/>
              <w:right w:val="single" w:sz="8" w:space="0" w:color="auto"/>
            </w:tcBorders>
            <w:shd w:val="clear" w:color="000000" w:fill="0000FF"/>
            <w:vAlign w:val="center"/>
          </w:tcPr>
          <w:p w14:paraId="7F94F75B" w14:textId="77777777" w:rsidR="00C84918" w:rsidRPr="0062158E" w:rsidRDefault="00C84918" w:rsidP="00407B01">
            <w:pPr>
              <w:spacing w:after="0" w:line="240" w:lineRule="auto"/>
              <w:jc w:val="center"/>
              <w:rPr>
                <w:rFonts w:eastAsia="Times New Roman" w:cs="Calibri"/>
                <w:color w:val="FFFFFF"/>
                <w:sz w:val="16"/>
                <w:szCs w:val="16"/>
              </w:rPr>
            </w:pPr>
          </w:p>
        </w:tc>
        <w:tc>
          <w:tcPr>
            <w:tcW w:w="450" w:type="dxa"/>
            <w:gridSpan w:val="2"/>
            <w:tcBorders>
              <w:top w:val="nil"/>
              <w:left w:val="nil"/>
              <w:bottom w:val="single" w:sz="8" w:space="0" w:color="auto"/>
              <w:right w:val="single" w:sz="8" w:space="0" w:color="auto"/>
            </w:tcBorders>
            <w:shd w:val="clear" w:color="000000" w:fill="0000FF"/>
            <w:vAlign w:val="center"/>
          </w:tcPr>
          <w:p w14:paraId="10E25460" w14:textId="77777777" w:rsidR="00C84918" w:rsidRPr="0062158E" w:rsidRDefault="00C84918" w:rsidP="00407B01">
            <w:pPr>
              <w:spacing w:after="0" w:line="240" w:lineRule="auto"/>
              <w:jc w:val="center"/>
              <w:rPr>
                <w:rFonts w:eastAsia="Times New Roman" w:cs="Calibri"/>
                <w:color w:val="FFFFFF"/>
                <w:sz w:val="16"/>
                <w:szCs w:val="16"/>
              </w:rPr>
            </w:pPr>
          </w:p>
        </w:tc>
        <w:tc>
          <w:tcPr>
            <w:tcW w:w="540" w:type="dxa"/>
            <w:gridSpan w:val="3"/>
            <w:tcBorders>
              <w:top w:val="nil"/>
              <w:left w:val="nil"/>
              <w:bottom w:val="single" w:sz="8" w:space="0" w:color="auto"/>
              <w:right w:val="single" w:sz="8" w:space="0" w:color="auto"/>
            </w:tcBorders>
            <w:shd w:val="clear" w:color="000000" w:fill="0000FF"/>
            <w:vAlign w:val="center"/>
          </w:tcPr>
          <w:p w14:paraId="55CB9328" w14:textId="77777777" w:rsidR="00C84918" w:rsidRPr="0062158E" w:rsidRDefault="00C84918" w:rsidP="00407B01">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0000FF"/>
            <w:vAlign w:val="center"/>
          </w:tcPr>
          <w:p w14:paraId="7DD94CC7" w14:textId="77777777" w:rsidR="00C84918" w:rsidRPr="0062158E" w:rsidRDefault="00C84918" w:rsidP="00407B01">
            <w:pPr>
              <w:spacing w:after="0" w:line="240" w:lineRule="auto"/>
              <w:jc w:val="center"/>
              <w:rPr>
                <w:rFonts w:eastAsia="Times New Roman" w:cs="Calibri"/>
                <w:color w:val="FFFFFF"/>
                <w:sz w:val="16"/>
                <w:szCs w:val="16"/>
              </w:rPr>
            </w:pPr>
          </w:p>
        </w:tc>
        <w:tc>
          <w:tcPr>
            <w:tcW w:w="540" w:type="dxa"/>
            <w:gridSpan w:val="4"/>
            <w:tcBorders>
              <w:top w:val="nil"/>
              <w:left w:val="nil"/>
              <w:bottom w:val="single" w:sz="8" w:space="0" w:color="auto"/>
              <w:right w:val="single" w:sz="8" w:space="0" w:color="auto"/>
            </w:tcBorders>
            <w:shd w:val="clear" w:color="000000" w:fill="0000FF"/>
            <w:vAlign w:val="center"/>
          </w:tcPr>
          <w:p w14:paraId="14637A0A" w14:textId="77777777" w:rsidR="00C84918" w:rsidRPr="0062158E" w:rsidRDefault="00C84918" w:rsidP="00407B01">
            <w:pPr>
              <w:spacing w:after="0" w:line="240" w:lineRule="auto"/>
              <w:jc w:val="center"/>
              <w:rPr>
                <w:rFonts w:eastAsia="Times New Roman" w:cs="Calibri"/>
                <w:color w:val="FFFFFF"/>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474D7BF8"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0299A4A0"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2"/>
            <w:tcBorders>
              <w:top w:val="nil"/>
              <w:left w:val="nil"/>
              <w:bottom w:val="single" w:sz="8" w:space="0" w:color="auto"/>
              <w:right w:val="single" w:sz="8" w:space="0" w:color="auto"/>
            </w:tcBorders>
            <w:shd w:val="clear" w:color="000000" w:fill="FFFFFF"/>
            <w:vAlign w:val="center"/>
          </w:tcPr>
          <w:p w14:paraId="5B4D4532"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4"/>
            <w:tcBorders>
              <w:top w:val="nil"/>
              <w:left w:val="nil"/>
              <w:bottom w:val="single" w:sz="8" w:space="0" w:color="auto"/>
              <w:right w:val="single" w:sz="8" w:space="0" w:color="auto"/>
            </w:tcBorders>
            <w:shd w:val="clear" w:color="000000" w:fill="FFFFFF"/>
            <w:vAlign w:val="center"/>
          </w:tcPr>
          <w:p w14:paraId="3E647C6A"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3005B28B"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659F55A3" w14:textId="77777777" w:rsidR="00C84918" w:rsidRPr="0062158E" w:rsidRDefault="00C84918" w:rsidP="00407B01">
            <w:pPr>
              <w:spacing w:after="0" w:line="240" w:lineRule="auto"/>
              <w:jc w:val="center"/>
              <w:rPr>
                <w:rFonts w:eastAsia="Times New Roman" w:cs="Calibri"/>
                <w:color w:val="FF0000"/>
                <w:sz w:val="16"/>
                <w:szCs w:val="16"/>
              </w:rPr>
            </w:pPr>
          </w:p>
        </w:tc>
        <w:tc>
          <w:tcPr>
            <w:tcW w:w="450" w:type="dxa"/>
            <w:gridSpan w:val="3"/>
            <w:tcBorders>
              <w:top w:val="nil"/>
              <w:left w:val="nil"/>
              <w:bottom w:val="single" w:sz="8" w:space="0" w:color="auto"/>
              <w:right w:val="single" w:sz="8" w:space="0" w:color="auto"/>
            </w:tcBorders>
            <w:shd w:val="clear" w:color="000000" w:fill="FFFFFF"/>
            <w:vAlign w:val="center"/>
          </w:tcPr>
          <w:p w14:paraId="2CA53192" w14:textId="77777777" w:rsidR="00C84918" w:rsidRPr="0062158E" w:rsidRDefault="00C84918" w:rsidP="00407B01">
            <w:pPr>
              <w:spacing w:after="0" w:line="240" w:lineRule="auto"/>
              <w:jc w:val="center"/>
              <w:rPr>
                <w:rFonts w:eastAsia="Times New Roman" w:cs="Calibri"/>
                <w:color w:val="FF0000"/>
                <w:sz w:val="16"/>
                <w:szCs w:val="16"/>
              </w:rPr>
            </w:pPr>
          </w:p>
        </w:tc>
        <w:tc>
          <w:tcPr>
            <w:tcW w:w="540" w:type="dxa"/>
            <w:tcBorders>
              <w:top w:val="nil"/>
              <w:left w:val="nil"/>
              <w:bottom w:val="single" w:sz="8" w:space="0" w:color="auto"/>
              <w:right w:val="single" w:sz="8" w:space="0" w:color="auto"/>
            </w:tcBorders>
            <w:shd w:val="clear" w:color="000000" w:fill="FFFFFF"/>
            <w:vAlign w:val="center"/>
          </w:tcPr>
          <w:p w14:paraId="586B8255" w14:textId="77777777" w:rsidR="00C84918" w:rsidRPr="0062158E" w:rsidRDefault="00C84918" w:rsidP="00407B01">
            <w:pPr>
              <w:spacing w:after="0" w:line="240" w:lineRule="auto"/>
              <w:jc w:val="center"/>
              <w:rPr>
                <w:rFonts w:eastAsia="Times New Roman" w:cs="Calibri"/>
                <w:color w:val="FF0000"/>
                <w:sz w:val="16"/>
                <w:szCs w:val="16"/>
              </w:rPr>
            </w:pPr>
          </w:p>
        </w:tc>
      </w:tr>
      <w:tr w:rsidR="000331F8" w:rsidRPr="0062158E" w14:paraId="59A93F6F" w14:textId="77777777" w:rsidTr="00B84551">
        <w:trPr>
          <w:trHeight w:val="693"/>
        </w:trPr>
        <w:tc>
          <w:tcPr>
            <w:tcW w:w="810" w:type="dxa"/>
            <w:gridSpan w:val="3"/>
            <w:tcBorders>
              <w:top w:val="nil"/>
              <w:left w:val="nil"/>
              <w:bottom w:val="nil"/>
              <w:right w:val="nil"/>
            </w:tcBorders>
            <w:shd w:val="clear" w:color="000000" w:fill="6FE7FF"/>
            <w:vAlign w:val="center"/>
            <w:hideMark/>
          </w:tcPr>
          <w:p w14:paraId="52DB5BDD"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4601283"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1200" w:type="dxa"/>
            <w:tcBorders>
              <w:top w:val="nil"/>
              <w:left w:val="nil"/>
              <w:bottom w:val="nil"/>
              <w:right w:val="nil"/>
            </w:tcBorders>
            <w:shd w:val="clear" w:color="000000" w:fill="6FE7FF"/>
            <w:vAlign w:val="center"/>
            <w:hideMark/>
          </w:tcPr>
          <w:p w14:paraId="34B314A4"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xml:space="preserve">Measure </w:t>
            </w:r>
            <w:r>
              <w:rPr>
                <w:rFonts w:eastAsia="Times New Roman" w:cs="Calibri"/>
                <w:b/>
                <w:bCs/>
                <w:sz w:val="16"/>
                <w:szCs w:val="16"/>
                <w:lang w:val="en-GB"/>
              </w:rPr>
              <w:t>4</w:t>
            </w:r>
            <w:r w:rsidRPr="0062158E">
              <w:rPr>
                <w:rFonts w:eastAsia="Times New Roman" w:cs="Calibri"/>
                <w:b/>
                <w:bCs/>
                <w:sz w:val="16"/>
                <w:szCs w:val="16"/>
              </w:rPr>
              <w:t>.</w:t>
            </w:r>
          </w:p>
        </w:tc>
        <w:tc>
          <w:tcPr>
            <w:tcW w:w="1350" w:type="dxa"/>
            <w:gridSpan w:val="2"/>
            <w:tcBorders>
              <w:top w:val="nil"/>
              <w:left w:val="nil"/>
              <w:bottom w:val="single" w:sz="8" w:space="0" w:color="auto"/>
              <w:right w:val="nil"/>
            </w:tcBorders>
            <w:shd w:val="clear" w:color="000000" w:fill="6FE7FF"/>
            <w:vAlign w:val="center"/>
            <w:hideMark/>
          </w:tcPr>
          <w:p w14:paraId="552BA461"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3150" w:type="dxa"/>
            <w:tcBorders>
              <w:top w:val="nil"/>
              <w:left w:val="nil"/>
              <w:bottom w:val="single" w:sz="8" w:space="0" w:color="auto"/>
              <w:right w:val="nil"/>
            </w:tcBorders>
            <w:shd w:val="clear" w:color="000000" w:fill="6FE7FF"/>
            <w:vAlign w:val="center"/>
            <w:hideMark/>
          </w:tcPr>
          <w:p w14:paraId="064DFE0D" w14:textId="77777777" w:rsidR="000331F8" w:rsidRPr="0062158E" w:rsidRDefault="000331F8" w:rsidP="00241538">
            <w:pPr>
              <w:spacing w:after="0" w:line="240" w:lineRule="auto"/>
              <w:rPr>
                <w:rFonts w:eastAsia="Times New Roman" w:cs="Calibri"/>
                <w:b/>
                <w:bCs/>
                <w:sz w:val="16"/>
                <w:szCs w:val="16"/>
              </w:rPr>
            </w:pPr>
            <w:r w:rsidRPr="002A71A0">
              <w:rPr>
                <w:rFonts w:eastAsia="Times New Roman" w:cs="Calibri"/>
                <w:b/>
                <w:bCs/>
                <w:sz w:val="16"/>
                <w:szCs w:val="16"/>
              </w:rPr>
              <w:t>Increasing the administrative capacities of the SAC</w:t>
            </w:r>
          </w:p>
        </w:tc>
        <w:tc>
          <w:tcPr>
            <w:tcW w:w="630" w:type="dxa"/>
            <w:gridSpan w:val="3"/>
            <w:tcBorders>
              <w:top w:val="nil"/>
              <w:left w:val="nil"/>
              <w:bottom w:val="single" w:sz="8" w:space="0" w:color="auto"/>
              <w:right w:val="nil"/>
            </w:tcBorders>
            <w:shd w:val="clear" w:color="000000" w:fill="6FE7FF"/>
            <w:vAlign w:val="center"/>
            <w:hideMark/>
          </w:tcPr>
          <w:p w14:paraId="7917DFE8"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23F5C769"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10" w:type="dxa"/>
            <w:gridSpan w:val="3"/>
            <w:tcBorders>
              <w:top w:val="nil"/>
              <w:left w:val="nil"/>
              <w:bottom w:val="single" w:sz="8" w:space="0" w:color="auto"/>
              <w:right w:val="nil"/>
            </w:tcBorders>
            <w:shd w:val="clear" w:color="000000" w:fill="6FE7FF"/>
            <w:vAlign w:val="center"/>
            <w:hideMark/>
          </w:tcPr>
          <w:p w14:paraId="26EFD200"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59580F15"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2247849A"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2CB6D7F8"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D881EA1"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4"/>
            <w:tcBorders>
              <w:top w:val="nil"/>
              <w:left w:val="nil"/>
              <w:bottom w:val="single" w:sz="8" w:space="0" w:color="auto"/>
              <w:right w:val="nil"/>
            </w:tcBorders>
            <w:shd w:val="clear" w:color="000000" w:fill="6FE7FF"/>
            <w:vAlign w:val="center"/>
            <w:hideMark/>
          </w:tcPr>
          <w:p w14:paraId="6A0C0903"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AC2A21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7D20D33"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60512F1F"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2589B10C"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E59EBB5"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AB44A22"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018CC9DB"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tcBorders>
              <w:top w:val="nil"/>
              <w:left w:val="nil"/>
              <w:bottom w:val="single" w:sz="8" w:space="0" w:color="auto"/>
              <w:right w:val="nil"/>
            </w:tcBorders>
            <w:shd w:val="clear" w:color="000000" w:fill="6FE7FF"/>
            <w:vAlign w:val="center"/>
            <w:hideMark/>
          </w:tcPr>
          <w:p w14:paraId="11287F53" w14:textId="77777777" w:rsidR="000331F8" w:rsidRPr="0062158E" w:rsidRDefault="000331F8" w:rsidP="00241538">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5ABAF146" w14:textId="77777777" w:rsidTr="00B84551">
        <w:trPr>
          <w:trHeight w:val="493"/>
        </w:trPr>
        <w:tc>
          <w:tcPr>
            <w:tcW w:w="702" w:type="dxa"/>
            <w:gridSpan w:val="2"/>
            <w:tcBorders>
              <w:top w:val="nil"/>
              <w:left w:val="nil"/>
              <w:bottom w:val="nil"/>
              <w:right w:val="nil"/>
            </w:tcBorders>
            <w:shd w:val="clear" w:color="000000" w:fill="00FF00"/>
            <w:vAlign w:val="center"/>
            <w:hideMark/>
          </w:tcPr>
          <w:p w14:paraId="19C1E9A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268" w:type="dxa"/>
            <w:gridSpan w:val="4"/>
            <w:tcBorders>
              <w:top w:val="nil"/>
              <w:left w:val="nil"/>
              <w:bottom w:val="nil"/>
              <w:right w:val="nil"/>
            </w:tcBorders>
            <w:shd w:val="clear" w:color="000000" w:fill="00FF00"/>
            <w:vAlign w:val="center"/>
            <w:hideMark/>
          </w:tcPr>
          <w:p w14:paraId="3F2E0E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p>
        </w:tc>
        <w:tc>
          <w:tcPr>
            <w:tcW w:w="1242" w:type="dxa"/>
            <w:tcBorders>
              <w:top w:val="nil"/>
              <w:left w:val="nil"/>
              <w:bottom w:val="nil"/>
              <w:right w:val="nil"/>
            </w:tcBorders>
            <w:shd w:val="clear" w:color="000000" w:fill="00FF00"/>
            <w:vAlign w:val="center"/>
            <w:hideMark/>
          </w:tcPr>
          <w:p w14:paraId="64E591E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00FF00"/>
            <w:vAlign w:val="center"/>
            <w:hideMark/>
          </w:tcPr>
          <w:p w14:paraId="561A3C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Public Private Partnership (PPP and Concession on goods of general interest)</w:t>
            </w:r>
          </w:p>
        </w:tc>
        <w:tc>
          <w:tcPr>
            <w:tcW w:w="522" w:type="dxa"/>
            <w:gridSpan w:val="2"/>
            <w:tcBorders>
              <w:top w:val="nil"/>
              <w:left w:val="nil"/>
              <w:bottom w:val="nil"/>
              <w:right w:val="nil"/>
            </w:tcBorders>
            <w:shd w:val="clear" w:color="000000" w:fill="00FF00"/>
            <w:vAlign w:val="center"/>
            <w:hideMark/>
          </w:tcPr>
          <w:p w14:paraId="478C29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714F4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29EAFE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37368BD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29EFFB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68C5A0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0A064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446F7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18C99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19DC67D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78960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2C4DB8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3CAE5A9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07D6D4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7A458A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56E999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C121953" w14:textId="77777777" w:rsidTr="00B84551">
        <w:trPr>
          <w:trHeight w:val="615"/>
        </w:trPr>
        <w:tc>
          <w:tcPr>
            <w:tcW w:w="702" w:type="dxa"/>
            <w:gridSpan w:val="2"/>
            <w:tcBorders>
              <w:top w:val="nil"/>
              <w:left w:val="nil"/>
              <w:bottom w:val="nil"/>
              <w:right w:val="nil"/>
            </w:tcBorders>
            <w:shd w:val="clear" w:color="000000" w:fill="6FE7FF"/>
            <w:vAlign w:val="center"/>
            <w:hideMark/>
          </w:tcPr>
          <w:p w14:paraId="50C6E4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793B7C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7A195F9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6FE7FF"/>
            <w:vAlign w:val="center"/>
            <w:hideMark/>
          </w:tcPr>
          <w:p w14:paraId="3A75D9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Establishment of the Unique Electronic System Public Private Partnership System (UESPPP) </w:t>
            </w:r>
          </w:p>
        </w:tc>
        <w:tc>
          <w:tcPr>
            <w:tcW w:w="522" w:type="dxa"/>
            <w:gridSpan w:val="2"/>
            <w:tcBorders>
              <w:top w:val="nil"/>
              <w:left w:val="nil"/>
              <w:bottom w:val="nil"/>
              <w:right w:val="nil"/>
            </w:tcBorders>
            <w:shd w:val="clear" w:color="000000" w:fill="6FE7FF"/>
            <w:vAlign w:val="center"/>
            <w:hideMark/>
          </w:tcPr>
          <w:p w14:paraId="5632AB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0E84A4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1A761DB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405E0D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3351D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57AC61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B1A8B8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14672F8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559823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8A7A7B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62DA2F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675D7D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0895E18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78F90A7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51494E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01A1825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49926FDD" w14:textId="77777777" w:rsidTr="00B84551">
        <w:trPr>
          <w:trHeight w:val="718"/>
        </w:trPr>
        <w:tc>
          <w:tcPr>
            <w:tcW w:w="702" w:type="dxa"/>
            <w:gridSpan w:val="2"/>
            <w:tcBorders>
              <w:top w:val="nil"/>
              <w:left w:val="nil"/>
              <w:bottom w:val="nil"/>
              <w:right w:val="nil"/>
            </w:tcBorders>
            <w:shd w:val="clear" w:color="auto" w:fill="auto"/>
            <w:vAlign w:val="bottom"/>
            <w:hideMark/>
          </w:tcPr>
          <w:p w14:paraId="4D625733"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50B820E5"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2D2DFC9"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2EDFFFC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626371DE"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Selection of an IT company for preparation of the Improving and upgrading the UESPPP and a Register of awarded contracts for the establishment of public-private partnership</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C143AED" w14:textId="05E2957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F255171" w14:textId="136227D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5B2307E" w14:textId="1D01BD2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FFB46CF" w14:textId="2A0A13E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65D868C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auto" w:fill="auto"/>
            <w:vAlign w:val="center"/>
            <w:hideMark/>
          </w:tcPr>
          <w:p w14:paraId="3A37DA8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0BC7572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auto" w:fill="auto"/>
            <w:vAlign w:val="center"/>
            <w:hideMark/>
          </w:tcPr>
          <w:p w14:paraId="7966E1B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AEDD09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10682A2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07266A1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auto" w:fill="auto"/>
            <w:vAlign w:val="center"/>
            <w:hideMark/>
          </w:tcPr>
          <w:p w14:paraId="67C0F69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0C08020"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24004F3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3AEB2FDE"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6B983768"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7FC42109" w14:textId="77777777" w:rsidTr="00B84551">
        <w:trPr>
          <w:trHeight w:val="898"/>
        </w:trPr>
        <w:tc>
          <w:tcPr>
            <w:tcW w:w="702" w:type="dxa"/>
            <w:gridSpan w:val="2"/>
            <w:tcBorders>
              <w:top w:val="nil"/>
              <w:left w:val="nil"/>
              <w:bottom w:val="nil"/>
              <w:right w:val="nil"/>
            </w:tcBorders>
            <w:shd w:val="clear" w:color="auto" w:fill="auto"/>
            <w:vAlign w:val="bottom"/>
            <w:hideMark/>
          </w:tcPr>
          <w:p w14:paraId="11DA5E75"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01667AE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386E0C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86A878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9DE9C7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Preparation and implementation of the software solution for the establishment of public-private partnership and a Register of awarded contracts the establishment of public-private partnership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C263BD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1D30F3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8FC3F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02FF34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A93C16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16E8B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8FD5C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ACDA53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3E4737B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4D31EAF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0F0F93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63A0D8B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CA6DD4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8834C0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0095A1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1D266F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663B98D1" w14:textId="77777777" w:rsidTr="00B84551">
        <w:trPr>
          <w:trHeight w:val="799"/>
        </w:trPr>
        <w:tc>
          <w:tcPr>
            <w:tcW w:w="702" w:type="dxa"/>
            <w:gridSpan w:val="2"/>
            <w:tcBorders>
              <w:top w:val="nil"/>
              <w:left w:val="nil"/>
              <w:bottom w:val="nil"/>
              <w:right w:val="nil"/>
            </w:tcBorders>
            <w:shd w:val="clear" w:color="000000" w:fill="6FE7FF"/>
            <w:vAlign w:val="center"/>
            <w:hideMark/>
          </w:tcPr>
          <w:p w14:paraId="22345C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DDE1E9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5D48FB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nil"/>
              <w:right w:val="nil"/>
            </w:tcBorders>
            <w:shd w:val="clear" w:color="000000" w:fill="6FE7FF"/>
            <w:vAlign w:val="center"/>
            <w:hideMark/>
          </w:tcPr>
          <w:p w14:paraId="53EDB2C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60EFB26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Completion of the legal and regulatory framework in the field of public-private partnership and Concession on goods of general interest</w:t>
            </w:r>
          </w:p>
        </w:tc>
        <w:tc>
          <w:tcPr>
            <w:tcW w:w="522" w:type="dxa"/>
            <w:gridSpan w:val="2"/>
            <w:tcBorders>
              <w:top w:val="nil"/>
              <w:left w:val="nil"/>
              <w:bottom w:val="nil"/>
              <w:right w:val="nil"/>
            </w:tcBorders>
            <w:shd w:val="clear" w:color="000000" w:fill="6FE7FF"/>
            <w:vAlign w:val="center"/>
            <w:hideMark/>
          </w:tcPr>
          <w:p w14:paraId="669C62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87F7C7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6DD6EF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69A4193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57679C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3CDABFD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EFDA2F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5362E3F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3D007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EB2BC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9E9DE5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3C03A13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24BE31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6453C0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C154B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57F4D2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F1E68EA" w14:textId="77777777" w:rsidTr="00B84551">
        <w:trPr>
          <w:trHeight w:val="610"/>
        </w:trPr>
        <w:tc>
          <w:tcPr>
            <w:tcW w:w="702" w:type="dxa"/>
            <w:gridSpan w:val="2"/>
            <w:tcBorders>
              <w:top w:val="nil"/>
              <w:left w:val="nil"/>
              <w:bottom w:val="nil"/>
              <w:right w:val="nil"/>
            </w:tcBorders>
            <w:shd w:val="clear" w:color="auto" w:fill="auto"/>
            <w:vAlign w:val="bottom"/>
            <w:hideMark/>
          </w:tcPr>
          <w:p w14:paraId="1762657E"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4DC44E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14C194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5F71831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20BEF73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Preparation  and adoption of 13 bylaws that will arise from the Law on Public Private Partnership and preparation of the Guidline with exemples of PPP prjoects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591E4FC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AE7162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E49AA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3B31771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3B181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BCC3E0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57570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570BC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30EBD7D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2C4B3D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2F3328C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single" w:sz="8" w:space="0" w:color="auto"/>
              <w:left w:val="nil"/>
              <w:bottom w:val="single" w:sz="8" w:space="0" w:color="auto"/>
              <w:right w:val="single" w:sz="8" w:space="0" w:color="auto"/>
            </w:tcBorders>
            <w:shd w:val="clear" w:color="auto" w:fill="auto"/>
            <w:vAlign w:val="center"/>
            <w:hideMark/>
          </w:tcPr>
          <w:p w14:paraId="58B10C1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1B29194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12BCAE7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B7DB8A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512121E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12FC7B23" w14:textId="77777777" w:rsidTr="00B84551">
        <w:trPr>
          <w:trHeight w:val="448"/>
        </w:trPr>
        <w:tc>
          <w:tcPr>
            <w:tcW w:w="702" w:type="dxa"/>
            <w:gridSpan w:val="2"/>
            <w:tcBorders>
              <w:top w:val="nil"/>
              <w:left w:val="nil"/>
              <w:bottom w:val="nil"/>
              <w:right w:val="nil"/>
            </w:tcBorders>
            <w:shd w:val="clear" w:color="auto" w:fill="auto"/>
            <w:vAlign w:val="bottom"/>
            <w:hideMark/>
          </w:tcPr>
          <w:p w14:paraId="4CABDC95"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83A187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7C9935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B26C2E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910F92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Preparation  and adoption of the bylaws that will arise from the f the Law on Concession on goods of general interest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B324A9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36385E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C13BD1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C4ADA1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E9DE5B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A83A31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715310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306BAD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43BFB5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C261C0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D0E608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7B9A248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37881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10DBEE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76294B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BF00BA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016A682D" w14:textId="77777777" w:rsidTr="00B84551">
        <w:trPr>
          <w:trHeight w:val="615"/>
        </w:trPr>
        <w:tc>
          <w:tcPr>
            <w:tcW w:w="702" w:type="dxa"/>
            <w:gridSpan w:val="2"/>
            <w:tcBorders>
              <w:top w:val="nil"/>
              <w:left w:val="nil"/>
              <w:bottom w:val="nil"/>
              <w:right w:val="nil"/>
            </w:tcBorders>
            <w:shd w:val="clear" w:color="000000" w:fill="6FE7FF"/>
            <w:vAlign w:val="center"/>
            <w:hideMark/>
          </w:tcPr>
          <w:p w14:paraId="7B0CA3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2EE122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0E02DE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1242" w:type="dxa"/>
            <w:tcBorders>
              <w:top w:val="nil"/>
              <w:left w:val="nil"/>
              <w:bottom w:val="nil"/>
              <w:right w:val="nil"/>
            </w:tcBorders>
            <w:shd w:val="clear" w:color="000000" w:fill="6FE7FF"/>
            <w:vAlign w:val="center"/>
            <w:hideMark/>
          </w:tcPr>
          <w:p w14:paraId="1F1C2E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174300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Strengthening and developing the capacities of the Ministry of Economy in the field of public-private partnership</w:t>
            </w:r>
          </w:p>
        </w:tc>
        <w:tc>
          <w:tcPr>
            <w:tcW w:w="522" w:type="dxa"/>
            <w:gridSpan w:val="2"/>
            <w:tcBorders>
              <w:top w:val="nil"/>
              <w:left w:val="nil"/>
              <w:bottom w:val="nil"/>
              <w:right w:val="nil"/>
            </w:tcBorders>
            <w:shd w:val="clear" w:color="000000" w:fill="6FE7FF"/>
            <w:vAlign w:val="center"/>
            <w:hideMark/>
          </w:tcPr>
          <w:p w14:paraId="00831D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4102491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0FBAF5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12592A5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1BAA4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7057BB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0D31F4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6E6456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A6815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60106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06A4F4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5970194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3C85B0E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6FDF48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3E0FF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49B6B5D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53AD889" w14:textId="77777777" w:rsidTr="00B84551">
        <w:trPr>
          <w:trHeight w:val="457"/>
        </w:trPr>
        <w:tc>
          <w:tcPr>
            <w:tcW w:w="702" w:type="dxa"/>
            <w:gridSpan w:val="2"/>
            <w:tcBorders>
              <w:top w:val="nil"/>
              <w:left w:val="nil"/>
              <w:bottom w:val="nil"/>
              <w:right w:val="nil"/>
            </w:tcBorders>
            <w:shd w:val="clear" w:color="auto" w:fill="auto"/>
            <w:vAlign w:val="bottom"/>
            <w:hideMark/>
          </w:tcPr>
          <w:p w14:paraId="6A2B37DF"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170B68B1"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BBC04D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6712DBA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981D2A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Increasing the number of employees in the Ministry of Economy and professional training for public-private partnership</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647A94C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4DAB514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405A75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6956AB0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CEB6D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2ED7984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FFA1A5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58D12BB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B86B01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91F684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4F075E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07E7563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0E434A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5DC4EA5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65F1F9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6A4BB3B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10EB551D" w14:textId="77777777" w:rsidTr="00B84551">
        <w:trPr>
          <w:trHeight w:val="223"/>
        </w:trPr>
        <w:tc>
          <w:tcPr>
            <w:tcW w:w="15210" w:type="dxa"/>
            <w:gridSpan w:val="54"/>
            <w:tcBorders>
              <w:top w:val="nil"/>
              <w:left w:val="nil"/>
              <w:bottom w:val="nil"/>
              <w:right w:val="nil"/>
            </w:tcBorders>
            <w:shd w:val="clear" w:color="000000" w:fill="33CCFF"/>
            <w:vAlign w:val="center"/>
            <w:hideMark/>
          </w:tcPr>
          <w:p w14:paraId="6D91E42C" w14:textId="236D1F06"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Pillar V - </w:t>
            </w:r>
            <w:r w:rsidR="00A11215" w:rsidRPr="00A11215">
              <w:rPr>
                <w:rFonts w:eastAsia="Times New Roman" w:cs="Calibri"/>
                <w:b/>
                <w:bCs/>
                <w:sz w:val="16"/>
                <w:szCs w:val="16"/>
              </w:rPr>
              <w:t>Public finance digitalisation and </w:t>
            </w:r>
            <w:r w:rsidR="001111E8" w:rsidRPr="001111E8">
              <w:rPr>
                <w:rFonts w:eastAsia="Times New Roman" w:cs="Calibri"/>
                <w:b/>
                <w:bCs/>
                <w:sz w:val="16"/>
                <w:szCs w:val="16"/>
              </w:rPr>
              <w:t>continuоus</w:t>
            </w:r>
            <w:r w:rsidR="00A11215" w:rsidRPr="00A11215">
              <w:rPr>
                <w:rFonts w:eastAsia="Times New Roman" w:cs="Calibri"/>
                <w:b/>
                <w:bCs/>
                <w:sz w:val="16"/>
                <w:szCs w:val="16"/>
              </w:rPr>
              <w:t> learning</w:t>
            </w:r>
          </w:p>
        </w:tc>
      </w:tr>
      <w:tr w:rsidR="00C93723" w:rsidRPr="0062158E" w14:paraId="3B142093" w14:textId="77777777" w:rsidTr="00B84551">
        <w:trPr>
          <w:trHeight w:val="441"/>
        </w:trPr>
        <w:tc>
          <w:tcPr>
            <w:tcW w:w="702" w:type="dxa"/>
            <w:gridSpan w:val="2"/>
            <w:tcBorders>
              <w:top w:val="nil"/>
              <w:left w:val="nil"/>
              <w:bottom w:val="nil"/>
              <w:right w:val="nil"/>
            </w:tcBorders>
            <w:shd w:val="clear" w:color="000000" w:fill="00FF00"/>
            <w:vAlign w:val="center"/>
            <w:hideMark/>
          </w:tcPr>
          <w:p w14:paraId="2F2CE7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68A768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1.</w:t>
            </w:r>
          </w:p>
        </w:tc>
        <w:tc>
          <w:tcPr>
            <w:tcW w:w="3258" w:type="dxa"/>
            <w:gridSpan w:val="2"/>
            <w:tcBorders>
              <w:top w:val="nil"/>
              <w:left w:val="nil"/>
              <w:bottom w:val="nil"/>
              <w:right w:val="nil"/>
            </w:tcBorders>
            <w:shd w:val="clear" w:color="000000" w:fill="00FF00"/>
            <w:vAlign w:val="center"/>
            <w:hideMark/>
          </w:tcPr>
          <w:p w14:paraId="7951C3F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Implementation of an Integrated Financial Management Information System (IFMIS) </w:t>
            </w:r>
          </w:p>
        </w:tc>
        <w:tc>
          <w:tcPr>
            <w:tcW w:w="522" w:type="dxa"/>
            <w:gridSpan w:val="2"/>
            <w:tcBorders>
              <w:top w:val="nil"/>
              <w:left w:val="nil"/>
              <w:bottom w:val="nil"/>
              <w:right w:val="nil"/>
            </w:tcBorders>
            <w:shd w:val="clear" w:color="000000" w:fill="00FF00"/>
            <w:vAlign w:val="center"/>
            <w:hideMark/>
          </w:tcPr>
          <w:p w14:paraId="50D824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EFAB5A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4316AC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57DB91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1D5D81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27498B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B78F11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79C6899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098B4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D4DB1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8A906E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077A21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7355FA2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4469A99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49BEB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0CA1ED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BE7A8C8" w14:textId="77777777" w:rsidTr="00B84551">
        <w:trPr>
          <w:trHeight w:val="540"/>
        </w:trPr>
        <w:tc>
          <w:tcPr>
            <w:tcW w:w="702" w:type="dxa"/>
            <w:gridSpan w:val="2"/>
            <w:tcBorders>
              <w:top w:val="nil"/>
              <w:left w:val="nil"/>
              <w:bottom w:val="nil"/>
              <w:right w:val="nil"/>
            </w:tcBorders>
            <w:shd w:val="clear" w:color="000000" w:fill="33CCFF"/>
            <w:vAlign w:val="center"/>
            <w:hideMark/>
          </w:tcPr>
          <w:p w14:paraId="0E3289B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43D9CA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153D8A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33CCFF"/>
            <w:vAlign w:val="center"/>
            <w:hideMark/>
          </w:tcPr>
          <w:p w14:paraId="74EB98B9" w14:textId="59D938A0"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Development of IFMIS as an integrated centralized web-based system</w:t>
            </w:r>
          </w:p>
        </w:tc>
        <w:tc>
          <w:tcPr>
            <w:tcW w:w="522" w:type="dxa"/>
            <w:gridSpan w:val="2"/>
            <w:tcBorders>
              <w:top w:val="nil"/>
              <w:left w:val="nil"/>
              <w:bottom w:val="nil"/>
              <w:right w:val="nil"/>
            </w:tcBorders>
            <w:shd w:val="clear" w:color="000000" w:fill="33CCFF"/>
            <w:vAlign w:val="center"/>
            <w:hideMark/>
          </w:tcPr>
          <w:p w14:paraId="0D4ED5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244EABD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7922D8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48E23D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2A69CBA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37B661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AC8DAD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3680B0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01FAD19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0E47D76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751FC88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5F5C33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6F34E8C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5BD2CC7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40FBF2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1C9645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55C1514C" w14:textId="77777777" w:rsidTr="00B84551">
        <w:trPr>
          <w:trHeight w:val="315"/>
        </w:trPr>
        <w:tc>
          <w:tcPr>
            <w:tcW w:w="702" w:type="dxa"/>
            <w:gridSpan w:val="2"/>
            <w:tcBorders>
              <w:top w:val="nil"/>
              <w:left w:val="nil"/>
              <w:bottom w:val="nil"/>
              <w:right w:val="nil"/>
            </w:tcBorders>
            <w:shd w:val="clear" w:color="auto" w:fill="auto"/>
            <w:vAlign w:val="bottom"/>
            <w:hideMark/>
          </w:tcPr>
          <w:p w14:paraId="1142E2AA"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DFE5DB6"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325DF3AC"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single" w:sz="8" w:space="0" w:color="auto"/>
              <w:left w:val="nil"/>
              <w:bottom w:val="single" w:sz="8" w:space="0" w:color="auto"/>
              <w:right w:val="nil"/>
            </w:tcBorders>
            <w:shd w:val="clear" w:color="auto" w:fill="auto"/>
            <w:vAlign w:val="center"/>
            <w:hideMark/>
          </w:tcPr>
          <w:p w14:paraId="5959DE2E"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67AD7C9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Selection of IFMIS Solution Provider</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591FD63" w14:textId="4F3AEABB"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CB25F7C" w14:textId="5412DB3F"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205EB70" w14:textId="17BFC375"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8262E42" w14:textId="2800F2A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1BC97C8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FFFFFF"/>
            <w:vAlign w:val="center"/>
            <w:hideMark/>
          </w:tcPr>
          <w:p w14:paraId="1BBA5B9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5758C44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FFFFFF"/>
            <w:vAlign w:val="center"/>
            <w:hideMark/>
          </w:tcPr>
          <w:p w14:paraId="036F1E3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58E68A2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1F4DFAA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0D95399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FFFFFF"/>
            <w:vAlign w:val="center"/>
            <w:hideMark/>
          </w:tcPr>
          <w:p w14:paraId="30CE87A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E36136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7B93A0D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98F836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41B19C2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r>
      <w:tr w:rsidR="00942045" w:rsidRPr="0062158E" w14:paraId="4ED3A63A" w14:textId="77777777" w:rsidTr="00B84551">
        <w:trPr>
          <w:trHeight w:val="70"/>
        </w:trPr>
        <w:tc>
          <w:tcPr>
            <w:tcW w:w="702" w:type="dxa"/>
            <w:gridSpan w:val="2"/>
            <w:tcBorders>
              <w:top w:val="nil"/>
              <w:left w:val="nil"/>
              <w:bottom w:val="nil"/>
              <w:right w:val="nil"/>
            </w:tcBorders>
            <w:shd w:val="clear" w:color="auto" w:fill="auto"/>
            <w:vAlign w:val="bottom"/>
            <w:hideMark/>
          </w:tcPr>
          <w:p w14:paraId="7458C079"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0BDCE96E"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34F3E406"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0B7F837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35E31212" w14:textId="0E80BCB8"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Development of IFMIS modules and interfaces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390BF6" w14:textId="39D3BC3C"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E8CCAE4" w14:textId="2E5666E3"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A503D3C" w14:textId="327F9D4E"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349E750" w14:textId="177DF80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53BAA9A" w14:textId="1C53BBB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D0C94D0" w14:textId="035385D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B5B23F" w14:textId="33B1155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3840E0E" w14:textId="29C1602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C1BE98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5DAD3F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170237C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4B224B4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DAE739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894C29E"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DFAF6B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FD8E4F0"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r>
      <w:tr w:rsidR="00942045" w:rsidRPr="0062158E" w14:paraId="3FF278C9" w14:textId="77777777" w:rsidTr="00B84551">
        <w:trPr>
          <w:trHeight w:val="160"/>
        </w:trPr>
        <w:tc>
          <w:tcPr>
            <w:tcW w:w="702" w:type="dxa"/>
            <w:gridSpan w:val="2"/>
            <w:tcBorders>
              <w:top w:val="nil"/>
              <w:left w:val="nil"/>
              <w:bottom w:val="nil"/>
              <w:right w:val="nil"/>
            </w:tcBorders>
            <w:shd w:val="clear" w:color="auto" w:fill="auto"/>
            <w:vAlign w:val="bottom"/>
            <w:hideMark/>
          </w:tcPr>
          <w:p w14:paraId="289CCD26"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2276E89F"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46C6EFF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58F15051"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CA30EF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IFMIS pilot implementation and operational acceptance</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682D866" w14:textId="202E550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4B4AEBF" w14:textId="394CB18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2A0D297" w14:textId="67C437B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EBBD8C6" w14:textId="6ED7E9C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7780FAE" w14:textId="034F1EC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3FE417B" w14:textId="338CF1F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C22D928" w14:textId="2D6421C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FF1CCB2" w14:textId="2764933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467133" w14:textId="0A40931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B7195A3" w14:textId="62E1567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6351B" w14:textId="420BE633"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AB00AB2" w14:textId="3952503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E97503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DED2A1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E73B11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275D437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3E4B340F" w14:textId="77777777" w:rsidTr="00B84551">
        <w:trPr>
          <w:trHeight w:val="600"/>
        </w:trPr>
        <w:tc>
          <w:tcPr>
            <w:tcW w:w="702" w:type="dxa"/>
            <w:gridSpan w:val="2"/>
            <w:tcBorders>
              <w:top w:val="nil"/>
              <w:left w:val="nil"/>
              <w:bottom w:val="nil"/>
              <w:right w:val="nil"/>
            </w:tcBorders>
            <w:shd w:val="clear" w:color="000000" w:fill="33CCFF"/>
            <w:vAlign w:val="center"/>
            <w:hideMark/>
          </w:tcPr>
          <w:p w14:paraId="54108C3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19DFE19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3CDF10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3258" w:type="dxa"/>
            <w:gridSpan w:val="2"/>
            <w:tcBorders>
              <w:top w:val="nil"/>
              <w:left w:val="nil"/>
              <w:bottom w:val="nil"/>
              <w:right w:val="nil"/>
            </w:tcBorders>
            <w:shd w:val="clear" w:color="000000" w:fill="33CCFF"/>
            <w:vAlign w:val="center"/>
            <w:hideMark/>
          </w:tcPr>
          <w:p w14:paraId="5484835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Expansion of MoF ICT infrastructure (in line with whole-of-government approach) to host new IFMIS</w:t>
            </w:r>
          </w:p>
        </w:tc>
        <w:tc>
          <w:tcPr>
            <w:tcW w:w="522" w:type="dxa"/>
            <w:gridSpan w:val="2"/>
            <w:tcBorders>
              <w:top w:val="nil"/>
              <w:left w:val="nil"/>
              <w:bottom w:val="nil"/>
              <w:right w:val="nil"/>
            </w:tcBorders>
            <w:shd w:val="clear" w:color="000000" w:fill="33CCFF"/>
            <w:vAlign w:val="center"/>
            <w:hideMark/>
          </w:tcPr>
          <w:p w14:paraId="7AAEED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23D76C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1A6964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583412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60ABD75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3B702A9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591FFA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3AE1257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6A67969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2309979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420A64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23AC8C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2D9FA52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608F53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75893E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2D29F93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3E13D7A8" w14:textId="77777777" w:rsidTr="00B84551">
        <w:trPr>
          <w:trHeight w:val="432"/>
        </w:trPr>
        <w:tc>
          <w:tcPr>
            <w:tcW w:w="702" w:type="dxa"/>
            <w:gridSpan w:val="2"/>
            <w:tcBorders>
              <w:top w:val="nil"/>
              <w:left w:val="nil"/>
              <w:bottom w:val="nil"/>
              <w:right w:val="nil"/>
            </w:tcBorders>
            <w:shd w:val="clear" w:color="auto" w:fill="auto"/>
            <w:vAlign w:val="bottom"/>
            <w:hideMark/>
          </w:tcPr>
          <w:p w14:paraId="6619054E"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68ED63B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617504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76F83B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0C1DE2A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Enhancement of the existing data centers and network connectivity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18DA17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1777EC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046CB7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6F973A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D656B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BCA436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98805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24EC07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239C64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D779A9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7237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8C2166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E2CC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FCB5AB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763AB4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5AF38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A816EAF" w14:textId="77777777" w:rsidTr="00B84551">
        <w:trPr>
          <w:trHeight w:val="250"/>
        </w:trPr>
        <w:tc>
          <w:tcPr>
            <w:tcW w:w="702" w:type="dxa"/>
            <w:gridSpan w:val="2"/>
            <w:tcBorders>
              <w:top w:val="nil"/>
              <w:left w:val="nil"/>
              <w:bottom w:val="nil"/>
              <w:right w:val="nil"/>
            </w:tcBorders>
            <w:shd w:val="clear" w:color="auto" w:fill="auto"/>
            <w:vAlign w:val="bottom"/>
            <w:hideMark/>
          </w:tcPr>
          <w:p w14:paraId="1A4514C3"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73A305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E5C651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99F497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ED2752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Establishment of the secure backup network connections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AE657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1C42C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DDB70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6658CF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DCCF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213DB9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DC41F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2DB82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A1F4E8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143C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6A816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5F485A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B8E53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03D23C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4924BC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B7109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8F5B000" w14:textId="77777777" w:rsidTr="00B84551">
        <w:trPr>
          <w:trHeight w:val="615"/>
        </w:trPr>
        <w:tc>
          <w:tcPr>
            <w:tcW w:w="702" w:type="dxa"/>
            <w:gridSpan w:val="2"/>
            <w:tcBorders>
              <w:top w:val="nil"/>
              <w:left w:val="nil"/>
              <w:bottom w:val="nil"/>
              <w:right w:val="nil"/>
            </w:tcBorders>
            <w:shd w:val="clear" w:color="000000" w:fill="33CCFF"/>
            <w:vAlign w:val="center"/>
            <w:hideMark/>
          </w:tcPr>
          <w:p w14:paraId="727FFC0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33CCFF"/>
            <w:vAlign w:val="center"/>
            <w:hideMark/>
          </w:tcPr>
          <w:p w14:paraId="32F3705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33CCFF"/>
            <w:vAlign w:val="center"/>
            <w:hideMark/>
          </w:tcPr>
          <w:p w14:paraId="402928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3258" w:type="dxa"/>
            <w:gridSpan w:val="2"/>
            <w:tcBorders>
              <w:top w:val="nil"/>
              <w:left w:val="nil"/>
              <w:bottom w:val="nil"/>
              <w:right w:val="nil"/>
            </w:tcBorders>
            <w:shd w:val="clear" w:color="000000" w:fill="33CCFF"/>
            <w:vAlign w:val="center"/>
            <w:hideMark/>
          </w:tcPr>
          <w:p w14:paraId="060D0640" w14:textId="2C657390"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Capacity strengthening training and change management to support OBL reforms and IFMIS operations</w:t>
            </w:r>
          </w:p>
        </w:tc>
        <w:tc>
          <w:tcPr>
            <w:tcW w:w="522" w:type="dxa"/>
            <w:gridSpan w:val="2"/>
            <w:tcBorders>
              <w:top w:val="nil"/>
              <w:left w:val="nil"/>
              <w:bottom w:val="nil"/>
              <w:right w:val="nil"/>
            </w:tcBorders>
            <w:shd w:val="clear" w:color="000000" w:fill="33CCFF"/>
            <w:vAlign w:val="center"/>
            <w:hideMark/>
          </w:tcPr>
          <w:p w14:paraId="3CB5771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18A60C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33CCFF"/>
            <w:vAlign w:val="center"/>
            <w:hideMark/>
          </w:tcPr>
          <w:p w14:paraId="352A8F5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33CCFF"/>
            <w:vAlign w:val="center"/>
            <w:hideMark/>
          </w:tcPr>
          <w:p w14:paraId="3CC902C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067C326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33CCFF"/>
            <w:vAlign w:val="center"/>
            <w:hideMark/>
          </w:tcPr>
          <w:p w14:paraId="65A7914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87C6F0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33CCFF"/>
            <w:vAlign w:val="center"/>
            <w:hideMark/>
          </w:tcPr>
          <w:p w14:paraId="08BB9E5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20B6E1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2303250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33CCFF"/>
            <w:vAlign w:val="center"/>
            <w:hideMark/>
          </w:tcPr>
          <w:p w14:paraId="4AB0B6F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33CCFF"/>
            <w:vAlign w:val="center"/>
            <w:hideMark/>
          </w:tcPr>
          <w:p w14:paraId="7868F7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33CCFF"/>
            <w:vAlign w:val="center"/>
            <w:hideMark/>
          </w:tcPr>
          <w:p w14:paraId="6DE24F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33CCFF"/>
            <w:vAlign w:val="center"/>
            <w:hideMark/>
          </w:tcPr>
          <w:p w14:paraId="1E09435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33CCFF"/>
            <w:vAlign w:val="center"/>
            <w:hideMark/>
          </w:tcPr>
          <w:p w14:paraId="64686E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33CCFF"/>
            <w:vAlign w:val="center"/>
            <w:hideMark/>
          </w:tcPr>
          <w:p w14:paraId="1563991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A82FCA6" w14:textId="77777777" w:rsidTr="00B84551">
        <w:trPr>
          <w:trHeight w:val="277"/>
        </w:trPr>
        <w:tc>
          <w:tcPr>
            <w:tcW w:w="702" w:type="dxa"/>
            <w:gridSpan w:val="2"/>
            <w:tcBorders>
              <w:top w:val="nil"/>
              <w:left w:val="nil"/>
              <w:bottom w:val="nil"/>
              <w:right w:val="nil"/>
            </w:tcBorders>
            <w:shd w:val="clear" w:color="auto" w:fill="auto"/>
            <w:vAlign w:val="bottom"/>
            <w:hideMark/>
          </w:tcPr>
          <w:p w14:paraId="746DA7E5"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2DCEE95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75DB614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single" w:sz="8" w:space="0" w:color="auto"/>
              <w:left w:val="nil"/>
              <w:bottom w:val="single" w:sz="8" w:space="0" w:color="auto"/>
              <w:right w:val="nil"/>
            </w:tcBorders>
            <w:shd w:val="clear" w:color="auto" w:fill="auto"/>
            <w:vAlign w:val="center"/>
            <w:hideMark/>
          </w:tcPr>
          <w:p w14:paraId="7C3018D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C34E7F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Transition from existing MoF Systems to IFMIS</w:t>
            </w:r>
          </w:p>
        </w:tc>
        <w:tc>
          <w:tcPr>
            <w:tcW w:w="522" w:type="dxa"/>
            <w:gridSpan w:val="2"/>
            <w:tcBorders>
              <w:top w:val="single" w:sz="8" w:space="0" w:color="auto"/>
              <w:left w:val="nil"/>
              <w:bottom w:val="single" w:sz="8" w:space="0" w:color="auto"/>
              <w:right w:val="single" w:sz="8" w:space="0" w:color="auto"/>
            </w:tcBorders>
            <w:shd w:val="clear" w:color="000000" w:fill="FFFFFF"/>
            <w:vAlign w:val="center"/>
            <w:hideMark/>
          </w:tcPr>
          <w:p w14:paraId="74B3A0B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2A291F8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FFFFFF"/>
            <w:vAlign w:val="center"/>
            <w:hideMark/>
          </w:tcPr>
          <w:p w14:paraId="06AAC3D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FFFFFF"/>
            <w:vAlign w:val="center"/>
            <w:hideMark/>
          </w:tcPr>
          <w:p w14:paraId="60274A5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39F0"/>
            <w:vAlign w:val="center"/>
            <w:hideMark/>
          </w:tcPr>
          <w:p w14:paraId="5E5B0F5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39F0"/>
            <w:vAlign w:val="center"/>
            <w:hideMark/>
          </w:tcPr>
          <w:p w14:paraId="666972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76549B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39F0"/>
            <w:vAlign w:val="center"/>
            <w:hideMark/>
          </w:tcPr>
          <w:p w14:paraId="26CDDA1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39F0"/>
            <w:vAlign w:val="center"/>
            <w:hideMark/>
          </w:tcPr>
          <w:p w14:paraId="42350C4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082420A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39F0"/>
            <w:vAlign w:val="center"/>
            <w:hideMark/>
          </w:tcPr>
          <w:p w14:paraId="6D04CCD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39F0"/>
            <w:vAlign w:val="center"/>
            <w:hideMark/>
          </w:tcPr>
          <w:p w14:paraId="6C32C30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39F0"/>
            <w:vAlign w:val="center"/>
            <w:hideMark/>
          </w:tcPr>
          <w:p w14:paraId="7270872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39F0"/>
            <w:vAlign w:val="center"/>
            <w:hideMark/>
          </w:tcPr>
          <w:p w14:paraId="61FD07F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4327FFE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39F0"/>
            <w:vAlign w:val="center"/>
            <w:hideMark/>
          </w:tcPr>
          <w:p w14:paraId="7091F57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1574929B" w14:textId="77777777" w:rsidTr="00B84551">
        <w:trPr>
          <w:trHeight w:val="349"/>
        </w:trPr>
        <w:tc>
          <w:tcPr>
            <w:tcW w:w="702" w:type="dxa"/>
            <w:gridSpan w:val="2"/>
            <w:tcBorders>
              <w:top w:val="nil"/>
              <w:left w:val="nil"/>
              <w:bottom w:val="nil"/>
              <w:right w:val="nil"/>
            </w:tcBorders>
            <w:shd w:val="clear" w:color="auto" w:fill="auto"/>
            <w:vAlign w:val="bottom"/>
            <w:hideMark/>
          </w:tcPr>
          <w:p w14:paraId="7E23301C"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26F9B123"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540D551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1E8566B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EC21F6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Training of IFMIS users from central and local budget entities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783C3AC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39A7447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60F9C21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6899110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532E22D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39F0"/>
            <w:vAlign w:val="center"/>
            <w:hideMark/>
          </w:tcPr>
          <w:p w14:paraId="2BFC47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084C59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39F0"/>
            <w:vAlign w:val="center"/>
            <w:hideMark/>
          </w:tcPr>
          <w:p w14:paraId="741D81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2B0309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2E85ED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62E6FCE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39F0"/>
            <w:vAlign w:val="center"/>
            <w:hideMark/>
          </w:tcPr>
          <w:p w14:paraId="5280212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1885823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000000" w:fill="0039F0"/>
            <w:vAlign w:val="center"/>
            <w:hideMark/>
          </w:tcPr>
          <w:p w14:paraId="54E1E4D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7914793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000000" w:fill="0039F0"/>
            <w:vAlign w:val="center"/>
            <w:hideMark/>
          </w:tcPr>
          <w:p w14:paraId="217B623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67E55F6D" w14:textId="77777777" w:rsidTr="00214506">
        <w:trPr>
          <w:trHeight w:val="367"/>
        </w:trPr>
        <w:tc>
          <w:tcPr>
            <w:tcW w:w="702" w:type="dxa"/>
            <w:gridSpan w:val="2"/>
            <w:tcBorders>
              <w:top w:val="nil"/>
              <w:left w:val="nil"/>
              <w:bottom w:val="nil"/>
              <w:right w:val="nil"/>
            </w:tcBorders>
            <w:shd w:val="clear" w:color="auto" w:fill="auto"/>
            <w:vAlign w:val="bottom"/>
            <w:hideMark/>
          </w:tcPr>
          <w:p w14:paraId="342912FC"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26CA1CB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32BDA50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306FD42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4D29DBBE" w14:textId="24D09434"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Development of a business continuity plan and disaster recovery skills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9DFD52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B0002F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4A7DBAF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547B0A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0F4F7A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39F0"/>
            <w:vAlign w:val="center"/>
            <w:hideMark/>
          </w:tcPr>
          <w:p w14:paraId="7712566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15895CC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39F0"/>
            <w:vAlign w:val="center"/>
            <w:hideMark/>
          </w:tcPr>
          <w:p w14:paraId="51B8E9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3DF4F1B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78E8CCE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160A475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39F0"/>
            <w:vAlign w:val="center"/>
            <w:hideMark/>
          </w:tcPr>
          <w:p w14:paraId="2360752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467B461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000000" w:fill="0039F0"/>
            <w:vAlign w:val="center"/>
            <w:hideMark/>
          </w:tcPr>
          <w:p w14:paraId="023DA46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11D98D9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000000" w:fill="0039F0"/>
            <w:vAlign w:val="center"/>
            <w:hideMark/>
          </w:tcPr>
          <w:p w14:paraId="6218AE5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12CF9050" w14:textId="77777777" w:rsidTr="00B84551">
        <w:trPr>
          <w:trHeight w:val="300"/>
        </w:trPr>
        <w:tc>
          <w:tcPr>
            <w:tcW w:w="702" w:type="dxa"/>
            <w:gridSpan w:val="2"/>
            <w:tcBorders>
              <w:top w:val="nil"/>
              <w:left w:val="nil"/>
              <w:bottom w:val="nil"/>
              <w:right w:val="nil"/>
            </w:tcBorders>
            <w:shd w:val="clear" w:color="000000" w:fill="00FF00"/>
            <w:vAlign w:val="center"/>
            <w:hideMark/>
          </w:tcPr>
          <w:p w14:paraId="658AC3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177307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2.</w:t>
            </w:r>
          </w:p>
        </w:tc>
        <w:tc>
          <w:tcPr>
            <w:tcW w:w="3258" w:type="dxa"/>
            <w:gridSpan w:val="2"/>
            <w:tcBorders>
              <w:top w:val="nil"/>
              <w:left w:val="nil"/>
              <w:bottom w:val="nil"/>
              <w:right w:val="nil"/>
            </w:tcBorders>
            <w:shd w:val="clear" w:color="000000" w:fill="00FF00"/>
            <w:vAlign w:val="center"/>
            <w:hideMark/>
          </w:tcPr>
          <w:p w14:paraId="32EA683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Public Finance Academy(learning organization)</w:t>
            </w:r>
          </w:p>
        </w:tc>
        <w:tc>
          <w:tcPr>
            <w:tcW w:w="522" w:type="dxa"/>
            <w:gridSpan w:val="2"/>
            <w:tcBorders>
              <w:top w:val="nil"/>
              <w:left w:val="nil"/>
              <w:bottom w:val="nil"/>
              <w:right w:val="nil"/>
            </w:tcBorders>
            <w:shd w:val="clear" w:color="000000" w:fill="00FF00"/>
            <w:vAlign w:val="center"/>
            <w:hideMark/>
          </w:tcPr>
          <w:p w14:paraId="65ACB5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DB8562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13CE34A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68C657E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1C285C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5369755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FC8AC5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08805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1D3AA5E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DFC392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028A47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323B59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29D9FB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2A84F88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A3F72C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7F23931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F3A61BD" w14:textId="77777777" w:rsidTr="00B84551">
        <w:trPr>
          <w:trHeight w:val="270"/>
        </w:trPr>
        <w:tc>
          <w:tcPr>
            <w:tcW w:w="702" w:type="dxa"/>
            <w:gridSpan w:val="2"/>
            <w:tcBorders>
              <w:top w:val="nil"/>
              <w:left w:val="nil"/>
              <w:bottom w:val="nil"/>
              <w:right w:val="nil"/>
            </w:tcBorders>
            <w:shd w:val="clear" w:color="000000" w:fill="6FE7FF"/>
            <w:vAlign w:val="center"/>
            <w:hideMark/>
          </w:tcPr>
          <w:p w14:paraId="3FDFF95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0E6D8C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1BA925B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4318FAD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305B81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Developing and implementing a curriculum</w:t>
            </w:r>
          </w:p>
        </w:tc>
        <w:tc>
          <w:tcPr>
            <w:tcW w:w="522" w:type="dxa"/>
            <w:gridSpan w:val="2"/>
            <w:tcBorders>
              <w:top w:val="nil"/>
              <w:left w:val="nil"/>
              <w:bottom w:val="single" w:sz="8" w:space="0" w:color="auto"/>
              <w:right w:val="nil"/>
            </w:tcBorders>
            <w:shd w:val="clear" w:color="000000" w:fill="6FE7FF"/>
            <w:vAlign w:val="center"/>
            <w:hideMark/>
          </w:tcPr>
          <w:p w14:paraId="4194B5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10D26E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7099F6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5D835E9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3D1E6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7672ACC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85C23E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71D9BF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996DA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B38A79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782883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35B0E54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E587D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03E102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A31FD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1ACD40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71906117" w14:textId="77777777" w:rsidTr="00B84551">
        <w:trPr>
          <w:trHeight w:val="349"/>
        </w:trPr>
        <w:tc>
          <w:tcPr>
            <w:tcW w:w="702" w:type="dxa"/>
            <w:gridSpan w:val="2"/>
            <w:tcBorders>
              <w:top w:val="nil"/>
              <w:left w:val="nil"/>
              <w:bottom w:val="nil"/>
              <w:right w:val="nil"/>
            </w:tcBorders>
            <w:shd w:val="clear" w:color="auto" w:fill="auto"/>
            <w:vAlign w:val="bottom"/>
            <w:hideMark/>
          </w:tcPr>
          <w:p w14:paraId="0DC474E4"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4C51184"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73DC1C1"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73EE9E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3A0D04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xml:space="preserve">Developing methodology for preparing annual training programme and curriculum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B635A5D" w14:textId="1E63FCF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8E4D17" w14:textId="033BFFC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7306B1B" w14:textId="667591A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789DF78" w14:textId="79C5616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F4EF7A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1380961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709EB8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629CB23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306CE51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C9D23F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37932D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2BA11F5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F3C9C1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333CAA0C"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9544EB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25CEA2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5A8C8352" w14:textId="77777777" w:rsidTr="00B84551">
        <w:trPr>
          <w:trHeight w:val="286"/>
        </w:trPr>
        <w:tc>
          <w:tcPr>
            <w:tcW w:w="702" w:type="dxa"/>
            <w:gridSpan w:val="2"/>
            <w:tcBorders>
              <w:top w:val="nil"/>
              <w:left w:val="nil"/>
              <w:bottom w:val="nil"/>
              <w:right w:val="nil"/>
            </w:tcBorders>
            <w:shd w:val="clear" w:color="auto" w:fill="auto"/>
            <w:vAlign w:val="bottom"/>
            <w:hideMark/>
          </w:tcPr>
          <w:p w14:paraId="4AE997BB"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E6EBBD1"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9284DCA"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A3D2AC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379FF46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Developing evaluation form for participants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E6F1B63" w14:textId="5E195DA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77A58E4" w14:textId="0E04AA7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BB0F7F3" w14:textId="6C63803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F24E5F1" w14:textId="4E11539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5961F0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4B31062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2C6630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7FD2FC3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C225B3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D121E6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2B26267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719DBE0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B8EF6F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46A644D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73AAD7E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C29617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1BE369C" w14:textId="77777777" w:rsidTr="00B84551">
        <w:trPr>
          <w:trHeight w:val="259"/>
        </w:trPr>
        <w:tc>
          <w:tcPr>
            <w:tcW w:w="702" w:type="dxa"/>
            <w:gridSpan w:val="2"/>
            <w:tcBorders>
              <w:top w:val="nil"/>
              <w:left w:val="nil"/>
              <w:bottom w:val="nil"/>
              <w:right w:val="nil"/>
            </w:tcBorders>
            <w:shd w:val="clear" w:color="000000" w:fill="6FE7FF"/>
            <w:vAlign w:val="center"/>
            <w:hideMark/>
          </w:tcPr>
          <w:p w14:paraId="5B96B51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lastRenderedPageBreak/>
              <w:t> </w:t>
            </w:r>
          </w:p>
        </w:tc>
        <w:tc>
          <w:tcPr>
            <w:tcW w:w="960" w:type="dxa"/>
            <w:gridSpan w:val="2"/>
            <w:tcBorders>
              <w:top w:val="nil"/>
              <w:left w:val="nil"/>
              <w:bottom w:val="nil"/>
              <w:right w:val="nil"/>
            </w:tcBorders>
            <w:shd w:val="clear" w:color="000000" w:fill="6FE7FF"/>
            <w:vAlign w:val="center"/>
            <w:hideMark/>
          </w:tcPr>
          <w:p w14:paraId="3FADCD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09BA56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single" w:sz="8" w:space="0" w:color="auto"/>
              <w:right w:val="nil"/>
            </w:tcBorders>
            <w:shd w:val="clear" w:color="000000" w:fill="6FE7FF"/>
            <w:vAlign w:val="center"/>
            <w:hideMark/>
          </w:tcPr>
          <w:p w14:paraId="4C9079BD"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D9B31D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Developing of e-learning platform</w:t>
            </w:r>
          </w:p>
        </w:tc>
        <w:tc>
          <w:tcPr>
            <w:tcW w:w="522" w:type="dxa"/>
            <w:gridSpan w:val="2"/>
            <w:tcBorders>
              <w:top w:val="nil"/>
              <w:left w:val="nil"/>
              <w:bottom w:val="single" w:sz="8" w:space="0" w:color="auto"/>
              <w:right w:val="nil"/>
            </w:tcBorders>
            <w:shd w:val="clear" w:color="000000" w:fill="6FE7FF"/>
            <w:vAlign w:val="center"/>
            <w:hideMark/>
          </w:tcPr>
          <w:p w14:paraId="25D3A0F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42D386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47DD2F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0B6C8EA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EA8F2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125CEF6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1259AE2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57A85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186DCF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7CA53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7F8EA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633670F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3A97D76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6E30061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366F2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5F6A72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6B07AA6E" w14:textId="77777777" w:rsidTr="00B84551">
        <w:trPr>
          <w:trHeight w:val="250"/>
        </w:trPr>
        <w:tc>
          <w:tcPr>
            <w:tcW w:w="702" w:type="dxa"/>
            <w:gridSpan w:val="2"/>
            <w:tcBorders>
              <w:top w:val="nil"/>
              <w:left w:val="nil"/>
              <w:bottom w:val="nil"/>
              <w:right w:val="nil"/>
            </w:tcBorders>
            <w:shd w:val="clear" w:color="auto" w:fill="auto"/>
            <w:vAlign w:val="bottom"/>
            <w:hideMark/>
          </w:tcPr>
          <w:p w14:paraId="4941B764"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925646C"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A8A6F0F"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BD3549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1561CD6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Developing of  the e – learning platform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4127F86" w14:textId="2D51831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4B328F9" w14:textId="071CAAB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837A482" w14:textId="07B7A84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9AEF713" w14:textId="3F44BD9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8498AA9" w14:textId="6DD78A4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85971C7" w14:textId="234A585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A6EA6D9" w14:textId="02790A3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203BE94" w14:textId="5282EED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4B3153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2542F7C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1528DB6C"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5B768C4F"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6DF196E0"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683609F5"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7C28DC2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4692064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r>
      <w:tr w:rsidR="00942045" w:rsidRPr="0062158E" w14:paraId="48966F20" w14:textId="77777777" w:rsidTr="00B84551">
        <w:trPr>
          <w:trHeight w:val="250"/>
        </w:trPr>
        <w:tc>
          <w:tcPr>
            <w:tcW w:w="702" w:type="dxa"/>
            <w:gridSpan w:val="2"/>
            <w:tcBorders>
              <w:top w:val="nil"/>
              <w:left w:val="nil"/>
              <w:bottom w:val="nil"/>
              <w:right w:val="nil"/>
            </w:tcBorders>
            <w:shd w:val="clear" w:color="auto" w:fill="auto"/>
            <w:vAlign w:val="bottom"/>
            <w:hideMark/>
          </w:tcPr>
          <w:p w14:paraId="20223998"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5C084AF8"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530E243"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F64F9D4"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FD143E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Developing video tutorial and guidelines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A261754" w14:textId="0D76859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59F6BE" w14:textId="7E8A6EE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05B88FF" w14:textId="0BFA342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2A3A4C3" w14:textId="777B32D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F485B6" w14:textId="094959D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BA6BC9" w14:textId="0C12FF7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7C5F89B" w14:textId="66F4CB4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0DF0C15" w14:textId="666744A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27DF36D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9473B8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CC2B18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542291C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D3FE04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268CD5B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3EFD55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22D7B70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02BF9FC2" w14:textId="77777777" w:rsidTr="00B84551">
        <w:trPr>
          <w:trHeight w:val="250"/>
        </w:trPr>
        <w:tc>
          <w:tcPr>
            <w:tcW w:w="702" w:type="dxa"/>
            <w:gridSpan w:val="2"/>
            <w:tcBorders>
              <w:top w:val="nil"/>
              <w:left w:val="nil"/>
              <w:bottom w:val="nil"/>
              <w:right w:val="nil"/>
            </w:tcBorders>
            <w:shd w:val="clear" w:color="auto" w:fill="auto"/>
            <w:vAlign w:val="bottom"/>
            <w:hideMark/>
          </w:tcPr>
          <w:p w14:paraId="4E31ECB3"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C527334"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21A8C79"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F8BDE17"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73D3F3E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Organizing online trainigs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54156DD" w14:textId="2D5595E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6AE23B1" w14:textId="6989F15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19C1B1C" w14:textId="45BEDB5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CC8EAE6" w14:textId="33E6908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2E8386C" w14:textId="54CA1FB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C949EB" w14:textId="03CA80D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225AF89" w14:textId="760FE5E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ACBFBA8" w14:textId="42CE4B4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4E820A3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DCDA91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5DC55B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70D0DAE4"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176A4A6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63B40DE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0D87412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18DA1E0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106C007" w14:textId="77777777" w:rsidTr="00B84551">
        <w:trPr>
          <w:trHeight w:val="250"/>
        </w:trPr>
        <w:tc>
          <w:tcPr>
            <w:tcW w:w="702" w:type="dxa"/>
            <w:gridSpan w:val="2"/>
            <w:tcBorders>
              <w:top w:val="nil"/>
              <w:left w:val="nil"/>
              <w:bottom w:val="nil"/>
              <w:right w:val="nil"/>
            </w:tcBorders>
            <w:shd w:val="clear" w:color="000000" w:fill="6FE7FF"/>
            <w:vAlign w:val="center"/>
            <w:hideMark/>
          </w:tcPr>
          <w:p w14:paraId="0C60907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6F923D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5849AC8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3.</w:t>
            </w:r>
          </w:p>
        </w:tc>
        <w:tc>
          <w:tcPr>
            <w:tcW w:w="1242" w:type="dxa"/>
            <w:tcBorders>
              <w:top w:val="nil"/>
              <w:left w:val="nil"/>
              <w:bottom w:val="single" w:sz="8" w:space="0" w:color="auto"/>
              <w:right w:val="nil"/>
            </w:tcBorders>
            <w:shd w:val="clear" w:color="000000" w:fill="6FE7FF"/>
            <w:vAlign w:val="center"/>
            <w:hideMark/>
          </w:tcPr>
          <w:p w14:paraId="1D6BF914" w14:textId="77777777" w:rsidR="00C93723" w:rsidRPr="0062158E" w:rsidRDefault="00C93723" w:rsidP="00C93723">
            <w:pPr>
              <w:spacing w:after="0" w:line="240" w:lineRule="auto"/>
              <w:rPr>
                <w:rFonts w:eastAsia="Times New Roman" w:cs="Calibri"/>
                <w:b/>
                <w:bCs/>
                <w:color w:val="FF0000"/>
                <w:sz w:val="16"/>
                <w:szCs w:val="16"/>
              </w:rPr>
            </w:pPr>
            <w:r w:rsidRPr="0062158E">
              <w:rPr>
                <w:rFonts w:eastAsia="Times New Roman" w:cs="Calibri"/>
                <w:b/>
                <w:bCs/>
                <w:color w:val="FF0000"/>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523F45C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Developing leadership program</w:t>
            </w:r>
          </w:p>
        </w:tc>
        <w:tc>
          <w:tcPr>
            <w:tcW w:w="522" w:type="dxa"/>
            <w:gridSpan w:val="2"/>
            <w:tcBorders>
              <w:top w:val="nil"/>
              <w:left w:val="nil"/>
              <w:bottom w:val="single" w:sz="8" w:space="0" w:color="auto"/>
              <w:right w:val="nil"/>
            </w:tcBorders>
            <w:shd w:val="clear" w:color="000000" w:fill="6FE7FF"/>
            <w:vAlign w:val="center"/>
            <w:hideMark/>
          </w:tcPr>
          <w:p w14:paraId="606521D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2CFE53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1C99139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37928D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C56156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5D7F47B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6EFF0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6DDD07D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5382D7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D825D4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D424BE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2366E3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3D34F4E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33A37F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266208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42FAF7F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58321EDA" w14:textId="77777777" w:rsidTr="00B84551">
        <w:trPr>
          <w:trHeight w:val="340"/>
        </w:trPr>
        <w:tc>
          <w:tcPr>
            <w:tcW w:w="702" w:type="dxa"/>
            <w:gridSpan w:val="2"/>
            <w:tcBorders>
              <w:top w:val="nil"/>
              <w:left w:val="nil"/>
              <w:bottom w:val="nil"/>
              <w:right w:val="nil"/>
            </w:tcBorders>
            <w:shd w:val="clear" w:color="auto" w:fill="auto"/>
            <w:vAlign w:val="bottom"/>
            <w:hideMark/>
          </w:tcPr>
          <w:p w14:paraId="6B01A076"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3875B97E"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759DC89"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D6E2B5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682867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xml:space="preserve">Developing methodology for preparing annual training programme and curriculum </w:t>
            </w:r>
          </w:p>
        </w:tc>
        <w:tc>
          <w:tcPr>
            <w:tcW w:w="522" w:type="dxa"/>
            <w:gridSpan w:val="2"/>
            <w:tcBorders>
              <w:top w:val="nil"/>
              <w:left w:val="nil"/>
              <w:bottom w:val="single" w:sz="8" w:space="0" w:color="auto"/>
              <w:right w:val="single" w:sz="8" w:space="0" w:color="auto"/>
            </w:tcBorders>
            <w:shd w:val="clear" w:color="auto" w:fill="auto"/>
            <w:vAlign w:val="center"/>
            <w:hideMark/>
          </w:tcPr>
          <w:p w14:paraId="486CA066"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A5252DB"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13416152"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4E3F3E6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B492D42"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715A404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E5FBA1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2972819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8E215AF" w14:textId="4D111C4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466AB47" w14:textId="5DD3A35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C567F4" w14:textId="64434F1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D31FF71" w14:textId="26542C8D"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2215902" w14:textId="5B9D91D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4607C18" w14:textId="4A00739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4855A71" w14:textId="552BC5A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AEB83F5" w14:textId="3F2B59D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34B19849" w14:textId="77777777" w:rsidTr="00B84551">
        <w:trPr>
          <w:trHeight w:val="315"/>
        </w:trPr>
        <w:tc>
          <w:tcPr>
            <w:tcW w:w="702" w:type="dxa"/>
            <w:gridSpan w:val="2"/>
            <w:tcBorders>
              <w:top w:val="nil"/>
              <w:left w:val="nil"/>
              <w:bottom w:val="nil"/>
              <w:right w:val="nil"/>
            </w:tcBorders>
            <w:shd w:val="clear" w:color="auto" w:fill="auto"/>
            <w:vAlign w:val="bottom"/>
            <w:hideMark/>
          </w:tcPr>
          <w:p w14:paraId="15D66AAA" w14:textId="77777777" w:rsidR="00942045" w:rsidRPr="0062158E" w:rsidRDefault="00942045" w:rsidP="00942045">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DC6AA96"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98B2A7D"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5AE9C9C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5EE1B3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 xml:space="preserve">Organizing trainings   </w:t>
            </w:r>
          </w:p>
        </w:tc>
        <w:tc>
          <w:tcPr>
            <w:tcW w:w="522" w:type="dxa"/>
            <w:gridSpan w:val="2"/>
            <w:tcBorders>
              <w:top w:val="nil"/>
              <w:left w:val="nil"/>
              <w:bottom w:val="single" w:sz="8" w:space="0" w:color="auto"/>
              <w:right w:val="single" w:sz="8" w:space="0" w:color="auto"/>
            </w:tcBorders>
            <w:shd w:val="clear" w:color="auto" w:fill="auto"/>
            <w:vAlign w:val="center"/>
            <w:hideMark/>
          </w:tcPr>
          <w:p w14:paraId="2A9659C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5000B5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4DC05B8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6784301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5535F1B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1185FF8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CA79010"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234EA95B"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BC3BEFC" w14:textId="0DE6646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F82827E" w14:textId="4786A0A5"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CD4F76A" w14:textId="78D88CE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124569A" w14:textId="66A0A57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1B3B85" w14:textId="2ED3A10F"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1C73489" w14:textId="4A56D45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2372FBB" w14:textId="6A3F1344"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A2EE91C" w14:textId="0846F906"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E803F4F"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1C2BFC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VI - Public Internal Financial Control</w:t>
            </w:r>
          </w:p>
        </w:tc>
      </w:tr>
      <w:tr w:rsidR="00C93723" w:rsidRPr="0062158E" w14:paraId="6BF555C5" w14:textId="77777777" w:rsidTr="00B84551">
        <w:trPr>
          <w:trHeight w:val="300"/>
        </w:trPr>
        <w:tc>
          <w:tcPr>
            <w:tcW w:w="702" w:type="dxa"/>
            <w:gridSpan w:val="2"/>
            <w:tcBorders>
              <w:top w:val="nil"/>
              <w:left w:val="nil"/>
              <w:bottom w:val="nil"/>
              <w:right w:val="nil"/>
            </w:tcBorders>
            <w:shd w:val="clear" w:color="000000" w:fill="00FF00"/>
            <w:vAlign w:val="center"/>
            <w:hideMark/>
          </w:tcPr>
          <w:p w14:paraId="7909A5B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0228676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1.</w:t>
            </w:r>
          </w:p>
        </w:tc>
        <w:tc>
          <w:tcPr>
            <w:tcW w:w="3258" w:type="dxa"/>
            <w:gridSpan w:val="2"/>
            <w:tcBorders>
              <w:top w:val="nil"/>
              <w:left w:val="nil"/>
              <w:bottom w:val="nil"/>
              <w:right w:val="nil"/>
            </w:tcBorders>
            <w:shd w:val="clear" w:color="000000" w:fill="00FF00"/>
            <w:vAlign w:val="center"/>
            <w:hideMark/>
          </w:tcPr>
          <w:p w14:paraId="6312C9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Financial management and control</w:t>
            </w:r>
          </w:p>
        </w:tc>
        <w:tc>
          <w:tcPr>
            <w:tcW w:w="522" w:type="dxa"/>
            <w:gridSpan w:val="2"/>
            <w:tcBorders>
              <w:top w:val="nil"/>
              <w:left w:val="nil"/>
              <w:bottom w:val="nil"/>
              <w:right w:val="nil"/>
            </w:tcBorders>
            <w:shd w:val="clear" w:color="000000" w:fill="00FF00"/>
            <w:vAlign w:val="center"/>
            <w:hideMark/>
          </w:tcPr>
          <w:p w14:paraId="62D1EE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AB537E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052F2E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E18CA0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180C733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30AC25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72B2F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ED0080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7DD1307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5D3D0D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0A4E64C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7C7CCCC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5AC9E29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0E076A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D8F113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04953A9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13E8A7B2" w14:textId="77777777" w:rsidTr="00B84551">
        <w:trPr>
          <w:trHeight w:val="615"/>
        </w:trPr>
        <w:tc>
          <w:tcPr>
            <w:tcW w:w="702" w:type="dxa"/>
            <w:gridSpan w:val="2"/>
            <w:tcBorders>
              <w:top w:val="nil"/>
              <w:left w:val="nil"/>
              <w:bottom w:val="nil"/>
              <w:right w:val="nil"/>
            </w:tcBorders>
            <w:shd w:val="clear" w:color="000000" w:fill="6FE7FF"/>
            <w:vAlign w:val="center"/>
            <w:hideMark/>
          </w:tcPr>
          <w:p w14:paraId="3DE859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5B03C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251B465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6FE7FF"/>
            <w:vAlign w:val="center"/>
            <w:hideMark/>
          </w:tcPr>
          <w:p w14:paraId="22658A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Creating the conditions for improvement of a system of financial management based on risk management</w:t>
            </w:r>
          </w:p>
        </w:tc>
        <w:tc>
          <w:tcPr>
            <w:tcW w:w="522" w:type="dxa"/>
            <w:gridSpan w:val="2"/>
            <w:tcBorders>
              <w:top w:val="nil"/>
              <w:left w:val="nil"/>
              <w:bottom w:val="nil"/>
              <w:right w:val="nil"/>
            </w:tcBorders>
            <w:shd w:val="clear" w:color="000000" w:fill="6FE7FF"/>
            <w:vAlign w:val="center"/>
            <w:hideMark/>
          </w:tcPr>
          <w:p w14:paraId="2C7CAB9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45CF0B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3303C84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332736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26AEC0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5AEE022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7D4F5F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3FEE1D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2CDED31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B55347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ECA46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00F3AF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FB2CC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294B24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2CFD1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39A542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3A04C514" w14:textId="77777777" w:rsidTr="00B84551">
        <w:trPr>
          <w:trHeight w:val="430"/>
        </w:trPr>
        <w:tc>
          <w:tcPr>
            <w:tcW w:w="702" w:type="dxa"/>
            <w:gridSpan w:val="2"/>
            <w:tcBorders>
              <w:top w:val="nil"/>
              <w:left w:val="nil"/>
              <w:bottom w:val="nil"/>
              <w:right w:val="nil"/>
            </w:tcBorders>
            <w:shd w:val="clear" w:color="auto" w:fill="auto"/>
            <w:vAlign w:val="bottom"/>
            <w:hideMark/>
          </w:tcPr>
          <w:p w14:paraId="5F7607FE"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E1D7B2E"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C0B80BB"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40566AC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E4B8D9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 the capacity of the CHU to monitor and report on the functioning of the overall internal control system</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4383BB4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FB3D8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217CD4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4CF472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58DB994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B946E5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085A04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0061126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270B60B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A89426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EC4C1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5D36CD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1A646D7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9C86BF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8E28E4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6788E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BBB93D0" w14:textId="77777777" w:rsidTr="00B84551">
        <w:trPr>
          <w:trHeight w:val="457"/>
        </w:trPr>
        <w:tc>
          <w:tcPr>
            <w:tcW w:w="702" w:type="dxa"/>
            <w:gridSpan w:val="2"/>
            <w:tcBorders>
              <w:top w:val="nil"/>
              <w:left w:val="nil"/>
              <w:bottom w:val="nil"/>
              <w:right w:val="nil"/>
            </w:tcBorders>
            <w:shd w:val="clear" w:color="auto" w:fill="auto"/>
            <w:vAlign w:val="bottom"/>
            <w:hideMark/>
          </w:tcPr>
          <w:p w14:paraId="64095D24"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64715DA"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01E3BFE"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2F0330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3E340E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Preparation of the methodology for specific Financial Management and Control issues;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03DDB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1D61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22EA5E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29E6D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2CB3E8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A2BA07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6B77E7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87AC27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82399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E8869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80FB5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C363A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77AA54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723C10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1B200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4C103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32280BA" w14:textId="77777777" w:rsidTr="00B84551">
        <w:trPr>
          <w:trHeight w:val="961"/>
        </w:trPr>
        <w:tc>
          <w:tcPr>
            <w:tcW w:w="702" w:type="dxa"/>
            <w:gridSpan w:val="2"/>
            <w:tcBorders>
              <w:top w:val="nil"/>
              <w:left w:val="nil"/>
              <w:bottom w:val="nil"/>
              <w:right w:val="nil"/>
            </w:tcBorders>
            <w:shd w:val="clear" w:color="auto" w:fill="auto"/>
            <w:vAlign w:val="bottom"/>
            <w:hideMark/>
          </w:tcPr>
          <w:p w14:paraId="06224FDC"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6D5E4E5C"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5F11C67"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DDB745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70BB83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Establishment of a network of institutions of financial issues units in coordination with the CHU, for exchange of experiences, best practices and raising awareness among public sector entities about responsibilities for the quality of financial management and control.</w:t>
            </w:r>
          </w:p>
        </w:tc>
        <w:tc>
          <w:tcPr>
            <w:tcW w:w="522" w:type="dxa"/>
            <w:gridSpan w:val="2"/>
            <w:tcBorders>
              <w:top w:val="nil"/>
              <w:left w:val="nil"/>
              <w:bottom w:val="single" w:sz="8" w:space="0" w:color="auto"/>
              <w:right w:val="single" w:sz="8" w:space="0" w:color="auto"/>
            </w:tcBorders>
            <w:shd w:val="clear" w:color="auto" w:fill="auto"/>
            <w:vAlign w:val="center"/>
            <w:hideMark/>
          </w:tcPr>
          <w:p w14:paraId="67A6610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E4537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76627F2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3BB4D84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3DAF9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2AD58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F29277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8DB57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1C2F7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F8EBF2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247BD5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53796B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09D915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7DEA76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3C8F59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F83175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5E10798" w14:textId="77777777" w:rsidTr="00B84551">
        <w:trPr>
          <w:trHeight w:val="300"/>
        </w:trPr>
        <w:tc>
          <w:tcPr>
            <w:tcW w:w="702" w:type="dxa"/>
            <w:gridSpan w:val="2"/>
            <w:tcBorders>
              <w:top w:val="nil"/>
              <w:left w:val="nil"/>
              <w:bottom w:val="nil"/>
              <w:right w:val="nil"/>
            </w:tcBorders>
            <w:shd w:val="clear" w:color="000000" w:fill="00FF00"/>
            <w:vAlign w:val="center"/>
            <w:hideMark/>
          </w:tcPr>
          <w:p w14:paraId="4DB134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22396B3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p>
        </w:tc>
        <w:tc>
          <w:tcPr>
            <w:tcW w:w="3258" w:type="dxa"/>
            <w:gridSpan w:val="2"/>
            <w:tcBorders>
              <w:top w:val="nil"/>
              <w:left w:val="nil"/>
              <w:bottom w:val="nil"/>
              <w:right w:val="nil"/>
            </w:tcBorders>
            <w:shd w:val="clear" w:color="000000" w:fill="00FF00"/>
            <w:vAlign w:val="center"/>
            <w:hideMark/>
          </w:tcPr>
          <w:p w14:paraId="0FD3426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Internal audit</w:t>
            </w:r>
          </w:p>
        </w:tc>
        <w:tc>
          <w:tcPr>
            <w:tcW w:w="522" w:type="dxa"/>
            <w:gridSpan w:val="2"/>
            <w:tcBorders>
              <w:top w:val="nil"/>
              <w:left w:val="nil"/>
              <w:bottom w:val="nil"/>
              <w:right w:val="nil"/>
            </w:tcBorders>
            <w:shd w:val="clear" w:color="000000" w:fill="00FF00"/>
            <w:vAlign w:val="center"/>
            <w:hideMark/>
          </w:tcPr>
          <w:p w14:paraId="36A8057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6E6BD6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3CFE3A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000F297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60B662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4FDB1E9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431D7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272C10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6093BD0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1EC6B11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783D3F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276839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64680EE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0710B3E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6D23B5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6A3A9E8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57259E5B" w14:textId="77777777" w:rsidTr="00B84551">
        <w:trPr>
          <w:trHeight w:val="288"/>
        </w:trPr>
        <w:tc>
          <w:tcPr>
            <w:tcW w:w="702" w:type="dxa"/>
            <w:gridSpan w:val="2"/>
            <w:tcBorders>
              <w:top w:val="nil"/>
              <w:left w:val="nil"/>
              <w:bottom w:val="nil"/>
              <w:right w:val="nil"/>
            </w:tcBorders>
            <w:shd w:val="clear" w:color="000000" w:fill="6FE7FF"/>
            <w:vAlign w:val="center"/>
            <w:hideMark/>
          </w:tcPr>
          <w:p w14:paraId="04ED4EE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EF8B0F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45AA8E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6FE7FF"/>
            <w:vAlign w:val="center"/>
            <w:hideMark/>
          </w:tcPr>
          <w:p w14:paraId="3B357E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Strengthening the quality of work of the internal audit units at the Ministries</w:t>
            </w:r>
          </w:p>
        </w:tc>
        <w:tc>
          <w:tcPr>
            <w:tcW w:w="522" w:type="dxa"/>
            <w:gridSpan w:val="2"/>
            <w:tcBorders>
              <w:top w:val="nil"/>
              <w:left w:val="nil"/>
              <w:bottom w:val="nil"/>
              <w:right w:val="nil"/>
            </w:tcBorders>
            <w:shd w:val="clear" w:color="000000" w:fill="6FE7FF"/>
            <w:vAlign w:val="center"/>
            <w:hideMark/>
          </w:tcPr>
          <w:p w14:paraId="0E3682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5C3A4A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43448D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37F684E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75489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5139291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18E945D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4829530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463DC8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361134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4D1F1C9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3D982F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2513AD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514C453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609394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5AE67BB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0148D7F2" w14:textId="77777777" w:rsidTr="00B84551">
        <w:trPr>
          <w:trHeight w:val="682"/>
        </w:trPr>
        <w:tc>
          <w:tcPr>
            <w:tcW w:w="702" w:type="dxa"/>
            <w:gridSpan w:val="2"/>
            <w:tcBorders>
              <w:top w:val="nil"/>
              <w:left w:val="nil"/>
              <w:bottom w:val="nil"/>
              <w:right w:val="nil"/>
            </w:tcBorders>
            <w:shd w:val="clear" w:color="auto" w:fill="auto"/>
            <w:vAlign w:val="bottom"/>
            <w:hideMark/>
          </w:tcPr>
          <w:p w14:paraId="5938F8B3"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79A9DD97"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4A6DFA6"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10DE851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3A4E6D9"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Improving of Human Resources capacities of Internal Audit Units in the Ministries through adequate staffing and Continuous Professional Development at the internal auditors;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838F9B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CD07DA8"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57154E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7D2BE3D"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AD91D5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646DA0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7275FDE"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C957DE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E0BA783"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02626F5"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2B13AB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426D47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B22B8F" w14:textId="1BD61A40"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E3DBB55" w14:textId="139E1C57"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1487010" w14:textId="4CA64C86"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2FFFAE5" w14:textId="016C69C0" w:rsidR="00942045" w:rsidRPr="0062158E" w:rsidRDefault="00942045" w:rsidP="00942045">
            <w:pPr>
              <w:spacing w:after="0" w:line="240" w:lineRule="auto"/>
              <w:rPr>
                <w:rFonts w:eastAsia="Times New Roman" w:cs="Calibri"/>
                <w:sz w:val="16"/>
                <w:szCs w:val="16"/>
              </w:rPr>
            </w:pPr>
            <w:r w:rsidRPr="0062158E">
              <w:rPr>
                <w:rFonts w:eastAsia="Times New Roman" w:cs="Calibri"/>
                <w:color w:val="FFFFFF"/>
                <w:sz w:val="16"/>
                <w:szCs w:val="16"/>
              </w:rPr>
              <w:t> </w:t>
            </w:r>
          </w:p>
        </w:tc>
      </w:tr>
      <w:tr w:rsidR="00C93723" w:rsidRPr="0062158E" w14:paraId="4F5197BD" w14:textId="77777777" w:rsidTr="00B84551">
        <w:trPr>
          <w:trHeight w:val="313"/>
        </w:trPr>
        <w:tc>
          <w:tcPr>
            <w:tcW w:w="702" w:type="dxa"/>
            <w:gridSpan w:val="2"/>
            <w:tcBorders>
              <w:top w:val="nil"/>
              <w:left w:val="nil"/>
              <w:bottom w:val="nil"/>
              <w:right w:val="nil"/>
            </w:tcBorders>
            <w:shd w:val="clear" w:color="auto" w:fill="auto"/>
            <w:vAlign w:val="bottom"/>
            <w:hideMark/>
          </w:tcPr>
          <w:p w14:paraId="62910D98"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1C36046"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F5163D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07076F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158FBFD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 the capacity of the CHU to monitor and report on the the quality of operations of the internal audit units;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6BE543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EB2CBE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C444C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32A77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F26AD9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9DED2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43A6AC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01FE27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24088B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0CA7E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35FCA5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CE19FA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6B5B6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41EDD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F1E561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9DA1B2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C69D9E1" w14:textId="77777777" w:rsidTr="00B84551">
        <w:trPr>
          <w:trHeight w:val="700"/>
        </w:trPr>
        <w:tc>
          <w:tcPr>
            <w:tcW w:w="702" w:type="dxa"/>
            <w:gridSpan w:val="2"/>
            <w:tcBorders>
              <w:top w:val="nil"/>
              <w:left w:val="nil"/>
              <w:bottom w:val="nil"/>
              <w:right w:val="nil"/>
            </w:tcBorders>
            <w:shd w:val="clear" w:color="auto" w:fill="auto"/>
            <w:vAlign w:val="bottom"/>
            <w:hideMark/>
          </w:tcPr>
          <w:p w14:paraId="08371A4F"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44F90AB6"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11CC2EF"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76F03F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28F917D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Establishment of a network of institutions’ internal audit units in coordination with the CHU, for exchange of experience and best practices.</w:t>
            </w:r>
          </w:p>
        </w:tc>
        <w:tc>
          <w:tcPr>
            <w:tcW w:w="522" w:type="dxa"/>
            <w:gridSpan w:val="2"/>
            <w:tcBorders>
              <w:top w:val="nil"/>
              <w:left w:val="nil"/>
              <w:bottom w:val="single" w:sz="8" w:space="0" w:color="auto"/>
              <w:right w:val="single" w:sz="8" w:space="0" w:color="auto"/>
            </w:tcBorders>
            <w:shd w:val="clear" w:color="auto" w:fill="auto"/>
            <w:vAlign w:val="center"/>
            <w:hideMark/>
          </w:tcPr>
          <w:p w14:paraId="7713800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2232A8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5A22D69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058FCB2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872798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AAC22E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8C2E3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79DEC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0831BE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0D19F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4E452A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644832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D67390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C0338D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2A8DA5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2CCF89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3B6E665" w14:textId="77777777" w:rsidTr="00B84551">
        <w:trPr>
          <w:trHeight w:val="615"/>
        </w:trPr>
        <w:tc>
          <w:tcPr>
            <w:tcW w:w="702" w:type="dxa"/>
            <w:gridSpan w:val="2"/>
            <w:tcBorders>
              <w:top w:val="nil"/>
              <w:left w:val="nil"/>
              <w:bottom w:val="nil"/>
              <w:right w:val="nil"/>
            </w:tcBorders>
            <w:shd w:val="clear" w:color="000000" w:fill="6FE7FF"/>
            <w:vAlign w:val="center"/>
            <w:hideMark/>
          </w:tcPr>
          <w:p w14:paraId="73D8647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lastRenderedPageBreak/>
              <w:t> </w:t>
            </w:r>
          </w:p>
        </w:tc>
        <w:tc>
          <w:tcPr>
            <w:tcW w:w="960" w:type="dxa"/>
            <w:gridSpan w:val="2"/>
            <w:tcBorders>
              <w:top w:val="nil"/>
              <w:left w:val="nil"/>
              <w:bottom w:val="nil"/>
              <w:right w:val="nil"/>
            </w:tcBorders>
            <w:shd w:val="clear" w:color="000000" w:fill="6FE7FF"/>
            <w:vAlign w:val="center"/>
            <w:hideMark/>
          </w:tcPr>
          <w:p w14:paraId="4F93910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6B30C6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3258" w:type="dxa"/>
            <w:gridSpan w:val="2"/>
            <w:tcBorders>
              <w:top w:val="nil"/>
              <w:left w:val="nil"/>
              <w:bottom w:val="nil"/>
              <w:right w:val="nil"/>
            </w:tcBorders>
            <w:shd w:val="clear" w:color="000000" w:fill="6FE7FF"/>
            <w:vAlign w:val="center"/>
            <w:hideMark/>
          </w:tcPr>
          <w:p w14:paraId="4933D68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Improving the abilities to carry out performance and IT internal audits in the public sector institutions</w:t>
            </w:r>
          </w:p>
        </w:tc>
        <w:tc>
          <w:tcPr>
            <w:tcW w:w="522" w:type="dxa"/>
            <w:gridSpan w:val="2"/>
            <w:tcBorders>
              <w:top w:val="nil"/>
              <w:left w:val="nil"/>
              <w:bottom w:val="nil"/>
              <w:right w:val="nil"/>
            </w:tcBorders>
            <w:shd w:val="clear" w:color="000000" w:fill="6FE7FF"/>
            <w:vAlign w:val="center"/>
            <w:hideMark/>
          </w:tcPr>
          <w:p w14:paraId="64BADF2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00EAAC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7DBACAE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02067FF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4E6914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3037170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4C7C3A5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54D8108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FFEBF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B05244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3F4EB4F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4980CEC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6D8995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5246220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7939CE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24F69B7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7AA02AA" w14:textId="77777777" w:rsidTr="00B84551">
        <w:trPr>
          <w:trHeight w:val="430"/>
        </w:trPr>
        <w:tc>
          <w:tcPr>
            <w:tcW w:w="702" w:type="dxa"/>
            <w:gridSpan w:val="2"/>
            <w:tcBorders>
              <w:top w:val="nil"/>
              <w:left w:val="nil"/>
              <w:bottom w:val="nil"/>
              <w:right w:val="nil"/>
            </w:tcBorders>
            <w:shd w:val="clear" w:color="auto" w:fill="auto"/>
            <w:vAlign w:val="bottom"/>
            <w:hideMark/>
          </w:tcPr>
          <w:p w14:paraId="3AB17314"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4989D8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DE141E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35A920C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345BCD3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Preparation and promotion methodology for specific type of internal audits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40DD47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4011F3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3A1615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7C48AD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B2AB8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0EC61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076FA49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109655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4082441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07BEBD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D1399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43E5804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6769A4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F096D0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47A7D00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0BE552E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8D7BE01" w14:textId="77777777" w:rsidTr="00B84551">
        <w:trPr>
          <w:trHeight w:val="709"/>
        </w:trPr>
        <w:tc>
          <w:tcPr>
            <w:tcW w:w="702" w:type="dxa"/>
            <w:gridSpan w:val="2"/>
            <w:tcBorders>
              <w:top w:val="nil"/>
              <w:left w:val="nil"/>
              <w:bottom w:val="nil"/>
              <w:right w:val="nil"/>
            </w:tcBorders>
            <w:shd w:val="clear" w:color="auto" w:fill="auto"/>
            <w:vAlign w:val="bottom"/>
            <w:hideMark/>
          </w:tcPr>
          <w:p w14:paraId="50352E0A"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2334204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1C649A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4F04AF6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1C93E6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Analysis of the situation and determination of the need for the establishment of a Central Unit for IT internal audits in the Ministry of Finance</w:t>
            </w:r>
          </w:p>
        </w:tc>
        <w:tc>
          <w:tcPr>
            <w:tcW w:w="522" w:type="dxa"/>
            <w:gridSpan w:val="2"/>
            <w:tcBorders>
              <w:top w:val="nil"/>
              <w:left w:val="nil"/>
              <w:bottom w:val="single" w:sz="8" w:space="0" w:color="auto"/>
              <w:right w:val="single" w:sz="8" w:space="0" w:color="auto"/>
            </w:tcBorders>
            <w:shd w:val="clear" w:color="auto" w:fill="auto"/>
            <w:vAlign w:val="center"/>
            <w:hideMark/>
          </w:tcPr>
          <w:p w14:paraId="206B122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6A3AF1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108014A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1CA5906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6A1A6A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5283D38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655A62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3ED2DE2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AA292A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E0175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4ECFB5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27307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1E284D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7A0E32D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DC272E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7BEABF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382442CE"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37A10AB3" w14:textId="7BCA5C09"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Pillar VII - External </w:t>
            </w:r>
            <w:r w:rsidR="0002594F">
              <w:rPr>
                <w:rFonts w:eastAsia="Times New Roman" w:cs="Calibri"/>
                <w:b/>
                <w:bCs/>
                <w:sz w:val="16"/>
                <w:szCs w:val="16"/>
                <w:lang w:val="en-US"/>
              </w:rPr>
              <w:t>Audit</w:t>
            </w:r>
            <w:r w:rsidRPr="0062158E">
              <w:rPr>
                <w:rFonts w:eastAsia="Times New Roman" w:cs="Calibri"/>
                <w:b/>
                <w:bCs/>
                <w:sz w:val="16"/>
                <w:szCs w:val="16"/>
              </w:rPr>
              <w:t xml:space="preserve"> and Parliamentary Oversight</w:t>
            </w:r>
          </w:p>
        </w:tc>
      </w:tr>
      <w:tr w:rsidR="00C93723" w:rsidRPr="0062158E" w14:paraId="077ED0E0" w14:textId="77777777" w:rsidTr="00B84551">
        <w:trPr>
          <w:trHeight w:val="300"/>
        </w:trPr>
        <w:tc>
          <w:tcPr>
            <w:tcW w:w="702" w:type="dxa"/>
            <w:gridSpan w:val="2"/>
            <w:tcBorders>
              <w:top w:val="nil"/>
              <w:left w:val="nil"/>
              <w:bottom w:val="nil"/>
              <w:right w:val="nil"/>
            </w:tcBorders>
            <w:shd w:val="clear" w:color="000000" w:fill="00FF00"/>
            <w:vAlign w:val="center"/>
            <w:hideMark/>
          </w:tcPr>
          <w:p w14:paraId="6223A12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0BE9C6C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1.</w:t>
            </w:r>
          </w:p>
        </w:tc>
        <w:tc>
          <w:tcPr>
            <w:tcW w:w="3258" w:type="dxa"/>
            <w:gridSpan w:val="2"/>
            <w:tcBorders>
              <w:top w:val="nil"/>
              <w:left w:val="nil"/>
              <w:bottom w:val="nil"/>
              <w:right w:val="nil"/>
            </w:tcBorders>
            <w:shd w:val="clear" w:color="000000" w:fill="00FF00"/>
            <w:vAlign w:val="center"/>
            <w:hideMark/>
          </w:tcPr>
          <w:p w14:paraId="227BC5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External audit</w:t>
            </w:r>
          </w:p>
        </w:tc>
        <w:tc>
          <w:tcPr>
            <w:tcW w:w="522" w:type="dxa"/>
            <w:gridSpan w:val="2"/>
            <w:tcBorders>
              <w:top w:val="nil"/>
              <w:left w:val="nil"/>
              <w:bottom w:val="nil"/>
              <w:right w:val="nil"/>
            </w:tcBorders>
            <w:shd w:val="clear" w:color="000000" w:fill="00FF00"/>
            <w:vAlign w:val="center"/>
            <w:hideMark/>
          </w:tcPr>
          <w:p w14:paraId="014C918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177EC9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20BC43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7165728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BE7D4A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67D6C1B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34D1A32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696BFE2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6F0318B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4D7A4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FBF7D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3034A0C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6E0878F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615559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0B80CA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66F6073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64F5E35E" w14:textId="77777777" w:rsidTr="00B84551">
        <w:trPr>
          <w:trHeight w:val="315"/>
        </w:trPr>
        <w:tc>
          <w:tcPr>
            <w:tcW w:w="702" w:type="dxa"/>
            <w:gridSpan w:val="2"/>
            <w:tcBorders>
              <w:top w:val="nil"/>
              <w:left w:val="nil"/>
              <w:bottom w:val="nil"/>
              <w:right w:val="nil"/>
            </w:tcBorders>
            <w:shd w:val="clear" w:color="000000" w:fill="6FE7FF"/>
            <w:vAlign w:val="center"/>
            <w:hideMark/>
          </w:tcPr>
          <w:p w14:paraId="271FCE5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0A3B6C1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24AFA18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00D5723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178B999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Approval legislative framework for external audit</w:t>
            </w:r>
          </w:p>
        </w:tc>
        <w:tc>
          <w:tcPr>
            <w:tcW w:w="522" w:type="dxa"/>
            <w:gridSpan w:val="2"/>
            <w:tcBorders>
              <w:top w:val="nil"/>
              <w:left w:val="nil"/>
              <w:bottom w:val="single" w:sz="8" w:space="0" w:color="auto"/>
              <w:right w:val="nil"/>
            </w:tcBorders>
            <w:shd w:val="clear" w:color="000000" w:fill="6FE7FF"/>
            <w:vAlign w:val="center"/>
            <w:hideMark/>
          </w:tcPr>
          <w:p w14:paraId="618F5D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414AF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38A161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2216876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55517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3C8441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38DB74B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56193DA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215F6A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64870A6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2BA7A65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9A5B1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49FD6A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42FBAE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C569DF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31F6D2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3E6E72B7" w14:textId="77777777" w:rsidTr="00B84551">
        <w:trPr>
          <w:trHeight w:val="430"/>
        </w:trPr>
        <w:tc>
          <w:tcPr>
            <w:tcW w:w="702" w:type="dxa"/>
            <w:gridSpan w:val="2"/>
            <w:tcBorders>
              <w:top w:val="nil"/>
              <w:left w:val="nil"/>
              <w:bottom w:val="nil"/>
              <w:right w:val="nil"/>
            </w:tcBorders>
            <w:shd w:val="clear" w:color="auto" w:fill="auto"/>
            <w:vAlign w:val="bottom"/>
            <w:hideMark/>
          </w:tcPr>
          <w:p w14:paraId="482084CF"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2293D61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C89D30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E70973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7067031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Approval of constitutional changes to achieve constitutional independence of the SAO in accordance with the principles, standards and guidelines of INTOSAI;</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AEF1E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61446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888D45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445FF2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C5AF9F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935A29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9AC98B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D6A53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306E5B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AA809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8A19C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C0B049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DBCCC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EFA95A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E4C532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11FDD0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291E24F" w14:textId="77777777" w:rsidTr="00B84551">
        <w:trPr>
          <w:trHeight w:val="718"/>
        </w:trPr>
        <w:tc>
          <w:tcPr>
            <w:tcW w:w="702" w:type="dxa"/>
            <w:gridSpan w:val="2"/>
            <w:tcBorders>
              <w:top w:val="nil"/>
              <w:left w:val="nil"/>
              <w:bottom w:val="nil"/>
              <w:right w:val="nil"/>
            </w:tcBorders>
            <w:shd w:val="clear" w:color="auto" w:fill="auto"/>
            <w:vAlign w:val="bottom"/>
            <w:hideMark/>
          </w:tcPr>
          <w:p w14:paraId="2E3399EB"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0CA49D99"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single" w:sz="8" w:space="0" w:color="auto"/>
            </w:tcBorders>
            <w:shd w:val="clear" w:color="auto" w:fill="auto"/>
            <w:vAlign w:val="bottom"/>
            <w:hideMark/>
          </w:tcPr>
          <w:p w14:paraId="223EA62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1242" w:type="dxa"/>
            <w:tcBorders>
              <w:top w:val="nil"/>
              <w:left w:val="nil"/>
              <w:bottom w:val="single" w:sz="8" w:space="0" w:color="auto"/>
              <w:right w:val="nil"/>
            </w:tcBorders>
            <w:shd w:val="clear" w:color="auto" w:fill="auto"/>
            <w:vAlign w:val="center"/>
            <w:hideMark/>
          </w:tcPr>
          <w:p w14:paraId="587959D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4278A35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Approval of external audit legal framework aimed at strengthening financial and operational independence of SAO in line with INTOSAI principles, standards and guidelines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91EFB5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49D6EC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6AED1C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BB1CB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2EDFA1A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FFFFFF"/>
            <w:vAlign w:val="center"/>
            <w:hideMark/>
          </w:tcPr>
          <w:p w14:paraId="5448B2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3EFBD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1F3D33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9F410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731775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5F210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125E695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AFAEA7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1700DCB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7207FB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54D09FD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7EEAB4C" w14:textId="77777777" w:rsidTr="00B84551">
        <w:trPr>
          <w:trHeight w:val="277"/>
        </w:trPr>
        <w:tc>
          <w:tcPr>
            <w:tcW w:w="702" w:type="dxa"/>
            <w:gridSpan w:val="2"/>
            <w:tcBorders>
              <w:top w:val="nil"/>
              <w:left w:val="nil"/>
              <w:bottom w:val="nil"/>
              <w:right w:val="nil"/>
            </w:tcBorders>
            <w:shd w:val="clear" w:color="000000" w:fill="6FE7FF"/>
            <w:vAlign w:val="center"/>
            <w:hideMark/>
          </w:tcPr>
          <w:p w14:paraId="11A3E8A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58216D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157EBD4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nil"/>
              <w:right w:val="nil"/>
            </w:tcBorders>
            <w:shd w:val="clear" w:color="000000" w:fill="6FE7FF"/>
            <w:vAlign w:val="center"/>
            <w:hideMark/>
          </w:tcPr>
          <w:p w14:paraId="3A2FF1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5C5C61B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Strengthen the institutional capacity and human resource capacities of the SAO </w:t>
            </w:r>
          </w:p>
        </w:tc>
        <w:tc>
          <w:tcPr>
            <w:tcW w:w="522" w:type="dxa"/>
            <w:gridSpan w:val="2"/>
            <w:tcBorders>
              <w:top w:val="nil"/>
              <w:left w:val="nil"/>
              <w:bottom w:val="nil"/>
              <w:right w:val="nil"/>
            </w:tcBorders>
            <w:shd w:val="clear" w:color="000000" w:fill="6FE7FF"/>
            <w:vAlign w:val="center"/>
            <w:hideMark/>
          </w:tcPr>
          <w:p w14:paraId="5F1CDF2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1A9AD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157DEB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1ACC701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FF500E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6530F3B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20189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2FFAF55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49A351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19849E6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FBD92D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76B7D9A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06261D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7F387B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34DAD87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4AAF737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CADF57F" w14:textId="77777777" w:rsidTr="00B84551">
        <w:trPr>
          <w:trHeight w:val="673"/>
        </w:trPr>
        <w:tc>
          <w:tcPr>
            <w:tcW w:w="702" w:type="dxa"/>
            <w:gridSpan w:val="2"/>
            <w:tcBorders>
              <w:top w:val="nil"/>
              <w:left w:val="nil"/>
              <w:bottom w:val="nil"/>
              <w:right w:val="nil"/>
            </w:tcBorders>
            <w:shd w:val="clear" w:color="auto" w:fill="auto"/>
            <w:vAlign w:val="bottom"/>
            <w:hideMark/>
          </w:tcPr>
          <w:p w14:paraId="2A2E6C7C"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52049DC6"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6258EC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39E2ED3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1B4168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Implementation of adopted strategic, planning and methodological acts and adoption of new methodological acts of the SAO</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04D1ED7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48F208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1DFCD6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1D709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193AE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99CDD5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1E34D2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813E47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E30FA3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7FB8D9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8736E2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6F55FD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0E5331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03E611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2C4CCA7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18FFE98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BA91BDC" w14:textId="77777777" w:rsidTr="00B84551">
        <w:trPr>
          <w:trHeight w:val="241"/>
        </w:trPr>
        <w:tc>
          <w:tcPr>
            <w:tcW w:w="702" w:type="dxa"/>
            <w:gridSpan w:val="2"/>
            <w:tcBorders>
              <w:top w:val="nil"/>
              <w:left w:val="nil"/>
              <w:bottom w:val="nil"/>
              <w:right w:val="nil"/>
            </w:tcBorders>
            <w:shd w:val="clear" w:color="auto" w:fill="auto"/>
            <w:vAlign w:val="bottom"/>
            <w:hideMark/>
          </w:tcPr>
          <w:p w14:paraId="28AFD7BD"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CF435E3"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3FC44990"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846FC2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643E15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 the capacity for conducting audits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527E4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6710BB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9DA76D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D0D10E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94D89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EA4376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CED4FB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7170F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C4C3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8F8B1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2D6A22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F188F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C455A8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BAF5F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FB75D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6E3C92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6F939D0" w14:textId="77777777" w:rsidTr="00B84551">
        <w:trPr>
          <w:trHeight w:val="421"/>
        </w:trPr>
        <w:tc>
          <w:tcPr>
            <w:tcW w:w="702" w:type="dxa"/>
            <w:gridSpan w:val="2"/>
            <w:tcBorders>
              <w:top w:val="nil"/>
              <w:left w:val="nil"/>
              <w:bottom w:val="nil"/>
              <w:right w:val="nil"/>
            </w:tcBorders>
            <w:shd w:val="clear" w:color="auto" w:fill="auto"/>
            <w:vAlign w:val="bottom"/>
            <w:hideMark/>
          </w:tcPr>
          <w:p w14:paraId="619EAB53"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1F1F784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5560F9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19FE40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DFAA1E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Increasing the visibility of the SAO and communication with the stakeholders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22D75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AAC01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3B1C8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667F8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DB73AE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95C59A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6E9624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26BC6C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BB5DF1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B3B65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0A036F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D6A08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7E0CDE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64910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C0743A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DBBC17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1D595C2" w14:textId="77777777" w:rsidTr="00B84551">
        <w:trPr>
          <w:trHeight w:val="300"/>
        </w:trPr>
        <w:tc>
          <w:tcPr>
            <w:tcW w:w="702" w:type="dxa"/>
            <w:gridSpan w:val="2"/>
            <w:tcBorders>
              <w:top w:val="nil"/>
              <w:left w:val="nil"/>
              <w:bottom w:val="nil"/>
              <w:right w:val="nil"/>
            </w:tcBorders>
            <w:shd w:val="clear" w:color="000000" w:fill="00FF00"/>
            <w:vAlign w:val="center"/>
            <w:hideMark/>
          </w:tcPr>
          <w:p w14:paraId="222B9CA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7E25A66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Priority 2.</w:t>
            </w:r>
          </w:p>
        </w:tc>
        <w:tc>
          <w:tcPr>
            <w:tcW w:w="3258" w:type="dxa"/>
            <w:gridSpan w:val="2"/>
            <w:tcBorders>
              <w:top w:val="nil"/>
              <w:left w:val="nil"/>
              <w:bottom w:val="nil"/>
              <w:right w:val="nil"/>
            </w:tcBorders>
            <w:shd w:val="clear" w:color="000000" w:fill="00FF00"/>
            <w:vAlign w:val="center"/>
            <w:hideMark/>
          </w:tcPr>
          <w:p w14:paraId="056EBC2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Parliamentary oversight </w:t>
            </w:r>
          </w:p>
        </w:tc>
        <w:tc>
          <w:tcPr>
            <w:tcW w:w="522" w:type="dxa"/>
            <w:gridSpan w:val="2"/>
            <w:tcBorders>
              <w:top w:val="nil"/>
              <w:left w:val="nil"/>
              <w:bottom w:val="nil"/>
              <w:right w:val="nil"/>
            </w:tcBorders>
            <w:shd w:val="clear" w:color="000000" w:fill="00FF00"/>
            <w:vAlign w:val="center"/>
            <w:hideMark/>
          </w:tcPr>
          <w:p w14:paraId="0434F7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EF8F04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2F27688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15E0EF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713FF6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3DD6F35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7A42B88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6CAD33E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4BAC4B3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BCEE0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3A779B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1983897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663CF1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4AFCEA2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3AF5A0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591D3DB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1D505ACB" w14:textId="77777777" w:rsidTr="00B84551">
        <w:trPr>
          <w:trHeight w:val="864"/>
        </w:trPr>
        <w:tc>
          <w:tcPr>
            <w:tcW w:w="702" w:type="dxa"/>
            <w:gridSpan w:val="2"/>
            <w:tcBorders>
              <w:top w:val="nil"/>
              <w:left w:val="nil"/>
              <w:bottom w:val="nil"/>
              <w:right w:val="nil"/>
            </w:tcBorders>
            <w:shd w:val="clear" w:color="000000" w:fill="6FE7FF"/>
            <w:vAlign w:val="center"/>
            <w:hideMark/>
          </w:tcPr>
          <w:p w14:paraId="09DF0C1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4CE0B0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2550" w:type="dxa"/>
            <w:gridSpan w:val="3"/>
            <w:tcBorders>
              <w:top w:val="nil"/>
              <w:left w:val="nil"/>
              <w:bottom w:val="nil"/>
              <w:right w:val="nil"/>
            </w:tcBorders>
            <w:shd w:val="clear" w:color="000000" w:fill="6FE7FF"/>
            <w:vAlign w:val="center"/>
            <w:hideMark/>
          </w:tcPr>
          <w:p w14:paraId="62D3303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3258" w:type="dxa"/>
            <w:gridSpan w:val="2"/>
            <w:tcBorders>
              <w:top w:val="nil"/>
              <w:left w:val="nil"/>
              <w:bottom w:val="nil"/>
              <w:right w:val="nil"/>
            </w:tcBorders>
            <w:shd w:val="clear" w:color="000000" w:fill="6FE7FF"/>
            <w:vAlign w:val="center"/>
            <w:hideMark/>
          </w:tcPr>
          <w:p w14:paraId="5AEDC2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Establishing a mechanism for reviewing the audit reports and the measures taken following the recommendations given in the audit reports in the RNM Assembly</w:t>
            </w:r>
          </w:p>
        </w:tc>
        <w:tc>
          <w:tcPr>
            <w:tcW w:w="522" w:type="dxa"/>
            <w:gridSpan w:val="2"/>
            <w:tcBorders>
              <w:top w:val="nil"/>
              <w:left w:val="nil"/>
              <w:bottom w:val="nil"/>
              <w:right w:val="nil"/>
            </w:tcBorders>
            <w:shd w:val="clear" w:color="000000" w:fill="6FE7FF"/>
            <w:vAlign w:val="center"/>
            <w:hideMark/>
          </w:tcPr>
          <w:p w14:paraId="6E5C4EE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664C96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233622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6EE335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D75F36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5106C6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BEAA29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436B8D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02759D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50ADD90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386BD88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1C5E9DF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74DEEE4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2768536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853FA5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78B6F13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942045" w:rsidRPr="0062158E" w14:paraId="6234480A" w14:textId="77777777" w:rsidTr="00B84551">
        <w:trPr>
          <w:trHeight w:val="457"/>
        </w:trPr>
        <w:tc>
          <w:tcPr>
            <w:tcW w:w="702" w:type="dxa"/>
            <w:gridSpan w:val="2"/>
            <w:tcBorders>
              <w:top w:val="nil"/>
              <w:left w:val="nil"/>
              <w:bottom w:val="nil"/>
              <w:right w:val="nil"/>
            </w:tcBorders>
            <w:shd w:val="clear" w:color="auto" w:fill="auto"/>
            <w:vAlign w:val="bottom"/>
            <w:hideMark/>
          </w:tcPr>
          <w:p w14:paraId="2EB7DDD0" w14:textId="77777777" w:rsidR="00942045" w:rsidRPr="0062158E" w:rsidRDefault="00942045" w:rsidP="00942045">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5EC533A7"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E5B6542"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23487BC8"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2EC1633A"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Implementation of concluded Memorandum of cooperation between the Assembly and the SAO.</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C086B0E" w14:textId="5308081B"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FFE0C2" w14:textId="0985E19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85E6929" w14:textId="6DD9DCE2"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8F53F50" w14:textId="27DE0E81"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38A8560" w14:textId="68EEC681"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42B9F40" w14:textId="26A6A546"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88918E5" w14:textId="6305092E"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E8CB6FA" w14:textId="0EC756A1"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754479F" w14:textId="5DCB2391"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74C7E73" w14:textId="52BBBB99"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C9BB388" w14:textId="5CBEA083"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C433343" w14:textId="3A3ECB5C"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912566C" w14:textId="747B9200"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F8A5935" w14:textId="78A63531"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98D1646" w14:textId="6FE83B47"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49C7B55" w14:textId="4B39AE73" w:rsidR="00942045" w:rsidRPr="00942045" w:rsidRDefault="00942045" w:rsidP="00942045">
            <w:pPr>
              <w:spacing w:after="0" w:line="240" w:lineRule="auto"/>
              <w:rPr>
                <w:rFonts w:eastAsia="Times New Roman" w:cs="Calibri"/>
                <w:color w:val="FFFFFF"/>
                <w:sz w:val="16"/>
                <w:szCs w:val="16"/>
              </w:rPr>
            </w:pPr>
            <w:r w:rsidRPr="0062158E">
              <w:rPr>
                <w:rFonts w:eastAsia="Times New Roman" w:cs="Calibri"/>
                <w:color w:val="FFFFFF"/>
                <w:sz w:val="16"/>
                <w:szCs w:val="16"/>
              </w:rPr>
              <w:t> </w:t>
            </w:r>
          </w:p>
        </w:tc>
      </w:tr>
      <w:tr w:rsidR="00942045" w:rsidRPr="0062158E" w14:paraId="4066C82D" w14:textId="77777777" w:rsidTr="00B84551">
        <w:trPr>
          <w:trHeight w:val="538"/>
        </w:trPr>
        <w:tc>
          <w:tcPr>
            <w:tcW w:w="702" w:type="dxa"/>
            <w:gridSpan w:val="2"/>
            <w:tcBorders>
              <w:top w:val="nil"/>
              <w:left w:val="nil"/>
              <w:bottom w:val="nil"/>
              <w:right w:val="nil"/>
            </w:tcBorders>
            <w:shd w:val="clear" w:color="auto" w:fill="auto"/>
            <w:vAlign w:val="bottom"/>
            <w:hideMark/>
          </w:tcPr>
          <w:p w14:paraId="0ABC9183" w14:textId="77777777" w:rsidR="00942045" w:rsidRPr="0062158E" w:rsidRDefault="00942045" w:rsidP="00942045">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7F26F4F3" w14:textId="77777777" w:rsidR="00942045" w:rsidRPr="0062158E" w:rsidRDefault="00942045" w:rsidP="00942045">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4900E7C" w14:textId="77777777" w:rsidR="00942045" w:rsidRPr="0062158E" w:rsidRDefault="00942045" w:rsidP="00942045">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7588566D"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A689A53" w14:textId="77777777" w:rsidR="00942045" w:rsidRPr="0062158E" w:rsidRDefault="00942045" w:rsidP="00942045">
            <w:pPr>
              <w:spacing w:after="0" w:line="240" w:lineRule="auto"/>
              <w:rPr>
                <w:rFonts w:eastAsia="Times New Roman" w:cs="Calibri"/>
                <w:sz w:val="16"/>
                <w:szCs w:val="16"/>
              </w:rPr>
            </w:pPr>
            <w:r w:rsidRPr="0062158E">
              <w:rPr>
                <w:rFonts w:eastAsia="Times New Roman" w:cs="Calibri"/>
                <w:sz w:val="16"/>
                <w:szCs w:val="16"/>
              </w:rPr>
              <w:t>Preparation of final/proposal procedures in the SAO and the Assembly for submission and review of audit reports and other documents.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9F5060A"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F5AE0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7235C07"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28E45A6"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12A141"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0C1446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6A251F"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01ED9D9" w14:textId="77777777"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982D87" w14:textId="2DC184BE"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B1769C3" w14:textId="632E990A"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C412FE3" w14:textId="034C2DA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BD6ED55" w14:textId="5101CA0C"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F5BB5DE" w14:textId="424053E9"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C5CACE9" w14:textId="008DAEE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A624761" w14:textId="5F8F76A0"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7591AD2" w14:textId="6D3B44A8" w:rsidR="00942045" w:rsidRPr="0062158E" w:rsidRDefault="00942045" w:rsidP="00942045">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5AF43FD" w14:textId="77777777" w:rsidTr="00B84551">
        <w:trPr>
          <w:trHeight w:val="615"/>
        </w:trPr>
        <w:tc>
          <w:tcPr>
            <w:tcW w:w="702" w:type="dxa"/>
            <w:gridSpan w:val="2"/>
            <w:tcBorders>
              <w:top w:val="nil"/>
              <w:left w:val="nil"/>
              <w:bottom w:val="nil"/>
              <w:right w:val="nil"/>
            </w:tcBorders>
            <w:shd w:val="clear" w:color="auto" w:fill="auto"/>
            <w:vAlign w:val="bottom"/>
            <w:hideMark/>
          </w:tcPr>
          <w:p w14:paraId="421A30AD"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01CA3DE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6B4C332"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FB1229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6987F78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Reviewing of summary reports from final audit reports from certain areas by the Assembly.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02F00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23E96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ABD9C8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72A18B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50411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832A5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A0A891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139BD0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F166E1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A8973E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630CDD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956B32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E23185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36A68A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43E740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AF575A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786D3AF" w14:textId="77777777" w:rsidTr="00B84551">
        <w:trPr>
          <w:trHeight w:val="615"/>
        </w:trPr>
        <w:tc>
          <w:tcPr>
            <w:tcW w:w="702" w:type="dxa"/>
            <w:gridSpan w:val="2"/>
            <w:tcBorders>
              <w:top w:val="nil"/>
              <w:left w:val="nil"/>
              <w:bottom w:val="nil"/>
              <w:right w:val="nil"/>
            </w:tcBorders>
            <w:shd w:val="clear" w:color="000000" w:fill="6FE7FF"/>
            <w:vAlign w:val="center"/>
            <w:hideMark/>
          </w:tcPr>
          <w:p w14:paraId="4FCFFCD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79241D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797A43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nil"/>
              <w:right w:val="nil"/>
            </w:tcBorders>
            <w:shd w:val="clear" w:color="000000" w:fill="6FE7FF"/>
            <w:vAlign w:val="center"/>
            <w:hideMark/>
          </w:tcPr>
          <w:p w14:paraId="6272C09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6753790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Strengthening the institutional capacities for reviewing audit reports in the Assembly of RNM.</w:t>
            </w:r>
          </w:p>
        </w:tc>
        <w:tc>
          <w:tcPr>
            <w:tcW w:w="522" w:type="dxa"/>
            <w:gridSpan w:val="2"/>
            <w:tcBorders>
              <w:top w:val="nil"/>
              <w:left w:val="nil"/>
              <w:bottom w:val="nil"/>
              <w:right w:val="nil"/>
            </w:tcBorders>
            <w:shd w:val="clear" w:color="000000" w:fill="6FE7FF"/>
            <w:vAlign w:val="center"/>
            <w:hideMark/>
          </w:tcPr>
          <w:p w14:paraId="085724B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22931A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516319C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61E0CB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07D975F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3C8EE4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50D2EC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46B5B6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441A392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3D0E98F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740EAD0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721168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20D4411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09D28C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6D665AE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0ABA48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A2943F4" w14:textId="77777777" w:rsidTr="00B84551">
        <w:trPr>
          <w:trHeight w:val="1215"/>
        </w:trPr>
        <w:tc>
          <w:tcPr>
            <w:tcW w:w="702" w:type="dxa"/>
            <w:gridSpan w:val="2"/>
            <w:tcBorders>
              <w:top w:val="nil"/>
              <w:left w:val="nil"/>
              <w:bottom w:val="nil"/>
              <w:right w:val="nil"/>
            </w:tcBorders>
            <w:shd w:val="clear" w:color="auto" w:fill="auto"/>
            <w:vAlign w:val="bottom"/>
            <w:hideMark/>
          </w:tcPr>
          <w:p w14:paraId="7A73AECC"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305BA3A"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DC60F1F"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423F001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05F428F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Preparation of a Training Plan for MPs and employees of the RNM Assembly Service in order to facilitate the understanding of the audit reports and preparation for a debate on the audit reports.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2D32ED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AB8DC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0DDBDE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5CC25A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3CD81D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DFAC6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89D516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649761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B43889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8DB48C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461F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4AF59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5FE389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4CE001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DE6B9F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7790E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67987CEA" w14:textId="77777777" w:rsidTr="00B84551">
        <w:trPr>
          <w:trHeight w:val="880"/>
        </w:trPr>
        <w:tc>
          <w:tcPr>
            <w:tcW w:w="702" w:type="dxa"/>
            <w:gridSpan w:val="2"/>
            <w:tcBorders>
              <w:top w:val="nil"/>
              <w:left w:val="nil"/>
              <w:bottom w:val="nil"/>
              <w:right w:val="nil"/>
            </w:tcBorders>
            <w:shd w:val="clear" w:color="auto" w:fill="auto"/>
            <w:vAlign w:val="bottom"/>
            <w:hideMark/>
          </w:tcPr>
          <w:p w14:paraId="2C20C1A2"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FB11D18"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8B6193B"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CF2BB7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70F4FB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xml:space="preserve">Conducting trainings in accordance with the Training Plan for the Members of Parliament and employees of the RNM Assembly Service in order to facilitate the understanding of the audit reports and preparation for the debate on the audit reports.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172579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A96AD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19532B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3C754C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10C6A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47144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85FAA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91C72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35C95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D10A8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8E59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F02D58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AC6576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61345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C5A9B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B1B765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53C3A1F" w14:textId="77777777" w:rsidTr="00B84551">
        <w:trPr>
          <w:trHeight w:val="610"/>
        </w:trPr>
        <w:tc>
          <w:tcPr>
            <w:tcW w:w="702" w:type="dxa"/>
            <w:gridSpan w:val="2"/>
            <w:tcBorders>
              <w:top w:val="nil"/>
              <w:left w:val="nil"/>
              <w:bottom w:val="nil"/>
              <w:right w:val="nil"/>
            </w:tcBorders>
            <w:shd w:val="clear" w:color="auto" w:fill="auto"/>
            <w:vAlign w:val="bottom"/>
            <w:hideMark/>
          </w:tcPr>
          <w:p w14:paraId="5FFD0096"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080C63B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E59580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493503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427882D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Implementation of activities for strengthening cooperation with Committee on Financing and Budget,</w:t>
            </w:r>
            <w:r w:rsidRPr="0062158E">
              <w:rPr>
                <w:rFonts w:eastAsia="Times New Roman" w:cs="Calibri"/>
                <w:sz w:val="16"/>
                <w:szCs w:val="16"/>
              </w:rPr>
              <w:br/>
              <w:t>Parliamentary Institute and the Parliamentary budget office of the RNM Assembly.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43FD1B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F5E078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553343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406CC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3E48A7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9FB7A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754D6F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CC760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7DA671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0B2323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3DB6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D915D7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CBBB6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851B09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0F1423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2850C7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7522B4A" w14:textId="77777777" w:rsidTr="00B84551">
        <w:trPr>
          <w:trHeight w:val="300"/>
        </w:trPr>
        <w:tc>
          <w:tcPr>
            <w:tcW w:w="15210" w:type="dxa"/>
            <w:gridSpan w:val="54"/>
            <w:tcBorders>
              <w:top w:val="nil"/>
              <w:left w:val="nil"/>
              <w:bottom w:val="nil"/>
              <w:right w:val="nil"/>
            </w:tcBorders>
            <w:shd w:val="clear" w:color="000000" w:fill="33CCFF"/>
            <w:vAlign w:val="center"/>
            <w:hideMark/>
          </w:tcPr>
          <w:p w14:paraId="228EB21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Pillar VIII - PFM at Local Level</w:t>
            </w:r>
          </w:p>
        </w:tc>
      </w:tr>
      <w:tr w:rsidR="00C93723" w:rsidRPr="0062158E" w14:paraId="660DA813" w14:textId="77777777" w:rsidTr="00B84551">
        <w:trPr>
          <w:trHeight w:val="117"/>
        </w:trPr>
        <w:tc>
          <w:tcPr>
            <w:tcW w:w="702" w:type="dxa"/>
            <w:gridSpan w:val="2"/>
            <w:tcBorders>
              <w:top w:val="nil"/>
              <w:left w:val="nil"/>
              <w:bottom w:val="nil"/>
              <w:right w:val="nil"/>
            </w:tcBorders>
            <w:shd w:val="clear" w:color="000000" w:fill="00FF00"/>
            <w:vAlign w:val="center"/>
            <w:hideMark/>
          </w:tcPr>
          <w:p w14:paraId="06538C0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4E30A43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1.</w:t>
            </w:r>
          </w:p>
        </w:tc>
        <w:tc>
          <w:tcPr>
            <w:tcW w:w="3258" w:type="dxa"/>
            <w:gridSpan w:val="2"/>
            <w:tcBorders>
              <w:top w:val="nil"/>
              <w:left w:val="nil"/>
              <w:bottom w:val="nil"/>
              <w:right w:val="nil"/>
            </w:tcBorders>
            <w:shd w:val="clear" w:color="000000" w:fill="00FF00"/>
            <w:vAlign w:val="center"/>
            <w:hideMark/>
          </w:tcPr>
          <w:p w14:paraId="3B18B5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Fiscal decentralization</w:t>
            </w:r>
          </w:p>
        </w:tc>
        <w:tc>
          <w:tcPr>
            <w:tcW w:w="522" w:type="dxa"/>
            <w:gridSpan w:val="2"/>
            <w:tcBorders>
              <w:top w:val="nil"/>
              <w:left w:val="nil"/>
              <w:bottom w:val="nil"/>
              <w:right w:val="nil"/>
            </w:tcBorders>
            <w:shd w:val="clear" w:color="000000" w:fill="00FF00"/>
            <w:vAlign w:val="center"/>
            <w:hideMark/>
          </w:tcPr>
          <w:p w14:paraId="3DF7384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036DA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636F10D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36E699B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7A4F55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1E6543A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2DE236B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5A59CF6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4276F38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869F3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43B958A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3889FBB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2089A20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B19892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7DAFC09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5A7C1A6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07892109" w14:textId="77777777" w:rsidTr="00B84551">
        <w:trPr>
          <w:trHeight w:val="315"/>
        </w:trPr>
        <w:tc>
          <w:tcPr>
            <w:tcW w:w="702" w:type="dxa"/>
            <w:gridSpan w:val="2"/>
            <w:tcBorders>
              <w:top w:val="nil"/>
              <w:left w:val="nil"/>
              <w:bottom w:val="nil"/>
              <w:right w:val="nil"/>
            </w:tcBorders>
            <w:shd w:val="clear" w:color="000000" w:fill="6FE7FF"/>
            <w:vAlign w:val="center"/>
            <w:hideMark/>
          </w:tcPr>
          <w:p w14:paraId="34F5C5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53B069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31D33FF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104A5F1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102FE1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Improving fiscal capacity and increasing municipal revenues</w:t>
            </w:r>
          </w:p>
        </w:tc>
        <w:tc>
          <w:tcPr>
            <w:tcW w:w="522" w:type="dxa"/>
            <w:gridSpan w:val="2"/>
            <w:tcBorders>
              <w:top w:val="nil"/>
              <w:left w:val="nil"/>
              <w:bottom w:val="single" w:sz="8" w:space="0" w:color="auto"/>
              <w:right w:val="nil"/>
            </w:tcBorders>
            <w:shd w:val="clear" w:color="000000" w:fill="6FE7FF"/>
            <w:vAlign w:val="center"/>
            <w:hideMark/>
          </w:tcPr>
          <w:p w14:paraId="17D9CA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192CFB8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6DB96CA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7D8B7A3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6ADBBD7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0B0118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41530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7BE6141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49DF68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7B082F4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040994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7E987B7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3AC4A7C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2565050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2F7E12C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12A2B86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7E4C84D9" w14:textId="77777777" w:rsidTr="00B84551">
        <w:trPr>
          <w:trHeight w:val="331"/>
        </w:trPr>
        <w:tc>
          <w:tcPr>
            <w:tcW w:w="702" w:type="dxa"/>
            <w:gridSpan w:val="2"/>
            <w:tcBorders>
              <w:top w:val="nil"/>
              <w:left w:val="nil"/>
              <w:bottom w:val="nil"/>
              <w:right w:val="nil"/>
            </w:tcBorders>
            <w:shd w:val="clear" w:color="auto" w:fill="auto"/>
            <w:vAlign w:val="bottom"/>
            <w:hideMark/>
          </w:tcPr>
          <w:p w14:paraId="32C5130A"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D782606"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557814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59077D7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0F656E6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Addoption of a  New Law on Financing Local Government Units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148A73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443F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433AD8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D955C7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60989E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06FBB41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1389C0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73C7029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34BC898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FF5819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878A35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571F309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29932C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A3EEA0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AA48BD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2595C8F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61A96979" w14:textId="77777777" w:rsidTr="00B84551">
        <w:trPr>
          <w:trHeight w:val="277"/>
        </w:trPr>
        <w:tc>
          <w:tcPr>
            <w:tcW w:w="702" w:type="dxa"/>
            <w:gridSpan w:val="2"/>
            <w:tcBorders>
              <w:top w:val="nil"/>
              <w:left w:val="nil"/>
              <w:bottom w:val="nil"/>
              <w:right w:val="nil"/>
            </w:tcBorders>
            <w:shd w:val="clear" w:color="auto" w:fill="auto"/>
            <w:vAlign w:val="bottom"/>
            <w:hideMark/>
          </w:tcPr>
          <w:p w14:paraId="58916B19"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5DC67812"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1F92A2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ED2C4F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6DA939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Preparation of by-laws of the new Law on financing of local self-government units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A5DD94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D64900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5F6D26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8F1D21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015AA0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A298B9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6DC012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125405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D20FC4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57BFB8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06C3C0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3348EE22"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0FE44A4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4403051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2E67DF9"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1F7B8BA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r>
      <w:tr w:rsidR="00C93723" w:rsidRPr="0062158E" w14:paraId="4F0E0393" w14:textId="77777777" w:rsidTr="00B84551">
        <w:trPr>
          <w:trHeight w:val="223"/>
        </w:trPr>
        <w:tc>
          <w:tcPr>
            <w:tcW w:w="702" w:type="dxa"/>
            <w:gridSpan w:val="2"/>
            <w:tcBorders>
              <w:top w:val="nil"/>
              <w:left w:val="nil"/>
              <w:bottom w:val="nil"/>
              <w:right w:val="nil"/>
            </w:tcBorders>
            <w:shd w:val="clear" w:color="auto" w:fill="auto"/>
            <w:vAlign w:val="bottom"/>
            <w:hideMark/>
          </w:tcPr>
          <w:p w14:paraId="3B401EB3" w14:textId="77777777" w:rsidR="00C93723" w:rsidRPr="0062158E" w:rsidRDefault="00C93723" w:rsidP="00C93723">
            <w:pPr>
              <w:spacing w:after="0" w:line="240" w:lineRule="auto"/>
              <w:rPr>
                <w:rFonts w:eastAsia="Times New Roman" w:cs="Calibri"/>
                <w:sz w:val="16"/>
                <w:szCs w:val="16"/>
              </w:rPr>
            </w:pPr>
          </w:p>
        </w:tc>
        <w:tc>
          <w:tcPr>
            <w:tcW w:w="960" w:type="dxa"/>
            <w:gridSpan w:val="2"/>
            <w:tcBorders>
              <w:top w:val="nil"/>
              <w:left w:val="nil"/>
              <w:bottom w:val="nil"/>
              <w:right w:val="nil"/>
            </w:tcBorders>
            <w:shd w:val="clear" w:color="auto" w:fill="auto"/>
            <w:vAlign w:val="bottom"/>
            <w:hideMark/>
          </w:tcPr>
          <w:p w14:paraId="25E6876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7E5541C"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53D879E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2C99AE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Improving the legal regulation for local revenues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B48D0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372F7D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C9AE85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DD142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E784D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FE0F68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45EE75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7DD10C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6DA64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34AE51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B4462A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9886CD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1C450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34B0A8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0DF86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A2E58B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1F75F57" w14:textId="77777777" w:rsidTr="00B84551">
        <w:trPr>
          <w:trHeight w:val="915"/>
        </w:trPr>
        <w:tc>
          <w:tcPr>
            <w:tcW w:w="702" w:type="dxa"/>
            <w:gridSpan w:val="2"/>
            <w:tcBorders>
              <w:top w:val="nil"/>
              <w:left w:val="nil"/>
              <w:bottom w:val="nil"/>
              <w:right w:val="nil"/>
            </w:tcBorders>
            <w:shd w:val="clear" w:color="auto" w:fill="auto"/>
            <w:vAlign w:val="bottom"/>
            <w:hideMark/>
          </w:tcPr>
          <w:p w14:paraId="67AC06DA"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4D8FBAFA"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1E04E43C"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CB49C5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77DEF84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Revision of the criteria for distribution of block and earmarked grants and determination of criteria for allocation of capital grants.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FE7452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655047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69A445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73DA7E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35E6BD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85C99D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386621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56DBA6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D96295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4BDA3F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A48D42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7000C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7DA27E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73AC8E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53B02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3DB5FC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8003ABB" w14:textId="77777777" w:rsidTr="00B84551">
        <w:trPr>
          <w:trHeight w:val="43"/>
        </w:trPr>
        <w:tc>
          <w:tcPr>
            <w:tcW w:w="702" w:type="dxa"/>
            <w:gridSpan w:val="2"/>
            <w:tcBorders>
              <w:top w:val="nil"/>
              <w:left w:val="nil"/>
              <w:bottom w:val="nil"/>
              <w:right w:val="nil"/>
            </w:tcBorders>
            <w:shd w:val="clear" w:color="000000" w:fill="6FE7FF"/>
            <w:vAlign w:val="center"/>
            <w:hideMark/>
          </w:tcPr>
          <w:p w14:paraId="4A11700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A03E48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2263186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nil"/>
              <w:right w:val="nil"/>
            </w:tcBorders>
            <w:shd w:val="clear" w:color="000000" w:fill="6FE7FF"/>
            <w:vAlign w:val="center"/>
            <w:hideMark/>
          </w:tcPr>
          <w:p w14:paraId="4EAB65C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206C7F0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Regional and local development</w:t>
            </w:r>
          </w:p>
        </w:tc>
        <w:tc>
          <w:tcPr>
            <w:tcW w:w="522" w:type="dxa"/>
            <w:gridSpan w:val="2"/>
            <w:tcBorders>
              <w:top w:val="nil"/>
              <w:left w:val="nil"/>
              <w:bottom w:val="nil"/>
              <w:right w:val="nil"/>
            </w:tcBorders>
            <w:shd w:val="clear" w:color="000000" w:fill="6FE7FF"/>
            <w:vAlign w:val="center"/>
            <w:hideMark/>
          </w:tcPr>
          <w:p w14:paraId="7D50F8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65CBD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4ED138F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4B84281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803B11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30AD569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04DF77C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0C04065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1173C55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16597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5171287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7D2A54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5C04ABD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3A424AA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1C379F5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1CE7E9C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4D284543" w14:textId="77777777" w:rsidTr="00B84551">
        <w:trPr>
          <w:trHeight w:val="547"/>
        </w:trPr>
        <w:tc>
          <w:tcPr>
            <w:tcW w:w="702" w:type="dxa"/>
            <w:gridSpan w:val="2"/>
            <w:tcBorders>
              <w:top w:val="nil"/>
              <w:left w:val="nil"/>
              <w:bottom w:val="nil"/>
              <w:right w:val="nil"/>
            </w:tcBorders>
            <w:shd w:val="clear" w:color="auto" w:fill="auto"/>
            <w:vAlign w:val="bottom"/>
            <w:hideMark/>
          </w:tcPr>
          <w:p w14:paraId="0BD9DDB2"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401AAD43"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5A75B4A3"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single" w:sz="8" w:space="0" w:color="auto"/>
              <w:left w:val="single" w:sz="8" w:space="0" w:color="auto"/>
              <w:bottom w:val="single" w:sz="8" w:space="0" w:color="auto"/>
              <w:right w:val="nil"/>
            </w:tcBorders>
            <w:shd w:val="clear" w:color="auto" w:fill="auto"/>
            <w:vAlign w:val="center"/>
            <w:hideMark/>
          </w:tcPr>
          <w:p w14:paraId="709FAE20"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38E7E47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Establishment of the Agency for Regional and Local Development and achieving balanced regional development.</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3334267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2B43B0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74A7F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4FFCA0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9A29A3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5E01E6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09E9064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4BA36E4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7CB278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27B8890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D6D148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0CBA449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60E6D0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1EC5C3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39A8FC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4B8BCC4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9CDAE9A" w14:textId="77777777" w:rsidTr="00B84551">
        <w:trPr>
          <w:trHeight w:val="313"/>
        </w:trPr>
        <w:tc>
          <w:tcPr>
            <w:tcW w:w="702" w:type="dxa"/>
            <w:gridSpan w:val="2"/>
            <w:tcBorders>
              <w:top w:val="nil"/>
              <w:left w:val="nil"/>
              <w:bottom w:val="nil"/>
              <w:right w:val="nil"/>
            </w:tcBorders>
            <w:shd w:val="clear" w:color="auto" w:fill="auto"/>
            <w:vAlign w:val="bottom"/>
            <w:hideMark/>
          </w:tcPr>
          <w:p w14:paraId="1CF5FF26"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244A062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6DC0773"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216A078"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nil"/>
              <w:right w:val="nil"/>
            </w:tcBorders>
            <w:shd w:val="clear" w:color="auto" w:fill="auto"/>
            <w:vAlign w:val="center"/>
            <w:hideMark/>
          </w:tcPr>
          <w:p w14:paraId="3916DF5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Determination of municipal  development index</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D827B2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1BB454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85DCB4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14B25E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AF9C59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B1F08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0A1887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FFD684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796D31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02D356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167A48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01F107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2C7FED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D87AAB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8ACDB9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A70F0A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56A050FD" w14:textId="77777777" w:rsidTr="00B84551">
        <w:trPr>
          <w:trHeight w:val="349"/>
        </w:trPr>
        <w:tc>
          <w:tcPr>
            <w:tcW w:w="702" w:type="dxa"/>
            <w:gridSpan w:val="2"/>
            <w:tcBorders>
              <w:top w:val="nil"/>
              <w:left w:val="nil"/>
              <w:bottom w:val="nil"/>
              <w:right w:val="nil"/>
            </w:tcBorders>
            <w:shd w:val="clear" w:color="000000" w:fill="00FF00"/>
            <w:vAlign w:val="center"/>
            <w:hideMark/>
          </w:tcPr>
          <w:p w14:paraId="62B04C0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510" w:type="dxa"/>
            <w:gridSpan w:val="5"/>
            <w:tcBorders>
              <w:top w:val="nil"/>
              <w:left w:val="nil"/>
              <w:bottom w:val="nil"/>
              <w:right w:val="nil"/>
            </w:tcBorders>
            <w:shd w:val="clear" w:color="000000" w:fill="00FF00"/>
            <w:vAlign w:val="center"/>
            <w:hideMark/>
          </w:tcPr>
          <w:p w14:paraId="2061423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xml:space="preserve"> Priority 2.</w:t>
            </w:r>
          </w:p>
        </w:tc>
        <w:tc>
          <w:tcPr>
            <w:tcW w:w="3258" w:type="dxa"/>
            <w:gridSpan w:val="2"/>
            <w:tcBorders>
              <w:top w:val="nil"/>
              <w:left w:val="nil"/>
              <w:bottom w:val="nil"/>
              <w:right w:val="nil"/>
            </w:tcBorders>
            <w:shd w:val="clear" w:color="000000" w:fill="00FF00"/>
            <w:vAlign w:val="center"/>
            <w:hideMark/>
          </w:tcPr>
          <w:p w14:paraId="4E3729F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Financial discipline, transparency and accountability at local level</w:t>
            </w:r>
          </w:p>
        </w:tc>
        <w:tc>
          <w:tcPr>
            <w:tcW w:w="522" w:type="dxa"/>
            <w:gridSpan w:val="2"/>
            <w:tcBorders>
              <w:top w:val="nil"/>
              <w:left w:val="nil"/>
              <w:bottom w:val="nil"/>
              <w:right w:val="nil"/>
            </w:tcBorders>
            <w:shd w:val="clear" w:color="000000" w:fill="00FF00"/>
            <w:vAlign w:val="center"/>
            <w:hideMark/>
          </w:tcPr>
          <w:p w14:paraId="3552336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2D8B29F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00FF00"/>
            <w:vAlign w:val="center"/>
            <w:hideMark/>
          </w:tcPr>
          <w:p w14:paraId="4ED50AD8"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00FF00"/>
            <w:vAlign w:val="center"/>
            <w:hideMark/>
          </w:tcPr>
          <w:p w14:paraId="5E0DE9D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6CFDF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00FF00"/>
            <w:vAlign w:val="center"/>
            <w:hideMark/>
          </w:tcPr>
          <w:p w14:paraId="7FC1E744"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4CD2111E"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00FF00"/>
            <w:vAlign w:val="center"/>
            <w:hideMark/>
          </w:tcPr>
          <w:p w14:paraId="31E777A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17E60DA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FA653D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00FF00"/>
            <w:vAlign w:val="center"/>
            <w:hideMark/>
          </w:tcPr>
          <w:p w14:paraId="5AEA9A2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00FF00"/>
            <w:vAlign w:val="center"/>
            <w:hideMark/>
          </w:tcPr>
          <w:p w14:paraId="75295FA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00FF00"/>
            <w:vAlign w:val="center"/>
            <w:hideMark/>
          </w:tcPr>
          <w:p w14:paraId="4F466E9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00FF00"/>
            <w:vAlign w:val="center"/>
            <w:hideMark/>
          </w:tcPr>
          <w:p w14:paraId="5C0C8AD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00FF00"/>
            <w:vAlign w:val="center"/>
            <w:hideMark/>
          </w:tcPr>
          <w:p w14:paraId="68363B1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00FF00"/>
            <w:vAlign w:val="center"/>
            <w:hideMark/>
          </w:tcPr>
          <w:p w14:paraId="03866A1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5BD47CA5" w14:textId="77777777" w:rsidTr="00B84551">
        <w:trPr>
          <w:trHeight w:val="315"/>
        </w:trPr>
        <w:tc>
          <w:tcPr>
            <w:tcW w:w="702" w:type="dxa"/>
            <w:gridSpan w:val="2"/>
            <w:tcBorders>
              <w:top w:val="nil"/>
              <w:left w:val="nil"/>
              <w:bottom w:val="nil"/>
              <w:right w:val="nil"/>
            </w:tcBorders>
            <w:shd w:val="clear" w:color="000000" w:fill="6FE7FF"/>
            <w:vAlign w:val="center"/>
            <w:hideMark/>
          </w:tcPr>
          <w:p w14:paraId="5F4FDDF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16022CD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6C7ECFC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1.</w:t>
            </w:r>
          </w:p>
        </w:tc>
        <w:tc>
          <w:tcPr>
            <w:tcW w:w="1242" w:type="dxa"/>
            <w:tcBorders>
              <w:top w:val="nil"/>
              <w:left w:val="nil"/>
              <w:bottom w:val="single" w:sz="8" w:space="0" w:color="auto"/>
              <w:right w:val="nil"/>
            </w:tcBorders>
            <w:shd w:val="clear" w:color="000000" w:fill="6FE7FF"/>
            <w:vAlign w:val="center"/>
            <w:hideMark/>
          </w:tcPr>
          <w:p w14:paraId="57F4F9E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single" w:sz="8" w:space="0" w:color="auto"/>
              <w:right w:val="nil"/>
            </w:tcBorders>
            <w:shd w:val="clear" w:color="000000" w:fill="6FE7FF"/>
            <w:vAlign w:val="center"/>
            <w:hideMark/>
          </w:tcPr>
          <w:p w14:paraId="6C24D8A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Increasing the financial discipline</w:t>
            </w:r>
          </w:p>
        </w:tc>
        <w:tc>
          <w:tcPr>
            <w:tcW w:w="522" w:type="dxa"/>
            <w:gridSpan w:val="2"/>
            <w:tcBorders>
              <w:top w:val="nil"/>
              <w:left w:val="nil"/>
              <w:bottom w:val="single" w:sz="8" w:space="0" w:color="auto"/>
              <w:right w:val="nil"/>
            </w:tcBorders>
            <w:shd w:val="clear" w:color="000000" w:fill="6FE7FF"/>
            <w:vAlign w:val="center"/>
            <w:hideMark/>
          </w:tcPr>
          <w:p w14:paraId="5C97890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C70CB2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single" w:sz="8" w:space="0" w:color="auto"/>
              <w:right w:val="nil"/>
            </w:tcBorders>
            <w:shd w:val="clear" w:color="000000" w:fill="6FE7FF"/>
            <w:vAlign w:val="center"/>
            <w:hideMark/>
          </w:tcPr>
          <w:p w14:paraId="4E2E697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single" w:sz="8" w:space="0" w:color="auto"/>
              <w:right w:val="nil"/>
            </w:tcBorders>
            <w:shd w:val="clear" w:color="000000" w:fill="6FE7FF"/>
            <w:vAlign w:val="center"/>
            <w:hideMark/>
          </w:tcPr>
          <w:p w14:paraId="658FD87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5A6FFA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single" w:sz="8" w:space="0" w:color="auto"/>
              <w:right w:val="nil"/>
            </w:tcBorders>
            <w:shd w:val="clear" w:color="000000" w:fill="6FE7FF"/>
            <w:vAlign w:val="center"/>
            <w:hideMark/>
          </w:tcPr>
          <w:p w14:paraId="14E95C2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781671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single" w:sz="8" w:space="0" w:color="auto"/>
              <w:right w:val="nil"/>
            </w:tcBorders>
            <w:shd w:val="clear" w:color="000000" w:fill="6FE7FF"/>
            <w:vAlign w:val="center"/>
            <w:hideMark/>
          </w:tcPr>
          <w:p w14:paraId="1A5BA64F"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4907E1D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4E6FD756"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single" w:sz="8" w:space="0" w:color="auto"/>
              <w:right w:val="nil"/>
            </w:tcBorders>
            <w:shd w:val="clear" w:color="000000" w:fill="6FE7FF"/>
            <w:vAlign w:val="center"/>
            <w:hideMark/>
          </w:tcPr>
          <w:p w14:paraId="33A4DD1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single" w:sz="8" w:space="0" w:color="auto"/>
              <w:right w:val="nil"/>
            </w:tcBorders>
            <w:shd w:val="clear" w:color="000000" w:fill="6FE7FF"/>
            <w:vAlign w:val="center"/>
            <w:hideMark/>
          </w:tcPr>
          <w:p w14:paraId="56C306A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single" w:sz="8" w:space="0" w:color="auto"/>
              <w:right w:val="nil"/>
            </w:tcBorders>
            <w:shd w:val="clear" w:color="000000" w:fill="6FE7FF"/>
            <w:vAlign w:val="center"/>
            <w:hideMark/>
          </w:tcPr>
          <w:p w14:paraId="12E26D0A"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single" w:sz="8" w:space="0" w:color="auto"/>
              <w:right w:val="nil"/>
            </w:tcBorders>
            <w:shd w:val="clear" w:color="000000" w:fill="6FE7FF"/>
            <w:vAlign w:val="center"/>
            <w:hideMark/>
          </w:tcPr>
          <w:p w14:paraId="137DD99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single" w:sz="8" w:space="0" w:color="auto"/>
              <w:right w:val="nil"/>
            </w:tcBorders>
            <w:shd w:val="clear" w:color="000000" w:fill="6FE7FF"/>
            <w:vAlign w:val="center"/>
            <w:hideMark/>
          </w:tcPr>
          <w:p w14:paraId="5E11889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single" w:sz="8" w:space="0" w:color="auto"/>
              <w:right w:val="nil"/>
            </w:tcBorders>
            <w:shd w:val="clear" w:color="000000" w:fill="6FE7FF"/>
            <w:vAlign w:val="center"/>
            <w:hideMark/>
          </w:tcPr>
          <w:p w14:paraId="61B0EF2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4D9BB52" w14:textId="77777777" w:rsidTr="00B84551">
        <w:trPr>
          <w:trHeight w:val="700"/>
        </w:trPr>
        <w:tc>
          <w:tcPr>
            <w:tcW w:w="702" w:type="dxa"/>
            <w:gridSpan w:val="2"/>
            <w:tcBorders>
              <w:top w:val="nil"/>
              <w:left w:val="nil"/>
              <w:bottom w:val="nil"/>
              <w:right w:val="nil"/>
            </w:tcBorders>
            <w:shd w:val="clear" w:color="auto" w:fill="auto"/>
            <w:vAlign w:val="bottom"/>
            <w:hideMark/>
          </w:tcPr>
          <w:p w14:paraId="01BEA3FB"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09A5861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E15D2C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6443CD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52DF71F7"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Trainings for strengthening the capacities of the employees in the municipalities for realistic planning of the revenues and expenses of the municipalities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123EF1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A989CD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BC619F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9DE9FC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CA44B9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5F5BA5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EF9D86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1EF77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ABAF2B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0FDAD9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EF88D2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04B3C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14B8B6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A2EB4C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CD8D92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61092B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75F3E3C5" w14:textId="77777777" w:rsidTr="00B84551">
        <w:trPr>
          <w:trHeight w:val="615"/>
        </w:trPr>
        <w:tc>
          <w:tcPr>
            <w:tcW w:w="702" w:type="dxa"/>
            <w:gridSpan w:val="2"/>
            <w:tcBorders>
              <w:top w:val="nil"/>
              <w:left w:val="nil"/>
              <w:bottom w:val="nil"/>
              <w:right w:val="nil"/>
            </w:tcBorders>
            <w:shd w:val="clear" w:color="auto" w:fill="auto"/>
            <w:vAlign w:val="bottom"/>
            <w:hideMark/>
          </w:tcPr>
          <w:p w14:paraId="4FF3F2C8"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CB5D31F"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6713EC1"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01813A93"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5B0BF5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Strengthening the capacity of employees in the Unit of budget of the local self-government unit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8A85CD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DFDB3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8E71B9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519FCD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104C8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F7A6FD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7204C0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D11EE6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3F4C0C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F94BC2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8031BE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A5250F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2F840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8D1965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B80C90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6AD6B2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EEF9380" w14:textId="77777777" w:rsidTr="00B84551">
        <w:trPr>
          <w:trHeight w:val="610"/>
        </w:trPr>
        <w:tc>
          <w:tcPr>
            <w:tcW w:w="702" w:type="dxa"/>
            <w:gridSpan w:val="2"/>
            <w:tcBorders>
              <w:top w:val="nil"/>
              <w:left w:val="nil"/>
              <w:bottom w:val="nil"/>
              <w:right w:val="nil"/>
            </w:tcBorders>
            <w:shd w:val="clear" w:color="auto" w:fill="auto"/>
            <w:vAlign w:val="bottom"/>
            <w:hideMark/>
          </w:tcPr>
          <w:p w14:paraId="2875F67A"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507D6E2D"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76F8959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9902C4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6B0093C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Decreasing current expenses and increasing capital expenses in the structure of total expenses by establishing performance indicators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033667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EEF674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15B076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C37119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7AAC9A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E064EC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308021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5457DE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5FCEF4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373314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536787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5B92B7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BC4C50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6C766B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ABD98F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6A2CF1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0A438C62" w14:textId="77777777" w:rsidTr="00B84551">
        <w:trPr>
          <w:trHeight w:val="315"/>
        </w:trPr>
        <w:tc>
          <w:tcPr>
            <w:tcW w:w="702" w:type="dxa"/>
            <w:gridSpan w:val="2"/>
            <w:tcBorders>
              <w:top w:val="nil"/>
              <w:left w:val="nil"/>
              <w:bottom w:val="nil"/>
              <w:right w:val="nil"/>
            </w:tcBorders>
            <w:shd w:val="clear" w:color="auto" w:fill="auto"/>
            <w:vAlign w:val="bottom"/>
            <w:hideMark/>
          </w:tcPr>
          <w:p w14:paraId="57FA6FCA"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D9F6D8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2838AE87"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218C418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1CBA41F1"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New Law on unpaid obligations of the municipalities</w:t>
            </w:r>
          </w:p>
        </w:tc>
        <w:tc>
          <w:tcPr>
            <w:tcW w:w="522" w:type="dxa"/>
            <w:gridSpan w:val="2"/>
            <w:tcBorders>
              <w:top w:val="nil"/>
              <w:left w:val="nil"/>
              <w:bottom w:val="single" w:sz="8" w:space="0" w:color="auto"/>
              <w:right w:val="single" w:sz="8" w:space="0" w:color="auto"/>
            </w:tcBorders>
            <w:shd w:val="clear" w:color="auto" w:fill="auto"/>
            <w:vAlign w:val="center"/>
            <w:hideMark/>
          </w:tcPr>
          <w:p w14:paraId="30807DF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C6E18AB"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36B53615"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60E894ED"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5A6250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1E6A0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AA57D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CF83D9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A6011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296575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CA21F0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28CB7F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B796A1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BE7265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DB7478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B3FD10B"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299CB870" w14:textId="77777777" w:rsidTr="00B84551">
        <w:trPr>
          <w:trHeight w:val="403"/>
        </w:trPr>
        <w:tc>
          <w:tcPr>
            <w:tcW w:w="702" w:type="dxa"/>
            <w:gridSpan w:val="2"/>
            <w:tcBorders>
              <w:top w:val="nil"/>
              <w:left w:val="nil"/>
              <w:bottom w:val="nil"/>
              <w:right w:val="nil"/>
            </w:tcBorders>
            <w:shd w:val="clear" w:color="000000" w:fill="6FE7FF"/>
            <w:vAlign w:val="center"/>
            <w:hideMark/>
          </w:tcPr>
          <w:p w14:paraId="5C6D48F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960" w:type="dxa"/>
            <w:gridSpan w:val="2"/>
            <w:tcBorders>
              <w:top w:val="nil"/>
              <w:left w:val="nil"/>
              <w:bottom w:val="nil"/>
              <w:right w:val="nil"/>
            </w:tcBorders>
            <w:shd w:val="clear" w:color="000000" w:fill="6FE7FF"/>
            <w:vAlign w:val="center"/>
            <w:hideMark/>
          </w:tcPr>
          <w:p w14:paraId="679522D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1308" w:type="dxa"/>
            <w:gridSpan w:val="2"/>
            <w:tcBorders>
              <w:top w:val="nil"/>
              <w:left w:val="nil"/>
              <w:bottom w:val="nil"/>
              <w:right w:val="nil"/>
            </w:tcBorders>
            <w:shd w:val="clear" w:color="000000" w:fill="6FE7FF"/>
            <w:vAlign w:val="center"/>
            <w:hideMark/>
          </w:tcPr>
          <w:p w14:paraId="5F67712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Measure 2.</w:t>
            </w:r>
          </w:p>
        </w:tc>
        <w:tc>
          <w:tcPr>
            <w:tcW w:w="1242" w:type="dxa"/>
            <w:tcBorders>
              <w:top w:val="nil"/>
              <w:left w:val="nil"/>
              <w:bottom w:val="nil"/>
              <w:right w:val="nil"/>
            </w:tcBorders>
            <w:shd w:val="clear" w:color="000000" w:fill="6FE7FF"/>
            <w:vAlign w:val="center"/>
            <w:hideMark/>
          </w:tcPr>
          <w:p w14:paraId="1E6C71C2"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258" w:type="dxa"/>
            <w:gridSpan w:val="2"/>
            <w:tcBorders>
              <w:top w:val="nil"/>
              <w:left w:val="nil"/>
              <w:bottom w:val="nil"/>
              <w:right w:val="nil"/>
            </w:tcBorders>
            <w:shd w:val="clear" w:color="000000" w:fill="6FE7FF"/>
            <w:vAlign w:val="center"/>
            <w:hideMark/>
          </w:tcPr>
          <w:p w14:paraId="4154E6B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Increasing the transparency and accountability throughout the operations of the municipalities</w:t>
            </w:r>
          </w:p>
        </w:tc>
        <w:tc>
          <w:tcPr>
            <w:tcW w:w="522" w:type="dxa"/>
            <w:gridSpan w:val="2"/>
            <w:tcBorders>
              <w:top w:val="nil"/>
              <w:left w:val="nil"/>
              <w:bottom w:val="nil"/>
              <w:right w:val="nil"/>
            </w:tcBorders>
            <w:shd w:val="clear" w:color="000000" w:fill="6FE7FF"/>
            <w:vAlign w:val="center"/>
            <w:hideMark/>
          </w:tcPr>
          <w:p w14:paraId="71248A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21D5859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82" w:type="dxa"/>
            <w:gridSpan w:val="3"/>
            <w:tcBorders>
              <w:top w:val="nil"/>
              <w:left w:val="nil"/>
              <w:bottom w:val="nil"/>
              <w:right w:val="nil"/>
            </w:tcBorders>
            <w:shd w:val="clear" w:color="000000" w:fill="6FE7FF"/>
            <w:vAlign w:val="center"/>
            <w:hideMark/>
          </w:tcPr>
          <w:p w14:paraId="1772AFF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80" w:type="dxa"/>
            <w:gridSpan w:val="3"/>
            <w:tcBorders>
              <w:top w:val="nil"/>
              <w:left w:val="nil"/>
              <w:bottom w:val="nil"/>
              <w:right w:val="nil"/>
            </w:tcBorders>
            <w:shd w:val="clear" w:color="000000" w:fill="6FE7FF"/>
            <w:vAlign w:val="center"/>
            <w:hideMark/>
          </w:tcPr>
          <w:p w14:paraId="25D5AD3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1161DA17"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12" w:type="dxa"/>
            <w:gridSpan w:val="3"/>
            <w:tcBorders>
              <w:top w:val="nil"/>
              <w:left w:val="nil"/>
              <w:bottom w:val="nil"/>
              <w:right w:val="nil"/>
            </w:tcBorders>
            <w:shd w:val="clear" w:color="000000" w:fill="6FE7FF"/>
            <w:vAlign w:val="center"/>
            <w:hideMark/>
          </w:tcPr>
          <w:p w14:paraId="71F85B0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5FC9F27D"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40" w:type="dxa"/>
            <w:gridSpan w:val="3"/>
            <w:tcBorders>
              <w:top w:val="nil"/>
              <w:left w:val="nil"/>
              <w:bottom w:val="nil"/>
              <w:right w:val="nil"/>
            </w:tcBorders>
            <w:shd w:val="clear" w:color="000000" w:fill="6FE7FF"/>
            <w:vAlign w:val="center"/>
            <w:hideMark/>
          </w:tcPr>
          <w:p w14:paraId="61688D7C"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0308B35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7FD54D5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378" w:type="dxa"/>
            <w:gridSpan w:val="2"/>
            <w:tcBorders>
              <w:top w:val="nil"/>
              <w:left w:val="nil"/>
              <w:bottom w:val="nil"/>
              <w:right w:val="nil"/>
            </w:tcBorders>
            <w:shd w:val="clear" w:color="000000" w:fill="6FE7FF"/>
            <w:vAlign w:val="center"/>
            <w:hideMark/>
          </w:tcPr>
          <w:p w14:paraId="35053E61"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522" w:type="dxa"/>
            <w:gridSpan w:val="3"/>
            <w:tcBorders>
              <w:top w:val="nil"/>
              <w:left w:val="nil"/>
              <w:bottom w:val="nil"/>
              <w:right w:val="nil"/>
            </w:tcBorders>
            <w:shd w:val="clear" w:color="000000" w:fill="6FE7FF"/>
            <w:vAlign w:val="center"/>
            <w:hideMark/>
          </w:tcPr>
          <w:p w14:paraId="2536E123"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4"/>
            <w:tcBorders>
              <w:top w:val="nil"/>
              <w:left w:val="nil"/>
              <w:bottom w:val="nil"/>
              <w:right w:val="nil"/>
            </w:tcBorders>
            <w:shd w:val="clear" w:color="000000" w:fill="6FE7FF"/>
            <w:vAlign w:val="center"/>
            <w:hideMark/>
          </w:tcPr>
          <w:p w14:paraId="4567C3A5"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2"/>
            <w:tcBorders>
              <w:top w:val="nil"/>
              <w:left w:val="nil"/>
              <w:bottom w:val="nil"/>
              <w:right w:val="nil"/>
            </w:tcBorders>
            <w:shd w:val="clear" w:color="000000" w:fill="6FE7FF"/>
            <w:vAlign w:val="center"/>
            <w:hideMark/>
          </w:tcPr>
          <w:p w14:paraId="38C9792B"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450" w:type="dxa"/>
            <w:gridSpan w:val="3"/>
            <w:tcBorders>
              <w:top w:val="nil"/>
              <w:left w:val="nil"/>
              <w:bottom w:val="nil"/>
              <w:right w:val="nil"/>
            </w:tcBorders>
            <w:shd w:val="clear" w:color="000000" w:fill="6FE7FF"/>
            <w:vAlign w:val="center"/>
            <w:hideMark/>
          </w:tcPr>
          <w:p w14:paraId="243A3380"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c>
          <w:tcPr>
            <w:tcW w:w="648" w:type="dxa"/>
            <w:gridSpan w:val="3"/>
            <w:tcBorders>
              <w:top w:val="nil"/>
              <w:left w:val="nil"/>
              <w:bottom w:val="nil"/>
              <w:right w:val="nil"/>
            </w:tcBorders>
            <w:shd w:val="clear" w:color="000000" w:fill="6FE7FF"/>
            <w:vAlign w:val="center"/>
            <w:hideMark/>
          </w:tcPr>
          <w:p w14:paraId="67D676E9" w14:textId="77777777" w:rsidR="00C93723" w:rsidRPr="0062158E" w:rsidRDefault="00C93723" w:rsidP="00C93723">
            <w:pPr>
              <w:spacing w:after="0" w:line="240" w:lineRule="auto"/>
              <w:rPr>
                <w:rFonts w:eastAsia="Times New Roman" w:cs="Calibri"/>
                <w:b/>
                <w:bCs/>
                <w:sz w:val="16"/>
                <w:szCs w:val="16"/>
              </w:rPr>
            </w:pPr>
            <w:r w:rsidRPr="0062158E">
              <w:rPr>
                <w:rFonts w:eastAsia="Times New Roman" w:cs="Calibri"/>
                <w:b/>
                <w:bCs/>
                <w:sz w:val="16"/>
                <w:szCs w:val="16"/>
              </w:rPr>
              <w:t> </w:t>
            </w:r>
          </w:p>
        </w:tc>
      </w:tr>
      <w:tr w:rsidR="00C93723" w:rsidRPr="0062158E" w14:paraId="2BF2240C" w14:textId="77777777" w:rsidTr="00B84551">
        <w:trPr>
          <w:trHeight w:val="459"/>
        </w:trPr>
        <w:tc>
          <w:tcPr>
            <w:tcW w:w="702" w:type="dxa"/>
            <w:gridSpan w:val="2"/>
            <w:tcBorders>
              <w:top w:val="nil"/>
              <w:left w:val="nil"/>
              <w:bottom w:val="nil"/>
              <w:right w:val="nil"/>
            </w:tcBorders>
            <w:shd w:val="clear" w:color="auto" w:fill="auto"/>
            <w:vAlign w:val="bottom"/>
            <w:hideMark/>
          </w:tcPr>
          <w:p w14:paraId="7C5C7AD3" w14:textId="77777777" w:rsidR="00C93723" w:rsidRPr="0062158E" w:rsidRDefault="00C93723" w:rsidP="00C93723">
            <w:pPr>
              <w:spacing w:after="0" w:line="240" w:lineRule="auto"/>
              <w:rPr>
                <w:rFonts w:eastAsia="Times New Roman" w:cs="Calibri"/>
                <w:b/>
                <w:bCs/>
                <w:sz w:val="16"/>
                <w:szCs w:val="16"/>
              </w:rPr>
            </w:pPr>
          </w:p>
        </w:tc>
        <w:tc>
          <w:tcPr>
            <w:tcW w:w="960" w:type="dxa"/>
            <w:gridSpan w:val="2"/>
            <w:tcBorders>
              <w:top w:val="nil"/>
              <w:left w:val="nil"/>
              <w:bottom w:val="nil"/>
              <w:right w:val="nil"/>
            </w:tcBorders>
            <w:shd w:val="clear" w:color="auto" w:fill="auto"/>
            <w:vAlign w:val="bottom"/>
            <w:hideMark/>
          </w:tcPr>
          <w:p w14:paraId="02E0DE34"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7B91396"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623118CA"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577EBC12" w14:textId="77777777" w:rsidR="00FF1EE0" w:rsidRPr="008267E8" w:rsidRDefault="00FF1EE0" w:rsidP="00FF1EE0">
            <w:pPr>
              <w:spacing w:after="0" w:line="240" w:lineRule="auto"/>
              <w:rPr>
                <w:rFonts w:eastAsia="Times New Roman" w:cs="Calibri"/>
                <w:sz w:val="16"/>
                <w:szCs w:val="16"/>
                <w:lang w:val="en-US"/>
              </w:rPr>
            </w:pPr>
            <w:r w:rsidRPr="008267E8">
              <w:rPr>
                <w:rFonts w:eastAsia="Times New Roman" w:cs="Calibri"/>
                <w:sz w:val="16"/>
                <w:szCs w:val="16"/>
                <w:lang w:val="en"/>
              </w:rPr>
              <w:t xml:space="preserve">Increasing the </w:t>
            </w:r>
            <w:r w:rsidRPr="008267E8">
              <w:rPr>
                <w:rFonts w:eastAsia="Times New Roman" w:cs="Calibri"/>
                <w:sz w:val="16"/>
                <w:szCs w:val="16"/>
                <w:lang w:val="en-US"/>
              </w:rPr>
              <w:t>oversight</w:t>
            </w:r>
            <w:r w:rsidRPr="008267E8">
              <w:rPr>
                <w:rFonts w:eastAsia="Times New Roman" w:cs="Calibri"/>
                <w:sz w:val="16"/>
                <w:szCs w:val="16"/>
                <w:lang w:val="en"/>
              </w:rPr>
              <w:t xml:space="preserve"> of municipalities for the purposeful spending of earmarked, block and capital grants by the competent ministries and institutions</w:t>
            </w:r>
          </w:p>
          <w:p w14:paraId="1090F02B" w14:textId="19B7ABA7" w:rsidR="00C93723" w:rsidRPr="0062158E" w:rsidRDefault="00C93723" w:rsidP="00C93723">
            <w:pPr>
              <w:spacing w:after="0" w:line="240" w:lineRule="auto"/>
              <w:rPr>
                <w:rFonts w:eastAsia="Times New Roman" w:cs="Calibri"/>
                <w:sz w:val="16"/>
                <w:szCs w:val="16"/>
              </w:rPr>
            </w:pPr>
          </w:p>
        </w:tc>
        <w:tc>
          <w:tcPr>
            <w:tcW w:w="522" w:type="dxa"/>
            <w:gridSpan w:val="2"/>
            <w:tcBorders>
              <w:top w:val="nil"/>
              <w:left w:val="nil"/>
              <w:bottom w:val="single" w:sz="8" w:space="0" w:color="auto"/>
              <w:right w:val="single" w:sz="8" w:space="0" w:color="auto"/>
            </w:tcBorders>
            <w:shd w:val="clear" w:color="auto" w:fill="auto"/>
            <w:vAlign w:val="center"/>
            <w:hideMark/>
          </w:tcPr>
          <w:p w14:paraId="235A504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5AC77A0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31A1598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15F3601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4BAFF7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04E85F2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1969DC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A30A46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71EEE1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8A09B7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478ACB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48616A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7201DB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62205C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24356D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C664F0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43865C65" w14:textId="77777777" w:rsidTr="00B84551">
        <w:trPr>
          <w:trHeight w:val="475"/>
        </w:trPr>
        <w:tc>
          <w:tcPr>
            <w:tcW w:w="702" w:type="dxa"/>
            <w:gridSpan w:val="2"/>
            <w:tcBorders>
              <w:top w:val="nil"/>
              <w:left w:val="nil"/>
              <w:bottom w:val="nil"/>
              <w:right w:val="nil"/>
            </w:tcBorders>
            <w:shd w:val="clear" w:color="auto" w:fill="auto"/>
            <w:vAlign w:val="center"/>
            <w:hideMark/>
          </w:tcPr>
          <w:p w14:paraId="035DB7CE"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3D610C57"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4F23296A"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12F8B01C"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988EB86"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Monitoring the transparency of the municipalities in order to timely inform the general public</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4C06D3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52AA24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FA093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E362CF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67F87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2B2D28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42756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D9EE8C0"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454030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6046E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304416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54E63C4"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B560B0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EF1E78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4D0E87"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432FFA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1DCE76F8" w14:textId="77777777" w:rsidTr="00B84551">
        <w:trPr>
          <w:trHeight w:val="615"/>
        </w:trPr>
        <w:tc>
          <w:tcPr>
            <w:tcW w:w="702" w:type="dxa"/>
            <w:gridSpan w:val="2"/>
            <w:tcBorders>
              <w:top w:val="nil"/>
              <w:left w:val="nil"/>
              <w:bottom w:val="nil"/>
              <w:right w:val="nil"/>
            </w:tcBorders>
            <w:shd w:val="clear" w:color="auto" w:fill="auto"/>
            <w:vAlign w:val="bottom"/>
            <w:hideMark/>
          </w:tcPr>
          <w:p w14:paraId="14936769"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75F2DD04"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0115D34D"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3D57D35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6D547EEF"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Increasing the transparency of the Ministry of Finance for the financial operations of the municipalities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D968E8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3E7E7FA"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2BB4E7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6BE13C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508BBD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B1BE49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81CCCB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3E594B8"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987186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EC0252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C5DF4B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B8165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E1BC2E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A10473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D89177E"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F5729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r w:rsidR="00C93723" w:rsidRPr="0062158E" w14:paraId="385F3A79" w14:textId="77777777" w:rsidTr="00B84551">
        <w:trPr>
          <w:trHeight w:val="615"/>
        </w:trPr>
        <w:tc>
          <w:tcPr>
            <w:tcW w:w="702" w:type="dxa"/>
            <w:gridSpan w:val="2"/>
            <w:tcBorders>
              <w:top w:val="nil"/>
              <w:left w:val="nil"/>
              <w:bottom w:val="nil"/>
              <w:right w:val="nil"/>
            </w:tcBorders>
            <w:shd w:val="clear" w:color="auto" w:fill="auto"/>
            <w:vAlign w:val="bottom"/>
            <w:hideMark/>
          </w:tcPr>
          <w:p w14:paraId="14B6D81F" w14:textId="77777777" w:rsidR="00C93723" w:rsidRPr="0062158E" w:rsidRDefault="00C93723" w:rsidP="00C93723">
            <w:pPr>
              <w:spacing w:after="0" w:line="240" w:lineRule="auto"/>
              <w:jc w:val="center"/>
              <w:rPr>
                <w:rFonts w:eastAsia="Times New Roman" w:cs="Calibri"/>
                <w:color w:val="FFFFFF"/>
                <w:sz w:val="16"/>
                <w:szCs w:val="16"/>
              </w:rPr>
            </w:pPr>
          </w:p>
        </w:tc>
        <w:tc>
          <w:tcPr>
            <w:tcW w:w="960" w:type="dxa"/>
            <w:gridSpan w:val="2"/>
            <w:tcBorders>
              <w:top w:val="nil"/>
              <w:left w:val="nil"/>
              <w:bottom w:val="nil"/>
              <w:right w:val="nil"/>
            </w:tcBorders>
            <w:shd w:val="clear" w:color="auto" w:fill="auto"/>
            <w:vAlign w:val="bottom"/>
            <w:hideMark/>
          </w:tcPr>
          <w:p w14:paraId="458DD070" w14:textId="77777777" w:rsidR="00C93723" w:rsidRPr="0062158E" w:rsidRDefault="00C93723" w:rsidP="00C93723">
            <w:pPr>
              <w:spacing w:after="0" w:line="240" w:lineRule="auto"/>
              <w:rPr>
                <w:rFonts w:ascii="Times New Roman" w:eastAsia="Times New Roman" w:hAnsi="Times New Roman"/>
                <w:sz w:val="16"/>
                <w:szCs w:val="16"/>
              </w:rPr>
            </w:pPr>
          </w:p>
        </w:tc>
        <w:tc>
          <w:tcPr>
            <w:tcW w:w="1308" w:type="dxa"/>
            <w:gridSpan w:val="2"/>
            <w:tcBorders>
              <w:top w:val="nil"/>
              <w:left w:val="nil"/>
              <w:bottom w:val="nil"/>
              <w:right w:val="nil"/>
            </w:tcBorders>
            <w:shd w:val="clear" w:color="auto" w:fill="auto"/>
            <w:vAlign w:val="bottom"/>
            <w:hideMark/>
          </w:tcPr>
          <w:p w14:paraId="6C8234D9" w14:textId="77777777" w:rsidR="00C93723" w:rsidRPr="0062158E" w:rsidRDefault="00C93723" w:rsidP="00C93723">
            <w:pPr>
              <w:spacing w:after="0" w:line="240" w:lineRule="auto"/>
              <w:rPr>
                <w:rFonts w:ascii="Times New Roman" w:eastAsia="Times New Roman" w:hAnsi="Times New Roman"/>
                <w:sz w:val="16"/>
                <w:szCs w:val="16"/>
              </w:rPr>
            </w:pPr>
          </w:p>
        </w:tc>
        <w:tc>
          <w:tcPr>
            <w:tcW w:w="1242" w:type="dxa"/>
            <w:tcBorders>
              <w:top w:val="nil"/>
              <w:left w:val="single" w:sz="8" w:space="0" w:color="auto"/>
              <w:bottom w:val="single" w:sz="8" w:space="0" w:color="auto"/>
              <w:right w:val="nil"/>
            </w:tcBorders>
            <w:shd w:val="clear" w:color="auto" w:fill="auto"/>
            <w:vAlign w:val="center"/>
            <w:hideMark/>
          </w:tcPr>
          <w:p w14:paraId="5A3252B4"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579BB68E" w14:textId="77777777" w:rsidR="00C93723" w:rsidRPr="0062158E" w:rsidRDefault="00C93723" w:rsidP="00C93723">
            <w:pPr>
              <w:spacing w:after="0" w:line="240" w:lineRule="auto"/>
              <w:rPr>
                <w:rFonts w:eastAsia="Times New Roman" w:cs="Calibri"/>
                <w:sz w:val="16"/>
                <w:szCs w:val="16"/>
              </w:rPr>
            </w:pPr>
            <w:r w:rsidRPr="0062158E">
              <w:rPr>
                <w:rFonts w:eastAsia="Times New Roman" w:cs="Calibri"/>
                <w:sz w:val="16"/>
                <w:szCs w:val="16"/>
              </w:rPr>
              <w:t>Participation of citizens in policy decision making and monitoring results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BB7466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1145E3F"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5704A4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FDEC39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0022F0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ED20736"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A6B9841"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CBCD632"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3721B2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B894D1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D601B1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AFD0F9D"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94CB90C"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F63F859"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3B32E5"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F1C3663" w14:textId="77777777" w:rsidR="00C93723" w:rsidRPr="0062158E" w:rsidRDefault="00C93723" w:rsidP="00C93723">
            <w:pPr>
              <w:spacing w:after="0" w:line="240" w:lineRule="auto"/>
              <w:jc w:val="center"/>
              <w:rPr>
                <w:rFonts w:eastAsia="Times New Roman" w:cs="Calibri"/>
                <w:color w:val="FFFFFF"/>
                <w:sz w:val="16"/>
                <w:szCs w:val="16"/>
              </w:rPr>
            </w:pPr>
            <w:r w:rsidRPr="0062158E">
              <w:rPr>
                <w:rFonts w:eastAsia="Times New Roman" w:cs="Calibri"/>
                <w:color w:val="FFFFFF"/>
                <w:sz w:val="16"/>
                <w:szCs w:val="16"/>
              </w:rPr>
              <w:t> </w:t>
            </w:r>
          </w:p>
        </w:tc>
      </w:tr>
    </w:tbl>
    <w:p w14:paraId="47868ED2" w14:textId="77777777" w:rsidR="000F0256" w:rsidRPr="008C761D" w:rsidRDefault="000F0256" w:rsidP="000F0256">
      <w:pPr>
        <w:rPr>
          <w:lang w:val="en-US" w:eastAsia="zh-CN"/>
        </w:rPr>
      </w:pPr>
    </w:p>
    <w:p w14:paraId="03348BC3" w14:textId="2EBB26BC" w:rsidR="008B148A" w:rsidRDefault="008B148A" w:rsidP="00E84CD0">
      <w:pPr>
        <w:pStyle w:val="Heading1"/>
        <w:spacing w:line="240" w:lineRule="auto"/>
        <w:jc w:val="both"/>
        <w:rPr>
          <w:rFonts w:eastAsia="MS PGothic"/>
          <w:lang w:val="en-US" w:eastAsia="zh-CN"/>
        </w:rPr>
      </w:pPr>
    </w:p>
    <w:p w14:paraId="5CC9B5A3" w14:textId="77777777" w:rsidR="001B4C45" w:rsidRPr="008C761D" w:rsidRDefault="00C022CE" w:rsidP="00E84CD0">
      <w:pPr>
        <w:pStyle w:val="Heading1"/>
        <w:spacing w:line="240" w:lineRule="auto"/>
        <w:jc w:val="both"/>
        <w:rPr>
          <w:rFonts w:ascii="Calibri" w:eastAsia="MS PGothic" w:hAnsi="Calibri" w:cs="Calibri"/>
          <w:color w:val="2F5496"/>
          <w:kern w:val="0"/>
          <w:lang w:val="en-US" w:eastAsia="zh-CN"/>
        </w:rPr>
      </w:pPr>
      <w:r w:rsidRPr="008B148A">
        <w:rPr>
          <w:rFonts w:eastAsia="MS PGothic"/>
          <w:lang w:val="en-US" w:eastAsia="zh-CN"/>
        </w:rPr>
        <w:br w:type="page"/>
      </w:r>
      <w:bookmarkStart w:id="85" w:name="_Toc160611839"/>
      <w:r w:rsidR="00A42B0B" w:rsidRPr="008C761D">
        <w:rPr>
          <w:rFonts w:ascii="Calibri" w:eastAsia="MS PGothic" w:hAnsi="Calibri" w:cs="Calibri"/>
          <w:color w:val="2F5496"/>
          <w:kern w:val="0"/>
          <w:lang w:val="en-US" w:eastAsia="zh-CN"/>
        </w:rPr>
        <w:lastRenderedPageBreak/>
        <w:t>A</w:t>
      </w:r>
      <w:r w:rsidR="00726AC7" w:rsidRPr="008C761D">
        <w:rPr>
          <w:rFonts w:ascii="Calibri" w:eastAsia="MS PGothic" w:hAnsi="Calibri" w:cs="Calibri"/>
          <w:color w:val="2F5496"/>
          <w:kern w:val="0"/>
          <w:lang w:val="en-US" w:eastAsia="zh-CN"/>
        </w:rPr>
        <w:t>nnexII</w:t>
      </w:r>
      <w:r w:rsidR="00A42B0B" w:rsidRPr="008C761D">
        <w:rPr>
          <w:rFonts w:ascii="Calibri" w:eastAsia="MS PGothic" w:hAnsi="Calibri" w:cs="Calibri"/>
          <w:color w:val="2F5496"/>
          <w:kern w:val="0"/>
          <w:lang w:val="en-US" w:eastAsia="zh-CN"/>
        </w:rPr>
        <w:t xml:space="preserve"> – Logframe table</w:t>
      </w:r>
      <w:r w:rsidR="00FB5DF5" w:rsidRPr="008C761D">
        <w:rPr>
          <w:rFonts w:ascii="Calibri" w:eastAsia="MS PGothic" w:hAnsi="Calibri" w:cs="Calibri"/>
          <w:color w:val="2F5496"/>
          <w:kern w:val="0"/>
          <w:lang w:val="en-US" w:eastAsia="zh-CN"/>
        </w:rPr>
        <w:t xml:space="preserve"> for the PFM Reform Programme 202</w:t>
      </w:r>
      <w:r w:rsidR="000A360D" w:rsidRPr="008C761D">
        <w:rPr>
          <w:rFonts w:ascii="Calibri" w:eastAsia="MS PGothic" w:hAnsi="Calibri" w:cs="Calibri"/>
          <w:color w:val="2F5496"/>
          <w:kern w:val="0"/>
          <w:lang w:val="en-US" w:eastAsia="zh-CN"/>
        </w:rPr>
        <w:t>4</w:t>
      </w:r>
      <w:r w:rsidR="00FB5DF5" w:rsidRPr="008C761D">
        <w:rPr>
          <w:rFonts w:ascii="Calibri" w:eastAsia="MS PGothic" w:hAnsi="Calibri" w:cs="Calibri"/>
          <w:color w:val="2F5496"/>
          <w:kern w:val="0"/>
          <w:lang w:val="en-US" w:eastAsia="zh-CN"/>
        </w:rPr>
        <w:t xml:space="preserve"> - 202</w:t>
      </w:r>
      <w:r w:rsidR="000A360D" w:rsidRPr="008C761D">
        <w:rPr>
          <w:rFonts w:ascii="Calibri" w:eastAsia="MS PGothic" w:hAnsi="Calibri" w:cs="Calibri"/>
          <w:color w:val="2F5496"/>
          <w:kern w:val="0"/>
          <w:lang w:val="en-US" w:eastAsia="zh-CN"/>
        </w:rPr>
        <w:t>7</w:t>
      </w:r>
      <w:bookmarkEnd w:id="85"/>
    </w:p>
    <w:tbl>
      <w:tblPr>
        <w:tblW w:w="13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
        <w:gridCol w:w="101"/>
        <w:gridCol w:w="106"/>
        <w:gridCol w:w="1081"/>
        <w:gridCol w:w="24"/>
        <w:gridCol w:w="1029"/>
        <w:gridCol w:w="27"/>
        <w:gridCol w:w="243"/>
        <w:gridCol w:w="1446"/>
        <w:gridCol w:w="82"/>
        <w:gridCol w:w="272"/>
        <w:gridCol w:w="898"/>
        <w:gridCol w:w="24"/>
        <w:gridCol w:w="248"/>
        <w:gridCol w:w="1170"/>
        <w:gridCol w:w="180"/>
        <w:gridCol w:w="1440"/>
        <w:gridCol w:w="24"/>
        <w:gridCol w:w="246"/>
        <w:gridCol w:w="1512"/>
        <w:gridCol w:w="18"/>
        <w:gridCol w:w="270"/>
        <w:gridCol w:w="1554"/>
        <w:gridCol w:w="66"/>
        <w:gridCol w:w="180"/>
        <w:gridCol w:w="1260"/>
        <w:gridCol w:w="180"/>
      </w:tblGrid>
      <w:tr w:rsidR="00485BAA" w:rsidRPr="008C761D" w14:paraId="5A02242B" w14:textId="77777777" w:rsidTr="003F623B">
        <w:trPr>
          <w:gridBefore w:val="1"/>
          <w:gridAfter w:val="1"/>
          <w:wBefore w:w="17" w:type="dxa"/>
          <w:wAfter w:w="180" w:type="dxa"/>
          <w:trHeight w:val="276"/>
          <w:jc w:val="center"/>
        </w:trPr>
        <w:tc>
          <w:tcPr>
            <w:tcW w:w="13501" w:type="dxa"/>
            <w:gridSpan w:val="25"/>
            <w:vMerge w:val="restart"/>
            <w:shd w:val="clear" w:color="000000" w:fill="ED7D31"/>
            <w:noWrap/>
            <w:vAlign w:val="bottom"/>
            <w:hideMark/>
          </w:tcPr>
          <w:p w14:paraId="5EF0E15A" w14:textId="77777777" w:rsidR="00485BAA" w:rsidRPr="00AA03A6" w:rsidRDefault="00485BAA" w:rsidP="00A72B30">
            <w:pPr>
              <w:spacing w:after="0" w:line="240" w:lineRule="auto"/>
              <w:jc w:val="center"/>
              <w:rPr>
                <w:rFonts w:ascii="Arial" w:eastAsia="Times New Roman" w:hAnsi="Arial" w:cs="Arial"/>
                <w:b/>
                <w:bCs/>
                <w:sz w:val="24"/>
                <w:szCs w:val="24"/>
                <w:lang w:val="en-US" w:eastAsia="mk-MK"/>
              </w:rPr>
            </w:pPr>
            <w:bookmarkStart w:id="86" w:name="RANGE!A1:I491"/>
            <w:r w:rsidRPr="00AA03A6">
              <w:rPr>
                <w:rFonts w:ascii="Arial" w:eastAsia="Times New Roman" w:hAnsi="Arial" w:cs="Arial"/>
                <w:b/>
                <w:bCs/>
                <w:sz w:val="24"/>
                <w:szCs w:val="24"/>
                <w:lang w:val="en-US" w:eastAsia="mk-MK"/>
              </w:rPr>
              <w:t>LOGICAL FRAMEWORK OF THE PFM REFORM PROGRAMME 202</w:t>
            </w:r>
            <w:r w:rsidR="000A360D" w:rsidRPr="00AA03A6">
              <w:rPr>
                <w:rFonts w:ascii="Arial" w:eastAsia="Times New Roman" w:hAnsi="Arial" w:cs="Arial"/>
                <w:b/>
                <w:bCs/>
                <w:sz w:val="24"/>
                <w:szCs w:val="24"/>
                <w:lang w:val="en-US" w:eastAsia="mk-MK"/>
              </w:rPr>
              <w:t>4</w:t>
            </w:r>
            <w:r w:rsidRPr="00AA03A6">
              <w:rPr>
                <w:rFonts w:ascii="Arial" w:eastAsia="Times New Roman" w:hAnsi="Arial" w:cs="Arial"/>
                <w:b/>
                <w:bCs/>
                <w:sz w:val="24"/>
                <w:szCs w:val="24"/>
                <w:lang w:val="en-US" w:eastAsia="mk-MK"/>
              </w:rPr>
              <w:t xml:space="preserve"> - 202</w:t>
            </w:r>
            <w:bookmarkEnd w:id="86"/>
            <w:r w:rsidR="000A360D" w:rsidRPr="00AA03A6">
              <w:rPr>
                <w:rFonts w:ascii="Arial" w:eastAsia="Times New Roman" w:hAnsi="Arial" w:cs="Arial"/>
                <w:b/>
                <w:bCs/>
                <w:sz w:val="24"/>
                <w:szCs w:val="24"/>
                <w:lang w:val="en-US" w:eastAsia="mk-MK"/>
              </w:rPr>
              <w:t>7</w:t>
            </w:r>
          </w:p>
        </w:tc>
      </w:tr>
      <w:tr w:rsidR="00485BAA" w:rsidRPr="008C761D" w14:paraId="6B28DC2A" w14:textId="77777777" w:rsidTr="003F623B">
        <w:trPr>
          <w:gridBefore w:val="1"/>
          <w:gridAfter w:val="1"/>
          <w:wBefore w:w="17" w:type="dxa"/>
          <w:wAfter w:w="180" w:type="dxa"/>
          <w:trHeight w:val="269"/>
          <w:jc w:val="center"/>
        </w:trPr>
        <w:tc>
          <w:tcPr>
            <w:tcW w:w="13501" w:type="dxa"/>
            <w:gridSpan w:val="25"/>
            <w:vMerge/>
            <w:vAlign w:val="center"/>
            <w:hideMark/>
          </w:tcPr>
          <w:p w14:paraId="1F3263BC"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r>
      <w:tr w:rsidR="00485BAA" w:rsidRPr="008C761D" w14:paraId="3EFD249D" w14:textId="77777777" w:rsidTr="003F623B">
        <w:trPr>
          <w:gridBefore w:val="1"/>
          <w:gridAfter w:val="1"/>
          <w:wBefore w:w="17" w:type="dxa"/>
          <w:wAfter w:w="180" w:type="dxa"/>
          <w:trHeight w:val="190"/>
          <w:jc w:val="center"/>
        </w:trPr>
        <w:tc>
          <w:tcPr>
            <w:tcW w:w="13501" w:type="dxa"/>
            <w:gridSpan w:val="25"/>
            <w:shd w:val="clear" w:color="000000" w:fill="1F3864"/>
            <w:vAlign w:val="center"/>
            <w:hideMark/>
          </w:tcPr>
          <w:p w14:paraId="1993324B" w14:textId="5E462A79"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w:t>
            </w:r>
            <w:r w:rsidR="001A1627">
              <w:rPr>
                <w:rFonts w:ascii="Arial" w:eastAsia="Times New Roman" w:hAnsi="Arial" w:cs="Arial"/>
                <w:b/>
                <w:bCs/>
                <w:color w:val="FFFFFF"/>
                <w:sz w:val="12"/>
                <w:szCs w:val="12"/>
                <w:lang w:eastAsia="mk-MK"/>
              </w:rPr>
              <w:t>.</w:t>
            </w:r>
            <w:r w:rsidRPr="008C761D">
              <w:rPr>
                <w:rFonts w:ascii="Arial" w:eastAsia="Times New Roman" w:hAnsi="Arial" w:cs="Arial"/>
                <w:b/>
                <w:bCs/>
                <w:color w:val="FFFFFF"/>
                <w:sz w:val="12"/>
                <w:szCs w:val="12"/>
                <w:lang w:val="en-US" w:eastAsia="mk-MK"/>
              </w:rPr>
              <w:t xml:space="preserve"> Economic</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Analysis, Macroeconomic</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FiscalFramework</w:t>
            </w:r>
          </w:p>
        </w:tc>
      </w:tr>
      <w:tr w:rsidR="00485BAA" w:rsidRPr="008C761D" w14:paraId="109EB6B3" w14:textId="77777777" w:rsidTr="003F623B">
        <w:trPr>
          <w:gridBefore w:val="1"/>
          <w:gridAfter w:val="1"/>
          <w:wBefore w:w="17" w:type="dxa"/>
          <w:wAfter w:w="180" w:type="dxa"/>
          <w:trHeight w:val="232"/>
          <w:jc w:val="center"/>
        </w:trPr>
        <w:tc>
          <w:tcPr>
            <w:tcW w:w="13501" w:type="dxa"/>
            <w:gridSpan w:val="25"/>
            <w:shd w:val="clear" w:color="000000" w:fill="1F3864"/>
            <w:vAlign w:val="center"/>
            <w:hideMark/>
          </w:tcPr>
          <w:p w14:paraId="10726BD0" w14:textId="0CF0FD52"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 Revenue</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forecasting</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7A1FF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reporting</w:t>
            </w:r>
          </w:p>
        </w:tc>
      </w:tr>
      <w:tr w:rsidR="00485BAA" w:rsidRPr="008C761D" w14:paraId="3E40C8F8" w14:textId="77777777" w:rsidTr="003F623B">
        <w:trPr>
          <w:gridBefore w:val="1"/>
          <w:gridAfter w:val="1"/>
          <w:wBefore w:w="17" w:type="dxa"/>
          <w:wAfter w:w="180" w:type="dxa"/>
          <w:trHeight w:val="224"/>
          <w:jc w:val="center"/>
        </w:trPr>
        <w:tc>
          <w:tcPr>
            <w:tcW w:w="2368" w:type="dxa"/>
            <w:gridSpan w:val="6"/>
            <w:shd w:val="clear" w:color="000000" w:fill="9BD2ED"/>
            <w:vAlign w:val="center"/>
            <w:hideMark/>
          </w:tcPr>
          <w:p w14:paraId="33D3A3F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59469B70" w14:textId="1432FCB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4C60DE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3D1108B3" w14:textId="4AD66A6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FC75A1"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1879F6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B2558"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AFC281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B2558"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69AA7C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B2558"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4622C08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B2558" w:rsidRPr="008C761D">
              <w:rPr>
                <w:rFonts w:ascii="Arial" w:eastAsia="Times New Roman" w:hAnsi="Arial" w:cs="Arial"/>
                <w:b/>
                <w:bCs/>
                <w:sz w:val="12"/>
                <w:szCs w:val="12"/>
                <w:lang w:val="en-US" w:eastAsia="mk-MK"/>
              </w:rPr>
              <w:t>7</w:t>
            </w:r>
          </w:p>
        </w:tc>
      </w:tr>
      <w:tr w:rsidR="00485BAA" w:rsidRPr="008C761D" w14:paraId="0A98D98F" w14:textId="77777777" w:rsidTr="003F623B">
        <w:trPr>
          <w:gridBefore w:val="1"/>
          <w:gridAfter w:val="1"/>
          <w:wBefore w:w="17" w:type="dxa"/>
          <w:wAfter w:w="180" w:type="dxa"/>
          <w:trHeight w:val="964"/>
          <w:jc w:val="center"/>
        </w:trPr>
        <w:tc>
          <w:tcPr>
            <w:tcW w:w="2368" w:type="dxa"/>
            <w:gridSpan w:val="6"/>
            <w:shd w:val="clear" w:color="000000" w:fill="FFFF99"/>
            <w:vAlign w:val="center"/>
            <w:hideMark/>
          </w:tcPr>
          <w:p w14:paraId="566AA856" w14:textId="2089EFB3" w:rsidR="00485BAA" w:rsidRPr="008C761D" w:rsidRDefault="00FC75A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 The Aggregate revenue deviation and variance in revenue composition between planned and actual figures is reduced, indicating in particular improved forecasting of income and profit tax, VAT and excise and social security contributions</w:t>
            </w:r>
          </w:p>
        </w:tc>
        <w:tc>
          <w:tcPr>
            <w:tcW w:w="1771" w:type="dxa"/>
            <w:gridSpan w:val="3"/>
            <w:shd w:val="clear" w:color="000000" w:fill="FFFF99"/>
            <w:vAlign w:val="center"/>
            <w:hideMark/>
          </w:tcPr>
          <w:p w14:paraId="6268139E" w14:textId="77777777" w:rsidR="00FC75A1" w:rsidRPr="008C761D" w:rsidRDefault="00FC75A1" w:rsidP="00FC75A1">
            <w:pPr>
              <w:spacing w:after="0" w:line="240" w:lineRule="auto"/>
              <w:rPr>
                <w:rFonts w:ascii="Arial" w:eastAsia="Times New Roman" w:hAnsi="Arial" w:cs="Arial"/>
                <w:sz w:val="12"/>
                <w:szCs w:val="12"/>
                <w:highlight w:val="red"/>
                <w:lang w:val="en-US" w:eastAsia="mk-MK"/>
              </w:rPr>
            </w:pPr>
            <w:r w:rsidRPr="008C761D">
              <w:rPr>
                <w:rFonts w:ascii="Arial" w:eastAsia="Times New Roman" w:hAnsi="Arial" w:cs="Arial"/>
                <w:sz w:val="12"/>
                <w:szCs w:val="12"/>
                <w:lang w:val="en-US" w:eastAsia="mk-MK"/>
              </w:rPr>
              <w:t xml:space="preserve">Aggregate revenue deviation and variance in revenue composition between planned and </w:t>
            </w:r>
            <w:proofErr w:type="gramStart"/>
            <w:r w:rsidRPr="008C761D">
              <w:rPr>
                <w:rFonts w:ascii="Arial" w:eastAsia="Times New Roman" w:hAnsi="Arial" w:cs="Arial"/>
                <w:sz w:val="12"/>
                <w:szCs w:val="12"/>
                <w:lang w:val="en-US" w:eastAsia="mk-MK"/>
              </w:rPr>
              <w:t>actual  figures</w:t>
            </w:r>
            <w:proofErr w:type="gramEnd"/>
            <w:r w:rsidRPr="008C761D">
              <w:rPr>
                <w:rFonts w:ascii="Arial" w:eastAsia="Times New Roman" w:hAnsi="Arial" w:cs="Arial"/>
                <w:sz w:val="12"/>
                <w:szCs w:val="12"/>
                <w:lang w:val="en-US" w:eastAsia="mk-MK"/>
              </w:rPr>
              <w:t xml:space="preserve"> (as used in PEFA PI3)</w:t>
            </w:r>
          </w:p>
          <w:p w14:paraId="35A223C6" w14:textId="20B0D3D6"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28434589" w14:textId="77777777" w:rsidR="00485BAA" w:rsidRPr="008C761D" w:rsidRDefault="00485BAA" w:rsidP="004A38F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sidR="004A38FD" w:rsidRPr="008C761D">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418" w:type="dxa"/>
            <w:gridSpan w:val="2"/>
            <w:shd w:val="clear" w:color="000000" w:fill="FFFF99"/>
            <w:vAlign w:val="center"/>
            <w:hideMark/>
          </w:tcPr>
          <w:p w14:paraId="37CF741C" w14:textId="3ABB87F1" w:rsidR="00485BAA" w:rsidRPr="008C761D" w:rsidRDefault="0030493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Score B</w:t>
            </w:r>
          </w:p>
        </w:tc>
        <w:tc>
          <w:tcPr>
            <w:tcW w:w="1644" w:type="dxa"/>
            <w:gridSpan w:val="3"/>
            <w:shd w:val="clear" w:color="000000" w:fill="FFFF99"/>
            <w:vAlign w:val="center"/>
            <w:hideMark/>
          </w:tcPr>
          <w:p w14:paraId="2CA619C2" w14:textId="00A68D50" w:rsidR="003C20E4" w:rsidRPr="008C761D" w:rsidRDefault="0030493E" w:rsidP="00CE2DF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Score B</w:t>
            </w:r>
          </w:p>
        </w:tc>
        <w:tc>
          <w:tcPr>
            <w:tcW w:w="1758" w:type="dxa"/>
            <w:gridSpan w:val="2"/>
            <w:shd w:val="clear" w:color="000000" w:fill="FFFF99"/>
            <w:vAlign w:val="center"/>
            <w:hideMark/>
          </w:tcPr>
          <w:p w14:paraId="7B36FB2B" w14:textId="0E321804" w:rsidR="003C20E4" w:rsidRPr="008C761D" w:rsidRDefault="0030493E" w:rsidP="00CE2DF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Score B</w:t>
            </w:r>
          </w:p>
        </w:tc>
        <w:tc>
          <w:tcPr>
            <w:tcW w:w="1842" w:type="dxa"/>
            <w:gridSpan w:val="3"/>
            <w:shd w:val="clear" w:color="000000" w:fill="FFFF99"/>
            <w:vAlign w:val="center"/>
            <w:hideMark/>
          </w:tcPr>
          <w:p w14:paraId="074E9CB5" w14:textId="0988585B" w:rsidR="003C20E4" w:rsidRPr="008C761D" w:rsidRDefault="0030493E" w:rsidP="00CE2DF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Score A</w:t>
            </w:r>
          </w:p>
        </w:tc>
        <w:tc>
          <w:tcPr>
            <w:tcW w:w="1506" w:type="dxa"/>
            <w:gridSpan w:val="3"/>
            <w:shd w:val="clear" w:color="000000" w:fill="FFFF99"/>
            <w:vAlign w:val="center"/>
            <w:hideMark/>
          </w:tcPr>
          <w:p w14:paraId="6DDE776F" w14:textId="78A87165" w:rsidR="003C20E4" w:rsidRPr="008C761D" w:rsidRDefault="0030493E" w:rsidP="00CE2DF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Score A</w:t>
            </w:r>
          </w:p>
        </w:tc>
      </w:tr>
      <w:tr w:rsidR="003B2558" w:rsidRPr="008C761D" w14:paraId="3E7A0048" w14:textId="77777777" w:rsidTr="003F623B">
        <w:trPr>
          <w:gridBefore w:val="1"/>
          <w:gridAfter w:val="1"/>
          <w:wBefore w:w="17" w:type="dxa"/>
          <w:wAfter w:w="180" w:type="dxa"/>
          <w:trHeight w:val="964"/>
          <w:jc w:val="center"/>
        </w:trPr>
        <w:tc>
          <w:tcPr>
            <w:tcW w:w="2368" w:type="dxa"/>
            <w:gridSpan w:val="6"/>
            <w:shd w:val="clear" w:color="000000" w:fill="FFFF99"/>
            <w:vAlign w:val="center"/>
          </w:tcPr>
          <w:p w14:paraId="02DB77E9" w14:textId="1933DBE5" w:rsidR="003B2558" w:rsidRPr="008C761D" w:rsidRDefault="00FC75A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Enhanced public awareness of the size and scope of tax expenditures and other tax indicators</w:t>
            </w:r>
          </w:p>
        </w:tc>
        <w:tc>
          <w:tcPr>
            <w:tcW w:w="1771" w:type="dxa"/>
            <w:gridSpan w:val="3"/>
            <w:shd w:val="clear" w:color="000000" w:fill="FFFF99"/>
            <w:vAlign w:val="center"/>
          </w:tcPr>
          <w:p w14:paraId="3893E8EE" w14:textId="6B1596C9" w:rsidR="003B2558" w:rsidRPr="008C761D" w:rsidRDefault="00FC75A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Tax expenditures reports are prepared and published as part of the Final Account of the State Budget</w:t>
            </w:r>
          </w:p>
        </w:tc>
        <w:tc>
          <w:tcPr>
            <w:tcW w:w="1194" w:type="dxa"/>
            <w:gridSpan w:val="3"/>
            <w:shd w:val="clear" w:color="000000" w:fill="FFFF99"/>
            <w:vAlign w:val="center"/>
          </w:tcPr>
          <w:p w14:paraId="1D5BD0A7" w14:textId="77777777" w:rsidR="003B2558" w:rsidRPr="008C761D" w:rsidRDefault="003B2558" w:rsidP="004A38F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tcPr>
          <w:p w14:paraId="66604725" w14:textId="025273A9" w:rsidR="003B2558" w:rsidRPr="008C761D" w:rsidRDefault="004A38F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tax</w:t>
            </w:r>
            <w:r w:rsidR="00FC75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expenditure</w:t>
            </w:r>
            <w:r w:rsidR="00FC75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w:t>
            </w:r>
            <w:r w:rsidR="004473B1">
              <w:rPr>
                <w:rFonts w:ascii="Arial" w:eastAsia="Times New Roman" w:hAnsi="Arial" w:cs="Arial"/>
                <w:sz w:val="12"/>
                <w:szCs w:val="12"/>
                <w:lang w:val="en-US" w:eastAsia="mk-MK"/>
              </w:rPr>
              <w:t>t</w:t>
            </w:r>
            <w:r w:rsidR="00FC75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p>
        </w:tc>
        <w:tc>
          <w:tcPr>
            <w:tcW w:w="1644" w:type="dxa"/>
            <w:gridSpan w:val="3"/>
            <w:shd w:val="clear" w:color="000000" w:fill="FFFF99"/>
            <w:vAlign w:val="center"/>
          </w:tcPr>
          <w:p w14:paraId="1BCD8AFC" w14:textId="77777777"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tax expenditure prepared;</w:t>
            </w:r>
          </w:p>
          <w:p w14:paraId="3759B100" w14:textId="77777777"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prepared (VAT-GAP; C-efficiency; </w:t>
            </w:r>
          </w:p>
          <w:p w14:paraId="648E0E36" w14:textId="06E82379" w:rsidR="003B2558"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Tax buoyancy and tax elasticity)</w:t>
            </w:r>
          </w:p>
        </w:tc>
        <w:tc>
          <w:tcPr>
            <w:tcW w:w="1758" w:type="dxa"/>
            <w:gridSpan w:val="2"/>
            <w:shd w:val="clear" w:color="000000" w:fill="FFFF99"/>
            <w:vAlign w:val="center"/>
          </w:tcPr>
          <w:p w14:paraId="01F8EB22" w14:textId="77777777"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Тax expenditures Report prepared and published as part of the Final Account of the State Budget;</w:t>
            </w:r>
          </w:p>
          <w:p w14:paraId="45612655" w14:textId="1AB111F3"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prepared (VAT-GAP Report, Coefficients for tax buoyancy and tax </w:t>
            </w:r>
            <w:r w:rsidR="004473B1" w:rsidRPr="008C761D">
              <w:rPr>
                <w:rFonts w:ascii="Arial" w:eastAsia="Times New Roman" w:hAnsi="Arial" w:cs="Arial"/>
                <w:sz w:val="12"/>
                <w:szCs w:val="12"/>
                <w:lang w:val="en-US" w:eastAsia="mk-MK"/>
              </w:rPr>
              <w:t>elasticity</w:t>
            </w:r>
            <w:r w:rsidR="004473B1" w:rsidRPr="008C761D" w:rsidDel="00D70998">
              <w:rPr>
                <w:rFonts w:ascii="Arial" w:eastAsia="Times New Roman" w:hAnsi="Arial" w:cs="Arial"/>
                <w:sz w:val="12"/>
                <w:szCs w:val="12"/>
                <w:lang w:val="en-US" w:eastAsia="mk-MK"/>
              </w:rPr>
              <w:t xml:space="preserve"> </w:t>
            </w:r>
            <w:r w:rsidR="004473B1" w:rsidRPr="008C761D">
              <w:rPr>
                <w:rFonts w:ascii="Arial" w:eastAsia="Times New Roman" w:hAnsi="Arial" w:cs="Arial"/>
                <w:sz w:val="12"/>
                <w:szCs w:val="12"/>
                <w:lang w:val="en-US" w:eastAsia="mk-MK"/>
              </w:rPr>
              <w:t>and</w:t>
            </w:r>
            <w:r w:rsidRPr="008C761D">
              <w:rPr>
                <w:rFonts w:ascii="Arial" w:eastAsia="Times New Roman" w:hAnsi="Arial" w:cs="Arial"/>
                <w:sz w:val="12"/>
                <w:szCs w:val="12"/>
                <w:lang w:val="en-US" w:eastAsia="mk-MK"/>
              </w:rPr>
              <w:t xml:space="preserve"> C-Efficiency</w:t>
            </w:r>
            <w:proofErr w:type="gramStart"/>
            <w:r w:rsidRPr="008C761D">
              <w:rPr>
                <w:rFonts w:ascii="Arial" w:eastAsia="Times New Roman" w:hAnsi="Arial" w:cs="Arial"/>
                <w:sz w:val="12"/>
                <w:szCs w:val="12"/>
                <w:lang w:val="en-US" w:eastAsia="mk-MK"/>
              </w:rPr>
              <w:t>)</w:t>
            </w:r>
            <w:r w:rsidRPr="008C761D" w:rsidDel="00B70A2A">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proofErr w:type="gramEnd"/>
          </w:p>
          <w:p w14:paraId="3B086073" w14:textId="018C2B44"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Realized trainings for preparation of reports on estimated </w:t>
            </w:r>
            <w:r w:rsidR="004473B1" w:rsidRPr="008C761D">
              <w:rPr>
                <w:rFonts w:ascii="Arial" w:eastAsia="Times New Roman" w:hAnsi="Arial" w:cs="Arial"/>
                <w:sz w:val="12"/>
                <w:szCs w:val="12"/>
                <w:lang w:val="en-US" w:eastAsia="mk-MK"/>
              </w:rPr>
              <w:t>effective</w:t>
            </w:r>
            <w:r w:rsidRPr="008C761D">
              <w:rPr>
                <w:rFonts w:ascii="Arial" w:eastAsia="Times New Roman" w:hAnsi="Arial" w:cs="Arial"/>
                <w:sz w:val="12"/>
                <w:szCs w:val="12"/>
                <w:lang w:val="en-US" w:eastAsia="mk-MK"/>
              </w:rPr>
              <w:t xml:space="preserve"> marginal tax rates (EMTRs) and effective average tax rates (EATRs);)</w:t>
            </w:r>
          </w:p>
          <w:p w14:paraId="45278DBA" w14:textId="3F95E1BD" w:rsidR="003B2558" w:rsidRPr="008C761D" w:rsidRDefault="003B2558" w:rsidP="004A38FD">
            <w:pPr>
              <w:spacing w:after="0" w:line="240" w:lineRule="auto"/>
              <w:jc w:val="both"/>
              <w:rPr>
                <w:rFonts w:ascii="Arial" w:eastAsia="Times New Roman" w:hAnsi="Arial" w:cs="Arial"/>
                <w:sz w:val="12"/>
                <w:szCs w:val="12"/>
                <w:lang w:val="en-US" w:eastAsia="mk-MK"/>
              </w:rPr>
            </w:pPr>
          </w:p>
        </w:tc>
        <w:tc>
          <w:tcPr>
            <w:tcW w:w="1842" w:type="dxa"/>
            <w:gridSpan w:val="3"/>
            <w:shd w:val="clear" w:color="000000" w:fill="FFFF99"/>
            <w:vAlign w:val="center"/>
          </w:tcPr>
          <w:p w14:paraId="06629110" w14:textId="77777777"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Тax expenditures Report prepared and published as part of the Final Account of the State Budget.</w:t>
            </w:r>
          </w:p>
          <w:p w14:paraId="0E63CF5C" w14:textId="686A4453"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w:t>
            </w:r>
            <w:r w:rsidR="004473B1" w:rsidRPr="008C761D">
              <w:rPr>
                <w:rFonts w:ascii="Arial" w:eastAsia="Times New Roman" w:hAnsi="Arial" w:cs="Arial"/>
                <w:sz w:val="12"/>
                <w:szCs w:val="12"/>
                <w:lang w:val="en-US" w:eastAsia="mk-MK"/>
              </w:rPr>
              <w:t>prepared (</w:t>
            </w:r>
            <w:r w:rsidRPr="008C761D">
              <w:rPr>
                <w:rFonts w:ascii="Arial" w:eastAsia="Times New Roman" w:hAnsi="Arial" w:cs="Arial"/>
                <w:sz w:val="12"/>
                <w:szCs w:val="12"/>
                <w:lang w:val="en-US" w:eastAsia="mk-MK"/>
              </w:rPr>
              <w:t>VAT-GAP Report, Coefficients for tax buoyancy and tax elasticity, C-Efficiency and Effective marginal tax rates (EMTRs) and effective average tax rates (EATRs) Report).</w:t>
            </w:r>
          </w:p>
          <w:p w14:paraId="596C0767" w14:textId="2616B548" w:rsidR="003B2558"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Realized trainings for preparation of report on Income inequality and Cost-of-collection ratio.</w:t>
            </w:r>
          </w:p>
        </w:tc>
        <w:tc>
          <w:tcPr>
            <w:tcW w:w="1506" w:type="dxa"/>
            <w:gridSpan w:val="3"/>
            <w:shd w:val="clear" w:color="000000" w:fill="FFFF99"/>
            <w:vAlign w:val="center"/>
          </w:tcPr>
          <w:p w14:paraId="7E688F9E" w14:textId="77777777" w:rsidR="00FC75A1"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Тax expenditures Report prepared and published as part of the Final Account of the State Budget;</w:t>
            </w:r>
          </w:p>
          <w:p w14:paraId="121EB106" w14:textId="0C5A8E2C" w:rsidR="003B2558" w:rsidRPr="008C761D" w:rsidRDefault="00FC75A1" w:rsidP="00FC75A1">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w:t>
            </w:r>
            <w:proofErr w:type="gramStart"/>
            <w:r w:rsidRPr="008C761D">
              <w:rPr>
                <w:rFonts w:ascii="Arial" w:eastAsia="Times New Roman" w:hAnsi="Arial" w:cs="Arial"/>
                <w:sz w:val="12"/>
                <w:szCs w:val="12"/>
                <w:lang w:val="en-US" w:eastAsia="mk-MK"/>
              </w:rPr>
              <w:t>prepared  (</w:t>
            </w:r>
            <w:proofErr w:type="gramEnd"/>
            <w:r w:rsidRPr="008C761D">
              <w:rPr>
                <w:rFonts w:ascii="Arial" w:eastAsia="Times New Roman" w:hAnsi="Arial" w:cs="Arial"/>
                <w:sz w:val="12"/>
                <w:szCs w:val="12"/>
                <w:lang w:val="en-US" w:eastAsia="mk-MK"/>
              </w:rPr>
              <w:t>VAT-GAP Report, Coefficients for tax buoyancy and tax elasticity, Income inequality report, C-Efficiency, Cost-of-collection ratio Report, and Effective marginal tax rates (EMTRs) and effective average tax rates (EATRs) Report)</w:t>
            </w:r>
          </w:p>
        </w:tc>
      </w:tr>
      <w:tr w:rsidR="003B2558" w:rsidRPr="008C761D" w14:paraId="47789F0A" w14:textId="77777777" w:rsidTr="003F623B">
        <w:trPr>
          <w:gridBefore w:val="1"/>
          <w:gridAfter w:val="1"/>
          <w:wBefore w:w="17" w:type="dxa"/>
          <w:wAfter w:w="180" w:type="dxa"/>
          <w:trHeight w:val="964"/>
          <w:jc w:val="center"/>
        </w:trPr>
        <w:tc>
          <w:tcPr>
            <w:tcW w:w="2368" w:type="dxa"/>
            <w:gridSpan w:val="6"/>
            <w:shd w:val="clear" w:color="000000" w:fill="FFFF99"/>
            <w:vAlign w:val="center"/>
          </w:tcPr>
          <w:p w14:paraId="6969A079" w14:textId="123C47F6" w:rsidR="003B2558" w:rsidRPr="008C761D" w:rsidRDefault="00FC75A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iii) Enhaced modeling capabilities of the MoF staff and advanced revenue monitoring and analysis</w:t>
            </w:r>
          </w:p>
        </w:tc>
        <w:tc>
          <w:tcPr>
            <w:tcW w:w="1771" w:type="dxa"/>
            <w:gridSpan w:val="3"/>
            <w:shd w:val="clear" w:color="000000" w:fill="FFFF99"/>
            <w:vAlign w:val="center"/>
          </w:tcPr>
          <w:p w14:paraId="143E2564" w14:textId="4CFE98B8" w:rsidR="003B2558" w:rsidRPr="008C761D" w:rsidRDefault="00FC75A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Staff is fully trained for applying the tax models for revenue forecasting, monitoring and analysis of any deviations in tax revenue mobilization and for estimating tax expenditures</w:t>
            </w:r>
          </w:p>
        </w:tc>
        <w:tc>
          <w:tcPr>
            <w:tcW w:w="1194" w:type="dxa"/>
            <w:gridSpan w:val="3"/>
            <w:shd w:val="clear" w:color="000000" w:fill="FFFF99"/>
            <w:vAlign w:val="center"/>
          </w:tcPr>
          <w:p w14:paraId="2F2D223B" w14:textId="77777777" w:rsidR="003B2558" w:rsidRPr="008C761D" w:rsidRDefault="003B2558" w:rsidP="004A38F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tcPr>
          <w:p w14:paraId="7186EE0C" w14:textId="326AE622" w:rsidR="003B2558" w:rsidRPr="008C761D" w:rsidRDefault="00FC75A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 staff training performed</w:t>
            </w:r>
          </w:p>
        </w:tc>
        <w:tc>
          <w:tcPr>
            <w:tcW w:w="1644" w:type="dxa"/>
            <w:gridSpan w:val="3"/>
            <w:shd w:val="clear" w:color="000000" w:fill="FFFF99"/>
            <w:vAlign w:val="center"/>
          </w:tcPr>
          <w:p w14:paraId="60674089" w14:textId="4D5A1DAE" w:rsidR="003B2558" w:rsidRPr="008C761D" w:rsidRDefault="00FC75A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 staff training performed</w:t>
            </w:r>
          </w:p>
        </w:tc>
        <w:tc>
          <w:tcPr>
            <w:tcW w:w="1758" w:type="dxa"/>
            <w:gridSpan w:val="2"/>
            <w:shd w:val="clear" w:color="000000" w:fill="FFFF99"/>
            <w:vAlign w:val="center"/>
          </w:tcPr>
          <w:p w14:paraId="7423C379" w14:textId="596D45ED" w:rsidR="003B2558" w:rsidRPr="008C761D" w:rsidRDefault="007A1FFE"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Regular annual staff training in tax modeling</w:t>
            </w:r>
          </w:p>
        </w:tc>
        <w:tc>
          <w:tcPr>
            <w:tcW w:w="1842" w:type="dxa"/>
            <w:gridSpan w:val="3"/>
            <w:shd w:val="clear" w:color="000000" w:fill="FFFF99"/>
            <w:vAlign w:val="center"/>
          </w:tcPr>
          <w:p w14:paraId="1B0EF4E4" w14:textId="7DC8774C" w:rsidR="003B2558" w:rsidRPr="008C761D" w:rsidRDefault="007A1FFE"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Regular annual staff training in tax modeling</w:t>
            </w:r>
          </w:p>
        </w:tc>
        <w:tc>
          <w:tcPr>
            <w:tcW w:w="1506" w:type="dxa"/>
            <w:gridSpan w:val="3"/>
            <w:shd w:val="clear" w:color="000000" w:fill="FFFF99"/>
            <w:vAlign w:val="center"/>
          </w:tcPr>
          <w:p w14:paraId="27D59317" w14:textId="4E23B7B5" w:rsidR="003B2558" w:rsidRPr="008C761D" w:rsidRDefault="007A1FFE"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Regular annual staff training in tax modeling</w:t>
            </w:r>
          </w:p>
        </w:tc>
      </w:tr>
      <w:tr w:rsidR="00485BAA" w:rsidRPr="008C761D" w14:paraId="780AF291" w14:textId="77777777" w:rsidTr="003F623B">
        <w:trPr>
          <w:gridBefore w:val="1"/>
          <w:gridAfter w:val="1"/>
          <w:wBefore w:w="17" w:type="dxa"/>
          <w:wAfter w:w="180" w:type="dxa"/>
          <w:trHeight w:val="153"/>
          <w:jc w:val="center"/>
        </w:trPr>
        <w:tc>
          <w:tcPr>
            <w:tcW w:w="13501" w:type="dxa"/>
            <w:gridSpan w:val="25"/>
            <w:shd w:val="clear" w:color="000000" w:fill="9BD2ED"/>
            <w:vAlign w:val="center"/>
            <w:hideMark/>
          </w:tcPr>
          <w:p w14:paraId="76FA3688" w14:textId="48A74892"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1A1627">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Improving</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tax</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customs</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reporting</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accordance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with</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 EU best</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practices</w:t>
            </w:r>
          </w:p>
        </w:tc>
      </w:tr>
      <w:tr w:rsidR="00485BAA" w:rsidRPr="008C761D" w14:paraId="36DFA221" w14:textId="77777777" w:rsidTr="003F623B">
        <w:trPr>
          <w:gridBefore w:val="1"/>
          <w:gridAfter w:val="1"/>
          <w:wBefore w:w="17" w:type="dxa"/>
          <w:wAfter w:w="180" w:type="dxa"/>
          <w:trHeight w:val="169"/>
          <w:jc w:val="center"/>
        </w:trPr>
        <w:tc>
          <w:tcPr>
            <w:tcW w:w="2368" w:type="dxa"/>
            <w:gridSpan w:val="6"/>
            <w:tcBorders>
              <w:top w:val="nil"/>
              <w:left w:val="nil"/>
              <w:bottom w:val="nil"/>
              <w:right w:val="single" w:sz="8" w:space="0" w:color="000000"/>
            </w:tcBorders>
            <w:shd w:val="clear" w:color="auto" w:fill="auto"/>
            <w:vAlign w:val="center"/>
            <w:hideMark/>
          </w:tcPr>
          <w:p w14:paraId="5708ABEC"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02B85155" w14:textId="548505F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414E020" w14:textId="0E4391C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FE718F2" w14:textId="77777777"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4A38FD"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FB4ED4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AFFB62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EFCC013" w14:textId="77777777" w:rsidR="00485BAA" w:rsidRPr="008C761D" w:rsidRDefault="00485BAA" w:rsidP="004A38FD">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161900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7</w:t>
            </w:r>
          </w:p>
        </w:tc>
      </w:tr>
      <w:tr w:rsidR="004A38FD" w:rsidRPr="008C761D" w14:paraId="5FC2A62A" w14:textId="77777777" w:rsidTr="003F623B">
        <w:trPr>
          <w:gridBefore w:val="1"/>
          <w:gridAfter w:val="1"/>
          <w:wBefore w:w="17" w:type="dxa"/>
          <w:wAfter w:w="180" w:type="dxa"/>
          <w:trHeight w:val="700"/>
          <w:jc w:val="center"/>
        </w:trPr>
        <w:tc>
          <w:tcPr>
            <w:tcW w:w="2368" w:type="dxa"/>
            <w:gridSpan w:val="6"/>
            <w:tcBorders>
              <w:top w:val="nil"/>
              <w:left w:val="nil"/>
              <w:bottom w:val="nil"/>
              <w:right w:val="single" w:sz="8" w:space="0" w:color="000000"/>
            </w:tcBorders>
            <w:shd w:val="clear" w:color="auto" w:fill="auto"/>
            <w:vAlign w:val="center"/>
          </w:tcPr>
          <w:p w14:paraId="3C5BA54E" w14:textId="77777777" w:rsidR="004A38FD" w:rsidRPr="008C761D" w:rsidRDefault="004A38FD" w:rsidP="00485BAA">
            <w:pPr>
              <w:spacing w:after="0" w:line="240" w:lineRule="auto"/>
              <w:jc w:val="center"/>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tcPr>
          <w:p w14:paraId="22E16898" w14:textId="08AB82A1"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Number of </w:t>
            </w:r>
            <w:proofErr w:type="gramStart"/>
            <w:r w:rsidRPr="008C761D">
              <w:rPr>
                <w:rFonts w:ascii="Arial" w:eastAsia="Times New Roman" w:hAnsi="Arial" w:cs="Arial"/>
                <w:sz w:val="12"/>
                <w:szCs w:val="12"/>
                <w:lang w:val="en-US" w:eastAsia="mk-MK"/>
              </w:rPr>
              <w:t>data</w:t>
            </w:r>
            <w:proofErr w:type="gramEnd"/>
            <w:r w:rsidRPr="008C761D">
              <w:rPr>
                <w:rFonts w:ascii="Arial" w:eastAsia="Times New Roman" w:hAnsi="Arial" w:cs="Arial"/>
                <w:sz w:val="12"/>
                <w:szCs w:val="12"/>
                <w:lang w:val="en-US" w:eastAsia="mk-MK"/>
              </w:rPr>
              <w:t xml:space="preserve"> sharing protocols signed and implemented</w:t>
            </w:r>
          </w:p>
        </w:tc>
        <w:tc>
          <w:tcPr>
            <w:tcW w:w="1194" w:type="dxa"/>
            <w:gridSpan w:val="3"/>
            <w:shd w:val="clear" w:color="000000" w:fill="FFFF99"/>
            <w:vAlign w:val="center"/>
          </w:tcPr>
          <w:p w14:paraId="3C765F18" w14:textId="77777777" w:rsidR="004A38FD" w:rsidRPr="008C761D" w:rsidRDefault="004A38FD" w:rsidP="008208F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tcPr>
          <w:p w14:paraId="242AE753" w14:textId="719EBCA6"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No protocols for tax data sharing in place</w:t>
            </w:r>
          </w:p>
        </w:tc>
        <w:tc>
          <w:tcPr>
            <w:tcW w:w="1644" w:type="dxa"/>
            <w:gridSpan w:val="3"/>
            <w:shd w:val="clear" w:color="000000" w:fill="FFFF99"/>
            <w:vAlign w:val="center"/>
          </w:tcPr>
          <w:p w14:paraId="1CF91932" w14:textId="5025977A"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Data sharing protocols signed with the PRO, CA, SSO, MLSP, </w:t>
            </w:r>
            <w:proofErr w:type="gramStart"/>
            <w:r w:rsidRPr="008C761D">
              <w:rPr>
                <w:rFonts w:ascii="Arial" w:eastAsia="Times New Roman" w:hAnsi="Arial" w:cs="Arial"/>
                <w:sz w:val="12"/>
                <w:szCs w:val="12"/>
                <w:lang w:val="en-US" w:eastAsia="mk-MK"/>
              </w:rPr>
              <w:t>MOE,,</w:t>
            </w:r>
            <w:proofErr w:type="gramEnd"/>
            <w:r w:rsidRPr="008C761D">
              <w:rPr>
                <w:rFonts w:ascii="Arial" w:eastAsia="Times New Roman" w:hAnsi="Arial" w:cs="Arial"/>
                <w:sz w:val="12"/>
                <w:szCs w:val="12"/>
                <w:lang w:val="en-US" w:eastAsia="mk-MK"/>
              </w:rPr>
              <w:t xml:space="preserve"> CR</w:t>
            </w:r>
          </w:p>
        </w:tc>
        <w:tc>
          <w:tcPr>
            <w:tcW w:w="1758" w:type="dxa"/>
            <w:gridSpan w:val="2"/>
            <w:shd w:val="clear" w:color="000000" w:fill="FFFF99"/>
            <w:vAlign w:val="center"/>
          </w:tcPr>
          <w:p w14:paraId="1B4855EE" w14:textId="7A03AA1E"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Data protocols signed with all other relevant institutions</w:t>
            </w:r>
          </w:p>
        </w:tc>
        <w:tc>
          <w:tcPr>
            <w:tcW w:w="1842" w:type="dxa"/>
            <w:gridSpan w:val="3"/>
            <w:shd w:val="clear" w:color="000000" w:fill="FFFF99"/>
            <w:vAlign w:val="center"/>
          </w:tcPr>
          <w:p w14:paraId="411538DE" w14:textId="0DCA7C52"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Continuous update of signed data sharing protocols</w:t>
            </w:r>
          </w:p>
        </w:tc>
        <w:tc>
          <w:tcPr>
            <w:tcW w:w="1506" w:type="dxa"/>
            <w:gridSpan w:val="3"/>
            <w:shd w:val="clear" w:color="000000" w:fill="FFFF99"/>
            <w:vAlign w:val="center"/>
          </w:tcPr>
          <w:p w14:paraId="66337955" w14:textId="2754444A"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Continuous update of signed data sharing protocols</w:t>
            </w:r>
          </w:p>
        </w:tc>
      </w:tr>
      <w:tr w:rsidR="00485BAA" w:rsidRPr="008C761D" w14:paraId="1AAD6B9E" w14:textId="77777777" w:rsidTr="003F623B">
        <w:trPr>
          <w:gridBefore w:val="1"/>
          <w:gridAfter w:val="1"/>
          <w:wBefore w:w="17" w:type="dxa"/>
          <w:wAfter w:w="180" w:type="dxa"/>
          <w:trHeight w:val="1670"/>
          <w:jc w:val="center"/>
        </w:trPr>
        <w:tc>
          <w:tcPr>
            <w:tcW w:w="2368" w:type="dxa"/>
            <w:gridSpan w:val="6"/>
            <w:tcBorders>
              <w:top w:val="nil"/>
              <w:left w:val="nil"/>
              <w:bottom w:val="nil"/>
              <w:right w:val="single" w:sz="8" w:space="0" w:color="000000"/>
            </w:tcBorders>
            <w:shd w:val="clear" w:color="auto" w:fill="auto"/>
            <w:vAlign w:val="center"/>
            <w:hideMark/>
          </w:tcPr>
          <w:p w14:paraId="496D95D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0C1B1BC0" w14:textId="6D5A1FA7"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published reports per year and realized trainings for preparation of the reports</w:t>
            </w:r>
          </w:p>
        </w:tc>
        <w:tc>
          <w:tcPr>
            <w:tcW w:w="1194" w:type="dxa"/>
            <w:gridSpan w:val="3"/>
            <w:shd w:val="clear" w:color="000000" w:fill="FFFF99"/>
            <w:vAlign w:val="center"/>
            <w:hideMark/>
          </w:tcPr>
          <w:p w14:paraId="07044DC6" w14:textId="14296541"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Web</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page</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4B28612C" w14:textId="324959F9"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Draft of Tax Expenditures report prepared </w:t>
            </w:r>
            <w:r w:rsidR="004473B1" w:rsidRPr="008C761D">
              <w:rPr>
                <w:rFonts w:ascii="Arial" w:eastAsia="Times New Roman" w:hAnsi="Arial" w:cs="Arial"/>
                <w:sz w:val="12"/>
                <w:szCs w:val="12"/>
                <w:lang w:val="en-US" w:eastAsia="mk-MK"/>
              </w:rPr>
              <w:t>with Twinning</w:t>
            </w:r>
            <w:r w:rsidRPr="008C761D">
              <w:rPr>
                <w:rFonts w:ascii="Arial" w:eastAsia="Times New Roman" w:hAnsi="Arial" w:cs="Arial"/>
                <w:sz w:val="12"/>
                <w:szCs w:val="12"/>
                <w:lang w:val="en-US" w:eastAsia="mk-MK"/>
              </w:rPr>
              <w:t xml:space="preserve"> project “Improving revenue collection and tax and customs policy”</w:t>
            </w:r>
          </w:p>
        </w:tc>
        <w:tc>
          <w:tcPr>
            <w:tcW w:w="1644" w:type="dxa"/>
            <w:gridSpan w:val="3"/>
            <w:shd w:val="clear" w:color="000000" w:fill="FFFF99"/>
            <w:vAlign w:val="center"/>
            <w:hideMark/>
          </w:tcPr>
          <w:p w14:paraId="366DDFE7" w14:textId="77777777"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tax expenditure prepared;</w:t>
            </w:r>
          </w:p>
          <w:p w14:paraId="303384A6" w14:textId="291206FA"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Realized trainings for </w:t>
            </w:r>
            <w:r w:rsidR="004473B1" w:rsidRPr="008C761D">
              <w:rPr>
                <w:rFonts w:ascii="Arial" w:eastAsia="Times New Roman" w:hAnsi="Arial" w:cs="Arial"/>
                <w:sz w:val="12"/>
                <w:szCs w:val="12"/>
                <w:lang w:val="en-US" w:eastAsia="mk-MK"/>
              </w:rPr>
              <w:t>other</w:t>
            </w:r>
            <w:r w:rsidRPr="008C761D">
              <w:rPr>
                <w:rFonts w:ascii="Arial" w:eastAsia="Times New Roman" w:hAnsi="Arial" w:cs="Arial"/>
                <w:sz w:val="12"/>
                <w:szCs w:val="12"/>
                <w:lang w:val="en-US" w:eastAsia="mk-MK"/>
              </w:rPr>
              <w:t xml:space="preserve"> tax </w:t>
            </w:r>
            <w:proofErr w:type="gramStart"/>
            <w:r w:rsidRPr="008C761D">
              <w:rPr>
                <w:rFonts w:ascii="Arial" w:eastAsia="Times New Roman" w:hAnsi="Arial" w:cs="Arial"/>
                <w:sz w:val="12"/>
                <w:szCs w:val="12"/>
                <w:lang w:val="en-US" w:eastAsia="mk-MK"/>
              </w:rPr>
              <w:t>reports  (</w:t>
            </w:r>
            <w:proofErr w:type="gramEnd"/>
            <w:r w:rsidRPr="008C761D">
              <w:rPr>
                <w:rFonts w:ascii="Arial" w:eastAsia="Times New Roman" w:hAnsi="Arial" w:cs="Arial"/>
                <w:sz w:val="12"/>
                <w:szCs w:val="12"/>
                <w:lang w:val="en-US" w:eastAsia="mk-MK"/>
              </w:rPr>
              <w:t>VAT-GAP; C-efficiency; Tax buoyancy and tax elasticity)</w:t>
            </w:r>
          </w:p>
          <w:p w14:paraId="12A0DD5C" w14:textId="2EF78660"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shd w:val="clear" w:color="000000" w:fill="FFFF99"/>
            <w:vAlign w:val="center"/>
            <w:hideMark/>
          </w:tcPr>
          <w:p w14:paraId="04EEA1CB" w14:textId="77777777"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tax expenditures report prepared and published as part of the Final Account of the State Budget;</w:t>
            </w:r>
          </w:p>
          <w:p w14:paraId="51C19255" w14:textId="781AEB4E"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prepared (VAT-GAP Report, Coefficients for tax buoyancy and tax </w:t>
            </w:r>
            <w:r w:rsidR="00B77BB0" w:rsidRPr="008C761D">
              <w:rPr>
                <w:rFonts w:ascii="Arial" w:eastAsia="Times New Roman" w:hAnsi="Arial" w:cs="Arial"/>
                <w:sz w:val="12"/>
                <w:szCs w:val="12"/>
                <w:lang w:val="en-US" w:eastAsia="mk-MK"/>
              </w:rPr>
              <w:t>elasticity</w:t>
            </w:r>
            <w:r w:rsidR="00B77BB0" w:rsidRPr="008C761D" w:rsidDel="00D70998">
              <w:rPr>
                <w:rFonts w:ascii="Arial" w:eastAsia="Times New Roman" w:hAnsi="Arial" w:cs="Arial"/>
                <w:sz w:val="12"/>
                <w:szCs w:val="12"/>
                <w:lang w:val="en-US" w:eastAsia="mk-MK"/>
              </w:rPr>
              <w:t xml:space="preserve"> </w:t>
            </w:r>
            <w:r w:rsidR="00B77BB0" w:rsidRPr="008C761D">
              <w:rPr>
                <w:rFonts w:ascii="Arial" w:eastAsia="Times New Roman" w:hAnsi="Arial" w:cs="Arial"/>
                <w:sz w:val="12"/>
                <w:szCs w:val="12"/>
                <w:lang w:val="en-US" w:eastAsia="mk-MK"/>
              </w:rPr>
              <w:t>and</w:t>
            </w:r>
            <w:r w:rsidRPr="008C761D">
              <w:rPr>
                <w:rFonts w:ascii="Arial" w:eastAsia="Times New Roman" w:hAnsi="Arial" w:cs="Arial"/>
                <w:sz w:val="12"/>
                <w:szCs w:val="12"/>
                <w:lang w:val="en-US" w:eastAsia="mk-MK"/>
              </w:rPr>
              <w:t xml:space="preserve"> C-Efficiency</w:t>
            </w:r>
            <w:r w:rsidR="00B77BB0" w:rsidRPr="008C761D">
              <w:rPr>
                <w:rFonts w:ascii="Arial" w:eastAsia="Times New Roman" w:hAnsi="Arial" w:cs="Arial"/>
                <w:sz w:val="12"/>
                <w:szCs w:val="12"/>
                <w:lang w:val="en-US" w:eastAsia="mk-MK"/>
              </w:rPr>
              <w:t>)</w:t>
            </w:r>
            <w:r w:rsidR="00B77BB0" w:rsidRPr="008C761D" w:rsidDel="00B70A2A">
              <w:rPr>
                <w:rFonts w:ascii="Arial" w:eastAsia="Times New Roman" w:hAnsi="Arial" w:cs="Arial"/>
                <w:sz w:val="12"/>
                <w:szCs w:val="12"/>
                <w:lang w:val="en-US" w:eastAsia="mk-MK"/>
              </w:rPr>
              <w:t>;</w:t>
            </w:r>
          </w:p>
          <w:p w14:paraId="0A179974" w14:textId="7B49FA38"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Realized trainings for preparation of report on estimated </w:t>
            </w:r>
            <w:r w:rsidR="00B77BB0" w:rsidRPr="008C761D">
              <w:rPr>
                <w:rFonts w:ascii="Arial" w:eastAsia="Times New Roman" w:hAnsi="Arial" w:cs="Arial"/>
                <w:sz w:val="12"/>
                <w:szCs w:val="12"/>
                <w:lang w:val="en-US" w:eastAsia="mk-MK"/>
              </w:rPr>
              <w:t>effective</w:t>
            </w:r>
            <w:r w:rsidRPr="008C761D">
              <w:rPr>
                <w:rFonts w:ascii="Arial" w:eastAsia="Times New Roman" w:hAnsi="Arial" w:cs="Arial"/>
                <w:sz w:val="12"/>
                <w:szCs w:val="12"/>
                <w:lang w:val="en-US" w:eastAsia="mk-MK"/>
              </w:rPr>
              <w:t xml:space="preserve"> marginal tax rates (EMTRs) and effective average tax rates (EATRs);)</w:t>
            </w:r>
          </w:p>
          <w:p w14:paraId="21B18DF1" w14:textId="168EC7EA"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shd w:val="clear" w:color="000000" w:fill="FFFF99"/>
            <w:vAlign w:val="center"/>
            <w:hideMark/>
          </w:tcPr>
          <w:p w14:paraId="1596654C" w14:textId="77777777"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tax expenditures report prepared and published as part of the Final Account of the State Budget.</w:t>
            </w:r>
          </w:p>
          <w:p w14:paraId="45B8D51F" w14:textId="74B22B86"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w:t>
            </w:r>
            <w:r w:rsidR="00B77BB0" w:rsidRPr="008C761D">
              <w:rPr>
                <w:rFonts w:ascii="Arial" w:eastAsia="Times New Roman" w:hAnsi="Arial" w:cs="Arial"/>
                <w:sz w:val="12"/>
                <w:szCs w:val="12"/>
                <w:lang w:val="en-US" w:eastAsia="mk-MK"/>
              </w:rPr>
              <w:t>prepared (</w:t>
            </w:r>
            <w:r w:rsidRPr="008C761D">
              <w:rPr>
                <w:rFonts w:ascii="Arial" w:eastAsia="Times New Roman" w:hAnsi="Arial" w:cs="Arial"/>
                <w:sz w:val="12"/>
                <w:szCs w:val="12"/>
                <w:lang w:val="en-US" w:eastAsia="mk-MK"/>
              </w:rPr>
              <w:t>VAT-GAP Report, Coefficients for tax buoyancy and tax elasticity, C-Efficiency and Effective marginal tax rates (EMTRs) and effective average tax rates (EATRs) Report).</w:t>
            </w:r>
          </w:p>
          <w:p w14:paraId="3C51F336" w14:textId="5ED4EF29" w:rsidR="00485BAA"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Realized trainings for preparation of report on Income inequality and Cost-of-collection ratio.</w:t>
            </w:r>
          </w:p>
        </w:tc>
        <w:tc>
          <w:tcPr>
            <w:tcW w:w="1506" w:type="dxa"/>
            <w:gridSpan w:val="3"/>
            <w:shd w:val="clear" w:color="000000" w:fill="FFFF99"/>
            <w:vAlign w:val="center"/>
            <w:hideMark/>
          </w:tcPr>
          <w:p w14:paraId="40F90D45" w14:textId="77777777" w:rsidR="007A1FFE" w:rsidRPr="008C761D" w:rsidRDefault="007A1FFE" w:rsidP="007A1FFE">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Annual tax expenditures report prepared and published as part of the Final Account of the State Budget;</w:t>
            </w:r>
          </w:p>
          <w:p w14:paraId="37DFAAEF" w14:textId="2D7EE9D5" w:rsidR="00485BAA"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Other tax reports </w:t>
            </w:r>
            <w:proofErr w:type="gramStart"/>
            <w:r w:rsidRPr="008C761D">
              <w:rPr>
                <w:rFonts w:ascii="Arial" w:eastAsia="Times New Roman" w:hAnsi="Arial" w:cs="Arial"/>
                <w:sz w:val="12"/>
                <w:szCs w:val="12"/>
                <w:lang w:val="en-US" w:eastAsia="mk-MK"/>
              </w:rPr>
              <w:t>prepared  (</w:t>
            </w:r>
            <w:proofErr w:type="gramEnd"/>
            <w:r w:rsidRPr="008C761D">
              <w:rPr>
                <w:rFonts w:ascii="Arial" w:eastAsia="Times New Roman" w:hAnsi="Arial" w:cs="Arial"/>
                <w:sz w:val="12"/>
                <w:szCs w:val="12"/>
                <w:lang w:val="en-US" w:eastAsia="mk-MK"/>
              </w:rPr>
              <w:t>VAT-GAP Report, Coefficients for tax buoyancy and tax elasticity, Income inequality report, C-Efficiency, Cost-of-collection ratio Report, and Effective marginal tax rates (EMTRs) and effective average tax rates (EATRs) Report)</w:t>
            </w:r>
          </w:p>
        </w:tc>
      </w:tr>
      <w:tr w:rsidR="00485BAA" w:rsidRPr="008C761D" w14:paraId="2A608EEC" w14:textId="77777777" w:rsidTr="003F623B">
        <w:trPr>
          <w:gridBefore w:val="1"/>
          <w:gridAfter w:val="1"/>
          <w:wBefore w:w="17" w:type="dxa"/>
          <w:wAfter w:w="180" w:type="dxa"/>
          <w:trHeight w:val="239"/>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0A06493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E3495E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266C815" w14:textId="513B609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2C16A453" w14:textId="6DF58BF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BAABDB2" w14:textId="00089B3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03C42A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02D71882" w14:textId="3DAF3680"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0D3DA0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41786C57" w14:textId="77777777" w:rsidTr="003F623B">
        <w:trPr>
          <w:gridBefore w:val="1"/>
          <w:gridAfter w:val="1"/>
          <w:wBefore w:w="17" w:type="dxa"/>
          <w:wAfter w:w="180" w:type="dxa"/>
          <w:trHeight w:val="708"/>
          <w:jc w:val="center"/>
        </w:trPr>
        <w:tc>
          <w:tcPr>
            <w:tcW w:w="2368" w:type="dxa"/>
            <w:gridSpan w:val="6"/>
            <w:vMerge/>
            <w:tcBorders>
              <w:top w:val="nil"/>
              <w:left w:val="nil"/>
              <w:bottom w:val="nil"/>
              <w:right w:val="single" w:sz="8" w:space="0" w:color="000000"/>
            </w:tcBorders>
            <w:vAlign w:val="center"/>
            <w:hideMark/>
          </w:tcPr>
          <w:p w14:paraId="5557C3A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hideMark/>
          </w:tcPr>
          <w:p w14:paraId="22FAE326" w14:textId="3F6CC5BC"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Establish an effective and efficient tax data sharing mechanism</w:t>
            </w:r>
          </w:p>
        </w:tc>
        <w:tc>
          <w:tcPr>
            <w:tcW w:w="1194" w:type="dxa"/>
            <w:gridSpan w:val="3"/>
            <w:shd w:val="clear" w:color="000000" w:fill="FFFF99"/>
            <w:vAlign w:val="center"/>
            <w:hideMark/>
          </w:tcPr>
          <w:p w14:paraId="0DE8E2BA" w14:textId="77777777" w:rsidR="00485BAA" w:rsidRPr="008C761D" w:rsidRDefault="004A38F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Q1 2024</w:t>
            </w:r>
          </w:p>
        </w:tc>
        <w:tc>
          <w:tcPr>
            <w:tcW w:w="1418" w:type="dxa"/>
            <w:gridSpan w:val="2"/>
            <w:shd w:val="clear" w:color="000000" w:fill="FFFF99"/>
            <w:vAlign w:val="center"/>
            <w:hideMark/>
          </w:tcPr>
          <w:p w14:paraId="3A4EBCB5" w14:textId="61F110C1"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D04FAE">
              <w:rPr>
                <w:rFonts w:ascii="Arial" w:eastAsia="Times New Roman" w:hAnsi="Arial" w:cs="Arial"/>
                <w:sz w:val="12"/>
                <w:szCs w:val="12"/>
                <w:lang w:val="en-US" w:eastAsia="mk-MK"/>
              </w:rPr>
              <w:t xml:space="preserve"> </w:t>
            </w:r>
            <w:r w:rsidR="00606008">
              <w:rPr>
                <w:rFonts w:ascii="Arial" w:eastAsia="Times New Roman" w:hAnsi="Arial" w:cs="Arial"/>
                <w:sz w:val="12"/>
                <w:szCs w:val="12"/>
                <w:lang w:val="en-US" w:eastAsia="mk-MK"/>
              </w:rPr>
              <w:t>–</w:t>
            </w:r>
            <w:r w:rsidR="00D04FAE">
              <w:rPr>
                <w:rFonts w:ascii="Arial" w:eastAsia="Times New Roman" w:hAnsi="Arial" w:cs="Arial"/>
                <w:sz w:val="12"/>
                <w:szCs w:val="12"/>
                <w:lang w:val="en-US" w:eastAsia="mk-MK"/>
              </w:rPr>
              <w:t xml:space="preserve"> </w:t>
            </w:r>
            <w:r w:rsidR="00431364" w:rsidRPr="00431364">
              <w:rPr>
                <w:rFonts w:ascii="Arial" w:eastAsia="Times New Roman" w:hAnsi="Arial" w:cs="Arial"/>
                <w:sz w:val="12"/>
                <w:szCs w:val="12"/>
                <w:lang w:val="en-US" w:eastAsia="mk-MK"/>
              </w:rPr>
              <w:t>Public revenues and Tax and Customs Policy Department</w:t>
            </w:r>
          </w:p>
        </w:tc>
        <w:tc>
          <w:tcPr>
            <w:tcW w:w="1644" w:type="dxa"/>
            <w:gridSpan w:val="3"/>
            <w:shd w:val="clear" w:color="000000" w:fill="FFFF99"/>
            <w:vAlign w:val="center"/>
            <w:hideMark/>
          </w:tcPr>
          <w:p w14:paraId="79AA3C00" w14:textId="3F147E7B" w:rsidR="00485BAA" w:rsidRPr="008C761D" w:rsidRDefault="00485BAA" w:rsidP="00485BAA">
            <w:pPr>
              <w:spacing w:after="0" w:line="240" w:lineRule="auto"/>
              <w:jc w:val="center"/>
              <w:rPr>
                <w:rFonts w:ascii="Arial" w:eastAsia="Times New Roman" w:hAnsi="Arial" w:cs="Arial"/>
                <w:sz w:val="12"/>
                <w:szCs w:val="12"/>
                <w:lang w:val="en-US" w:eastAsia="mk-MK"/>
              </w:rPr>
            </w:pPr>
            <w:proofErr w:type="gramStart"/>
            <w:r w:rsidRPr="008C761D">
              <w:rPr>
                <w:rFonts w:ascii="Arial" w:eastAsia="Times New Roman" w:hAnsi="Arial" w:cs="Arial"/>
                <w:sz w:val="12"/>
                <w:szCs w:val="12"/>
                <w:lang w:val="en-US" w:eastAsia="mk-MK"/>
              </w:rPr>
              <w:t>CA,PRO</w:t>
            </w:r>
            <w:proofErr w:type="gramEnd"/>
            <w:r w:rsidRPr="008C761D">
              <w:rPr>
                <w:rFonts w:ascii="Arial" w:eastAsia="Times New Roman" w:hAnsi="Arial" w:cs="Arial"/>
                <w:sz w:val="12"/>
                <w:szCs w:val="12"/>
                <w:lang w:val="en-US" w:eastAsia="mk-MK"/>
              </w:rPr>
              <w:t>,SSO and</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tc>
        <w:tc>
          <w:tcPr>
            <w:tcW w:w="1758" w:type="dxa"/>
            <w:gridSpan w:val="2"/>
            <w:shd w:val="clear" w:color="000000" w:fill="FFFF99"/>
            <w:vAlign w:val="center"/>
            <w:hideMark/>
          </w:tcPr>
          <w:p w14:paraId="12CCBA73" w14:textId="77777777" w:rsidR="00485BAA" w:rsidRPr="008C761D" w:rsidRDefault="00485BAA" w:rsidP="007A1FF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82,500</w:t>
            </w:r>
          </w:p>
        </w:tc>
        <w:tc>
          <w:tcPr>
            <w:tcW w:w="1842" w:type="dxa"/>
            <w:gridSpan w:val="3"/>
            <w:shd w:val="clear" w:color="000000" w:fill="FFFF99"/>
            <w:vAlign w:val="center"/>
            <w:hideMark/>
          </w:tcPr>
          <w:p w14:paraId="5319775D" w14:textId="77777777" w:rsidR="00485BAA" w:rsidRPr="008C761D" w:rsidRDefault="004A38FD"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IMF</w:t>
            </w:r>
          </w:p>
        </w:tc>
        <w:tc>
          <w:tcPr>
            <w:tcW w:w="1506" w:type="dxa"/>
            <w:gridSpan w:val="3"/>
            <w:shd w:val="clear" w:color="000000" w:fill="FFFF99"/>
            <w:vAlign w:val="center"/>
            <w:hideMark/>
          </w:tcPr>
          <w:p w14:paraId="1304FD5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31A7169C" w14:textId="77777777" w:rsidTr="003F623B">
        <w:trPr>
          <w:gridBefore w:val="1"/>
          <w:gridAfter w:val="1"/>
          <w:wBefore w:w="17" w:type="dxa"/>
          <w:wAfter w:w="180" w:type="dxa"/>
          <w:trHeight w:val="395"/>
          <w:jc w:val="center"/>
        </w:trPr>
        <w:tc>
          <w:tcPr>
            <w:tcW w:w="2368" w:type="dxa"/>
            <w:gridSpan w:val="6"/>
            <w:vMerge/>
            <w:tcBorders>
              <w:top w:val="nil"/>
              <w:left w:val="nil"/>
              <w:bottom w:val="nil"/>
              <w:right w:val="single" w:sz="8" w:space="0" w:color="000000"/>
            </w:tcBorders>
            <w:vAlign w:val="center"/>
            <w:hideMark/>
          </w:tcPr>
          <w:p w14:paraId="43E12F1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hideMark/>
          </w:tcPr>
          <w:p w14:paraId="30D8EF0F" w14:textId="7182B988"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2. Preparing tax </w:t>
            </w:r>
            <w:proofErr w:type="gramStart"/>
            <w:r w:rsidRPr="008C761D">
              <w:rPr>
                <w:rFonts w:ascii="Arial" w:eastAsia="Times New Roman" w:hAnsi="Arial" w:cs="Arial"/>
                <w:sz w:val="12"/>
                <w:szCs w:val="12"/>
                <w:lang w:val="en-US" w:eastAsia="mk-MK"/>
              </w:rPr>
              <w:t>expenditure  report</w:t>
            </w:r>
            <w:proofErr w:type="gramEnd"/>
            <w:r w:rsidRPr="008C761D">
              <w:rPr>
                <w:rFonts w:ascii="Arial" w:eastAsia="Times New Roman" w:hAnsi="Arial" w:cs="Arial"/>
                <w:sz w:val="12"/>
                <w:szCs w:val="12"/>
                <w:lang w:val="en-US" w:eastAsia="mk-MK"/>
              </w:rPr>
              <w:t xml:space="preserve"> and other reports in line with EU best practices</w:t>
            </w:r>
          </w:p>
        </w:tc>
        <w:tc>
          <w:tcPr>
            <w:tcW w:w="1194" w:type="dxa"/>
            <w:gridSpan w:val="3"/>
            <w:shd w:val="clear" w:color="000000" w:fill="FFFF99"/>
            <w:vAlign w:val="center"/>
            <w:hideMark/>
          </w:tcPr>
          <w:p w14:paraId="0D57DA8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4A38FD" w:rsidRPr="008C761D">
              <w:rPr>
                <w:rFonts w:ascii="Arial" w:eastAsia="Times New Roman" w:hAnsi="Arial" w:cs="Arial"/>
                <w:sz w:val="12"/>
                <w:szCs w:val="12"/>
                <w:lang w:val="en-US" w:eastAsia="mk-MK"/>
              </w:rPr>
              <w:t>3</w:t>
            </w:r>
            <w:r w:rsidRPr="008C761D">
              <w:rPr>
                <w:rFonts w:ascii="Arial" w:eastAsia="Times New Roman" w:hAnsi="Arial" w:cs="Arial"/>
                <w:sz w:val="12"/>
                <w:szCs w:val="12"/>
                <w:lang w:val="en-US" w:eastAsia="mk-MK"/>
              </w:rPr>
              <w:t>-2025</w:t>
            </w:r>
          </w:p>
        </w:tc>
        <w:tc>
          <w:tcPr>
            <w:tcW w:w="1418" w:type="dxa"/>
            <w:gridSpan w:val="2"/>
            <w:shd w:val="clear" w:color="000000" w:fill="FFFF99"/>
            <w:vAlign w:val="center"/>
            <w:hideMark/>
          </w:tcPr>
          <w:p w14:paraId="7E676334" w14:textId="3640DB8B" w:rsidR="00485BAA" w:rsidRPr="008C761D" w:rsidRDefault="00431364" w:rsidP="00485BAA">
            <w:pPr>
              <w:spacing w:after="0" w:line="240" w:lineRule="auto"/>
              <w:jc w:val="center"/>
              <w:rPr>
                <w:rFonts w:ascii="Arial" w:eastAsia="Times New Roman" w:hAnsi="Arial" w:cs="Arial"/>
                <w:sz w:val="12"/>
                <w:szCs w:val="12"/>
                <w:lang w:val="en-US" w:eastAsia="mk-MK"/>
              </w:rPr>
            </w:pPr>
            <w:r w:rsidRPr="00431364">
              <w:rPr>
                <w:rFonts w:ascii="Arial" w:eastAsia="Times New Roman" w:hAnsi="Arial" w:cs="Arial"/>
                <w:sz w:val="12"/>
                <w:szCs w:val="12"/>
                <w:lang w:val="en-US" w:eastAsia="mk-MK"/>
              </w:rPr>
              <w:t>MoF – Public revenues and Tax and Customs Policy Department</w:t>
            </w:r>
          </w:p>
        </w:tc>
        <w:tc>
          <w:tcPr>
            <w:tcW w:w="1644" w:type="dxa"/>
            <w:gridSpan w:val="3"/>
            <w:shd w:val="clear" w:color="000000" w:fill="FFFF99"/>
            <w:vAlign w:val="center"/>
            <w:hideMark/>
          </w:tcPr>
          <w:p w14:paraId="5F55ACE3" w14:textId="10451A11" w:rsidR="00485BAA" w:rsidRPr="008C761D" w:rsidRDefault="00485BAA" w:rsidP="00485BAA">
            <w:pPr>
              <w:spacing w:after="0" w:line="240" w:lineRule="auto"/>
              <w:jc w:val="center"/>
              <w:rPr>
                <w:rFonts w:ascii="Arial" w:eastAsia="Times New Roman" w:hAnsi="Arial" w:cs="Arial"/>
                <w:sz w:val="12"/>
                <w:szCs w:val="12"/>
                <w:lang w:val="en-US" w:eastAsia="mk-MK"/>
              </w:rPr>
            </w:pPr>
            <w:proofErr w:type="gramStart"/>
            <w:r w:rsidRPr="008C761D">
              <w:rPr>
                <w:rFonts w:ascii="Arial" w:eastAsia="Times New Roman" w:hAnsi="Arial" w:cs="Arial"/>
                <w:sz w:val="12"/>
                <w:szCs w:val="12"/>
                <w:lang w:val="en-US" w:eastAsia="mk-MK"/>
              </w:rPr>
              <w:t>CA,PRO</w:t>
            </w:r>
            <w:proofErr w:type="gramEnd"/>
            <w:r w:rsidRPr="008C761D">
              <w:rPr>
                <w:rFonts w:ascii="Arial" w:eastAsia="Times New Roman" w:hAnsi="Arial" w:cs="Arial"/>
                <w:sz w:val="12"/>
                <w:szCs w:val="12"/>
                <w:lang w:val="en-US" w:eastAsia="mk-MK"/>
              </w:rPr>
              <w:t>,SSO and</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tc>
        <w:tc>
          <w:tcPr>
            <w:tcW w:w="1758" w:type="dxa"/>
            <w:gridSpan w:val="2"/>
            <w:shd w:val="clear" w:color="000000" w:fill="FFFF99"/>
            <w:vAlign w:val="center"/>
            <w:hideMark/>
          </w:tcPr>
          <w:p w14:paraId="74D668FD" w14:textId="77777777" w:rsidR="00485BAA" w:rsidRPr="008C761D" w:rsidRDefault="00485BAA" w:rsidP="007A1FF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82,500</w:t>
            </w:r>
          </w:p>
        </w:tc>
        <w:tc>
          <w:tcPr>
            <w:tcW w:w="1842" w:type="dxa"/>
            <w:gridSpan w:val="3"/>
            <w:shd w:val="clear" w:color="000000" w:fill="FFFF99"/>
            <w:vAlign w:val="center"/>
            <w:hideMark/>
          </w:tcPr>
          <w:p w14:paraId="60869AA9" w14:textId="57397371" w:rsidR="00485BAA" w:rsidRPr="008C761D" w:rsidRDefault="004A38FD"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IMF and</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World</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Bank</w:t>
            </w:r>
          </w:p>
        </w:tc>
        <w:tc>
          <w:tcPr>
            <w:tcW w:w="1506" w:type="dxa"/>
            <w:gridSpan w:val="3"/>
            <w:shd w:val="clear" w:color="000000" w:fill="FFFF99"/>
            <w:vAlign w:val="center"/>
            <w:hideMark/>
          </w:tcPr>
          <w:p w14:paraId="26E81CD6"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1606B149" w14:textId="77777777" w:rsidTr="003F623B">
        <w:trPr>
          <w:gridBefore w:val="1"/>
          <w:gridAfter w:val="1"/>
          <w:wBefore w:w="17" w:type="dxa"/>
          <w:wAfter w:w="180" w:type="dxa"/>
          <w:trHeight w:val="188"/>
          <w:jc w:val="center"/>
        </w:trPr>
        <w:tc>
          <w:tcPr>
            <w:tcW w:w="13501" w:type="dxa"/>
            <w:gridSpan w:val="25"/>
            <w:shd w:val="clear" w:color="000000" w:fill="9BD2ED"/>
            <w:vAlign w:val="center"/>
            <w:hideMark/>
          </w:tcPr>
          <w:p w14:paraId="721B227B" w14:textId="3F6E8273" w:rsidR="00ED2D5D"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1A1627">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Enhancing tax</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customs</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modelling</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capacity</w:t>
            </w:r>
          </w:p>
        </w:tc>
      </w:tr>
      <w:tr w:rsidR="00485BAA" w:rsidRPr="008C761D" w14:paraId="2E4199C3" w14:textId="77777777" w:rsidTr="003F623B">
        <w:trPr>
          <w:gridBefore w:val="1"/>
          <w:gridAfter w:val="1"/>
          <w:wBefore w:w="17" w:type="dxa"/>
          <w:wAfter w:w="180" w:type="dxa"/>
          <w:trHeight w:val="119"/>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19CC06E1"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4330928C" w14:textId="03EA2B42" w:rsidR="00485BAA" w:rsidRPr="008C761D" w:rsidRDefault="00B77BB0"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 Indicator</w:t>
            </w:r>
          </w:p>
        </w:tc>
        <w:tc>
          <w:tcPr>
            <w:tcW w:w="1194" w:type="dxa"/>
            <w:gridSpan w:val="3"/>
            <w:shd w:val="clear" w:color="000000" w:fill="9BD2ED"/>
            <w:vAlign w:val="center"/>
            <w:hideMark/>
          </w:tcPr>
          <w:p w14:paraId="3972D02A" w14:textId="04E0C28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4A8A3C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4A38FD"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4A04FA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51BA5C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0B2EE40" w14:textId="77777777" w:rsidR="00485BAA" w:rsidRPr="008C761D" w:rsidRDefault="00485BAA" w:rsidP="004A38FD">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B6AE0D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4A38FD" w:rsidRPr="008C761D">
              <w:rPr>
                <w:rFonts w:ascii="Arial" w:eastAsia="Times New Roman" w:hAnsi="Arial" w:cs="Arial"/>
                <w:b/>
                <w:bCs/>
                <w:sz w:val="12"/>
                <w:szCs w:val="12"/>
                <w:lang w:val="en-US" w:eastAsia="mk-MK"/>
              </w:rPr>
              <w:t>7</w:t>
            </w:r>
          </w:p>
        </w:tc>
      </w:tr>
      <w:tr w:rsidR="00485BAA" w:rsidRPr="008C761D" w14:paraId="4EA565AA" w14:textId="77777777" w:rsidTr="003F623B">
        <w:trPr>
          <w:gridBefore w:val="1"/>
          <w:gridAfter w:val="1"/>
          <w:wBefore w:w="17" w:type="dxa"/>
          <w:wAfter w:w="180" w:type="dxa"/>
          <w:trHeight w:val="1357"/>
          <w:jc w:val="center"/>
        </w:trPr>
        <w:tc>
          <w:tcPr>
            <w:tcW w:w="2368" w:type="dxa"/>
            <w:gridSpan w:val="6"/>
            <w:vMerge/>
            <w:tcBorders>
              <w:top w:val="nil"/>
              <w:left w:val="nil"/>
              <w:bottom w:val="nil"/>
              <w:right w:val="single" w:sz="8" w:space="0" w:color="000000"/>
            </w:tcBorders>
            <w:vAlign w:val="center"/>
            <w:hideMark/>
          </w:tcPr>
          <w:p w14:paraId="25B4A402"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1E04B639" w14:textId="3F277C00"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provided tailor-made training of staff</w:t>
            </w:r>
          </w:p>
        </w:tc>
        <w:tc>
          <w:tcPr>
            <w:tcW w:w="1194" w:type="dxa"/>
            <w:gridSpan w:val="3"/>
            <w:shd w:val="clear" w:color="000000" w:fill="FFFF99"/>
            <w:vAlign w:val="center"/>
            <w:hideMark/>
          </w:tcPr>
          <w:p w14:paraId="35CF65D9" w14:textId="05CF8CE2" w:rsidR="00485BAA" w:rsidRPr="008C761D" w:rsidRDefault="004A38F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Mission</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Reports</w:t>
            </w:r>
          </w:p>
        </w:tc>
        <w:tc>
          <w:tcPr>
            <w:tcW w:w="1418" w:type="dxa"/>
            <w:gridSpan w:val="2"/>
            <w:shd w:val="clear" w:color="000000" w:fill="FFFF99"/>
            <w:vAlign w:val="center"/>
            <w:hideMark/>
          </w:tcPr>
          <w:p w14:paraId="7DB6A5DF"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2 trainings for tax expenditures reporting;</w:t>
            </w:r>
          </w:p>
          <w:p w14:paraId="703EFCAB" w14:textId="630668F3" w:rsidR="00485BAA"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2 trainings for tax modeling</w:t>
            </w:r>
          </w:p>
        </w:tc>
        <w:tc>
          <w:tcPr>
            <w:tcW w:w="1644" w:type="dxa"/>
            <w:gridSpan w:val="3"/>
            <w:shd w:val="clear" w:color="000000" w:fill="FFFF99"/>
            <w:vAlign w:val="center"/>
            <w:hideMark/>
          </w:tcPr>
          <w:p w14:paraId="3C5E4E07"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1 training in cost-benefit analysis of tax expenditures;</w:t>
            </w:r>
          </w:p>
          <w:p w14:paraId="08E438F0"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36691339"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Implemented 6 trainings for tax modeling </w:t>
            </w:r>
          </w:p>
          <w:p w14:paraId="781348D8"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43596048" w14:textId="16DE9031" w:rsidR="00485BAA"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1 training for Power BI</w:t>
            </w:r>
          </w:p>
        </w:tc>
        <w:tc>
          <w:tcPr>
            <w:tcW w:w="1758" w:type="dxa"/>
            <w:gridSpan w:val="2"/>
            <w:shd w:val="clear" w:color="000000" w:fill="FFFF99"/>
            <w:vAlign w:val="center"/>
            <w:hideMark/>
          </w:tcPr>
          <w:p w14:paraId="56CF8F15" w14:textId="72540590"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regular annual staff training in tax modeling</w:t>
            </w:r>
          </w:p>
        </w:tc>
        <w:tc>
          <w:tcPr>
            <w:tcW w:w="1842" w:type="dxa"/>
            <w:gridSpan w:val="3"/>
            <w:shd w:val="clear" w:color="000000" w:fill="FFFF99"/>
            <w:vAlign w:val="center"/>
            <w:hideMark/>
          </w:tcPr>
          <w:p w14:paraId="73B10C2A" w14:textId="708E1295"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regular annual staff training in tax modeling</w:t>
            </w:r>
          </w:p>
        </w:tc>
        <w:tc>
          <w:tcPr>
            <w:tcW w:w="1506" w:type="dxa"/>
            <w:gridSpan w:val="3"/>
            <w:shd w:val="clear" w:color="000000" w:fill="FFFF99"/>
            <w:vAlign w:val="center"/>
            <w:hideMark/>
          </w:tcPr>
          <w:p w14:paraId="6A2CAAE8" w14:textId="29E962EB" w:rsidR="00485BAA"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regular annual staff training in tax modeling</w:t>
            </w:r>
          </w:p>
        </w:tc>
      </w:tr>
      <w:tr w:rsidR="004A38FD" w:rsidRPr="008C761D" w14:paraId="01BBC504" w14:textId="77777777" w:rsidTr="003F623B">
        <w:trPr>
          <w:gridBefore w:val="1"/>
          <w:gridAfter w:val="1"/>
          <w:wBefore w:w="17" w:type="dxa"/>
          <w:wAfter w:w="180" w:type="dxa"/>
          <w:trHeight w:val="1474"/>
          <w:jc w:val="center"/>
        </w:trPr>
        <w:tc>
          <w:tcPr>
            <w:tcW w:w="2368" w:type="dxa"/>
            <w:gridSpan w:val="6"/>
            <w:vMerge/>
            <w:tcBorders>
              <w:top w:val="nil"/>
              <w:left w:val="nil"/>
              <w:bottom w:val="nil"/>
              <w:right w:val="single" w:sz="8" w:space="0" w:color="000000"/>
            </w:tcBorders>
            <w:vAlign w:val="center"/>
          </w:tcPr>
          <w:p w14:paraId="3A3A0D5D" w14:textId="77777777" w:rsidR="004A38FD" w:rsidRPr="008C761D" w:rsidRDefault="004A38FD"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tcPr>
          <w:p w14:paraId="601F841F" w14:textId="092FD200" w:rsidR="004A38FD" w:rsidRPr="008C761D" w:rsidRDefault="007A1FF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tax models fully operational; new modules for tax expenditures developed and Power BI tool installed</w:t>
            </w:r>
          </w:p>
        </w:tc>
        <w:tc>
          <w:tcPr>
            <w:tcW w:w="1194" w:type="dxa"/>
            <w:gridSpan w:val="3"/>
            <w:shd w:val="clear" w:color="000000" w:fill="FFFF99"/>
            <w:vAlign w:val="center"/>
          </w:tcPr>
          <w:p w14:paraId="341C8336" w14:textId="0A980A4B" w:rsidR="004A38FD" w:rsidRPr="008C761D" w:rsidRDefault="004A38F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Mission</w:t>
            </w:r>
            <w:r w:rsidR="007A1FF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Reports</w:t>
            </w:r>
          </w:p>
        </w:tc>
        <w:tc>
          <w:tcPr>
            <w:tcW w:w="1418" w:type="dxa"/>
            <w:gridSpan w:val="2"/>
            <w:shd w:val="clear" w:color="000000" w:fill="FFFF99"/>
            <w:vAlign w:val="center"/>
          </w:tcPr>
          <w:p w14:paraId="44E28250" w14:textId="6971E7F3" w:rsidR="004A38FD" w:rsidRPr="008C761D" w:rsidRDefault="007A1FFE" w:rsidP="004A38FD">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tax model fully implemented, with no extensions with new modules</w:t>
            </w:r>
          </w:p>
        </w:tc>
        <w:tc>
          <w:tcPr>
            <w:tcW w:w="1644" w:type="dxa"/>
            <w:gridSpan w:val="3"/>
            <w:shd w:val="clear" w:color="000000" w:fill="FFFF99"/>
            <w:vAlign w:val="center"/>
          </w:tcPr>
          <w:p w14:paraId="323F00B4"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tax models fully implemented, with 4 extensions with a module for tax expenditures;</w:t>
            </w:r>
          </w:p>
          <w:p w14:paraId="360AB88E"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0F329D43" w14:textId="5456FE25" w:rsidR="004A38FD"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Power BI tool installed.</w:t>
            </w:r>
          </w:p>
        </w:tc>
        <w:tc>
          <w:tcPr>
            <w:tcW w:w="1758" w:type="dxa"/>
            <w:gridSpan w:val="2"/>
            <w:shd w:val="clear" w:color="000000" w:fill="FFFF99"/>
            <w:vAlign w:val="center"/>
          </w:tcPr>
          <w:p w14:paraId="4EBBFD5D"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tax models fully implemented, with 4 extensions with a module for tax expenditures;</w:t>
            </w:r>
          </w:p>
          <w:p w14:paraId="1CF3A849"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0581B2CB" w14:textId="4A8BC7A5" w:rsidR="004A38FD"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Power BI tool installed.</w:t>
            </w:r>
          </w:p>
        </w:tc>
        <w:tc>
          <w:tcPr>
            <w:tcW w:w="1842" w:type="dxa"/>
            <w:gridSpan w:val="3"/>
            <w:shd w:val="clear" w:color="000000" w:fill="FFFF99"/>
            <w:vAlign w:val="center"/>
          </w:tcPr>
          <w:p w14:paraId="045BD916"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tax models fully implemented, with 4 extensions with a module for tax expenditures;</w:t>
            </w:r>
          </w:p>
          <w:p w14:paraId="52A3D3CB"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7200F26D"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Power BI tool installed.</w:t>
            </w:r>
          </w:p>
          <w:p w14:paraId="29613E14"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7252B917" w14:textId="1297501F" w:rsidR="004A38FD"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Staff is trained in using the models.</w:t>
            </w:r>
          </w:p>
        </w:tc>
        <w:tc>
          <w:tcPr>
            <w:tcW w:w="1506" w:type="dxa"/>
            <w:gridSpan w:val="3"/>
            <w:shd w:val="clear" w:color="000000" w:fill="FFFF99"/>
            <w:vAlign w:val="center"/>
          </w:tcPr>
          <w:p w14:paraId="2673BC03"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tax models fully implemented, with 4 extensions with a module for tax expenditures;</w:t>
            </w:r>
          </w:p>
          <w:p w14:paraId="410078C9"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4A268B9D" w14:textId="77777777" w:rsidR="007A1FFE"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Power BI tool installed.</w:t>
            </w:r>
          </w:p>
          <w:p w14:paraId="43C6E2A6" w14:textId="77777777" w:rsidR="007A1FFE" w:rsidRPr="008C761D" w:rsidRDefault="007A1FFE" w:rsidP="007A1FFE">
            <w:pPr>
              <w:spacing w:after="0" w:line="240" w:lineRule="auto"/>
              <w:rPr>
                <w:rFonts w:ascii="Arial" w:eastAsia="Times New Roman" w:hAnsi="Arial" w:cs="Arial"/>
                <w:sz w:val="12"/>
                <w:szCs w:val="12"/>
                <w:lang w:val="en-US" w:eastAsia="mk-MK"/>
              </w:rPr>
            </w:pPr>
          </w:p>
          <w:p w14:paraId="784B745B" w14:textId="3FF1C143" w:rsidR="004A38FD" w:rsidRPr="008C761D" w:rsidRDefault="007A1FFE" w:rsidP="007A1FF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Staff is </w:t>
            </w:r>
            <w:proofErr w:type="gramStart"/>
            <w:r w:rsidRPr="008C761D">
              <w:rPr>
                <w:rFonts w:ascii="Arial" w:eastAsia="Times New Roman" w:hAnsi="Arial" w:cs="Arial"/>
                <w:sz w:val="12"/>
                <w:szCs w:val="12"/>
                <w:lang w:val="en-US" w:eastAsia="mk-MK"/>
              </w:rPr>
              <w:t>fully  trained</w:t>
            </w:r>
            <w:proofErr w:type="gramEnd"/>
            <w:r w:rsidRPr="008C761D">
              <w:rPr>
                <w:rFonts w:ascii="Arial" w:eastAsia="Times New Roman" w:hAnsi="Arial" w:cs="Arial"/>
                <w:sz w:val="12"/>
                <w:szCs w:val="12"/>
                <w:lang w:val="en-US" w:eastAsia="mk-MK"/>
              </w:rPr>
              <w:t xml:space="preserve"> in using the models.</w:t>
            </w:r>
          </w:p>
        </w:tc>
      </w:tr>
      <w:tr w:rsidR="00485BAA" w:rsidRPr="008C761D" w14:paraId="775D9EB6" w14:textId="77777777" w:rsidTr="003F623B">
        <w:trPr>
          <w:gridBefore w:val="1"/>
          <w:gridAfter w:val="1"/>
          <w:wBefore w:w="17" w:type="dxa"/>
          <w:wAfter w:w="180" w:type="dxa"/>
          <w:trHeight w:val="135"/>
          <w:jc w:val="center"/>
        </w:trPr>
        <w:tc>
          <w:tcPr>
            <w:tcW w:w="2368" w:type="dxa"/>
            <w:gridSpan w:val="6"/>
            <w:vMerge/>
            <w:tcBorders>
              <w:top w:val="nil"/>
              <w:left w:val="nil"/>
              <w:bottom w:val="nil"/>
              <w:right w:val="single" w:sz="8" w:space="0" w:color="000000"/>
            </w:tcBorders>
            <w:vAlign w:val="center"/>
            <w:hideMark/>
          </w:tcPr>
          <w:p w14:paraId="1B81EAF8"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621FEEA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bookmarkStart w:id="87" w:name="RANGE!C17"/>
            <w:r w:rsidRPr="008C761D">
              <w:rPr>
                <w:rFonts w:ascii="Arial" w:eastAsia="Times New Roman" w:hAnsi="Arial" w:cs="Arial"/>
                <w:b/>
                <w:bCs/>
                <w:sz w:val="12"/>
                <w:szCs w:val="12"/>
                <w:lang w:val="en-US" w:eastAsia="mk-MK"/>
              </w:rPr>
              <w:t>Activities</w:t>
            </w:r>
            <w:bookmarkEnd w:id="87"/>
          </w:p>
        </w:tc>
        <w:tc>
          <w:tcPr>
            <w:tcW w:w="1194" w:type="dxa"/>
            <w:gridSpan w:val="3"/>
            <w:shd w:val="clear" w:color="000000" w:fill="9BD2ED"/>
            <w:vAlign w:val="center"/>
            <w:hideMark/>
          </w:tcPr>
          <w:p w14:paraId="7E1292B7" w14:textId="07F525B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29937CD4" w14:textId="62B5C05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1A289EB8" w14:textId="71A0AD0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35DBA2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5DBC5F89" w14:textId="74E2FD89"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7A1FF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EA9E90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7DC7A62E" w14:textId="77777777" w:rsidTr="003F623B">
        <w:trPr>
          <w:gridBefore w:val="1"/>
          <w:gridAfter w:val="1"/>
          <w:wBefore w:w="17" w:type="dxa"/>
          <w:wAfter w:w="180" w:type="dxa"/>
          <w:trHeight w:val="524"/>
          <w:jc w:val="center"/>
        </w:trPr>
        <w:tc>
          <w:tcPr>
            <w:tcW w:w="2368" w:type="dxa"/>
            <w:gridSpan w:val="6"/>
            <w:vMerge/>
            <w:tcBorders>
              <w:top w:val="nil"/>
              <w:left w:val="nil"/>
              <w:bottom w:val="nil"/>
              <w:right w:val="single" w:sz="8" w:space="0" w:color="000000"/>
            </w:tcBorders>
            <w:vAlign w:val="center"/>
            <w:hideMark/>
          </w:tcPr>
          <w:p w14:paraId="5D9E9EE8"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29430E9D" w14:textId="04F405D7"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Implementation of developed tax models and further training of staff</w:t>
            </w:r>
          </w:p>
        </w:tc>
        <w:tc>
          <w:tcPr>
            <w:tcW w:w="1194" w:type="dxa"/>
            <w:gridSpan w:val="3"/>
            <w:shd w:val="clear" w:color="000000" w:fill="FFFF99"/>
            <w:vAlign w:val="center"/>
            <w:hideMark/>
          </w:tcPr>
          <w:p w14:paraId="0C9458D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4A38FD"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-2025</w:t>
            </w:r>
          </w:p>
        </w:tc>
        <w:tc>
          <w:tcPr>
            <w:tcW w:w="1418" w:type="dxa"/>
            <w:gridSpan w:val="2"/>
            <w:shd w:val="clear" w:color="000000" w:fill="FFFF99"/>
            <w:vAlign w:val="center"/>
            <w:hideMark/>
          </w:tcPr>
          <w:p w14:paraId="322094E8" w14:textId="71332DF9" w:rsidR="00485BAA" w:rsidRPr="008C761D" w:rsidRDefault="00431364" w:rsidP="00485BAA">
            <w:pPr>
              <w:spacing w:after="0" w:line="240" w:lineRule="auto"/>
              <w:jc w:val="center"/>
              <w:rPr>
                <w:rFonts w:ascii="Arial" w:eastAsia="Times New Roman" w:hAnsi="Arial" w:cs="Arial"/>
                <w:sz w:val="12"/>
                <w:szCs w:val="12"/>
                <w:lang w:val="en-US" w:eastAsia="mk-MK"/>
              </w:rPr>
            </w:pPr>
            <w:r w:rsidRPr="00431364">
              <w:rPr>
                <w:rFonts w:ascii="Arial" w:eastAsia="Times New Roman" w:hAnsi="Arial" w:cs="Arial"/>
                <w:sz w:val="12"/>
                <w:szCs w:val="12"/>
                <w:lang w:val="en-US" w:eastAsia="mk-MK"/>
              </w:rPr>
              <w:t>MoF – Public revenues and Tax and Customs Policy Department</w:t>
            </w:r>
          </w:p>
        </w:tc>
        <w:tc>
          <w:tcPr>
            <w:tcW w:w="1644" w:type="dxa"/>
            <w:gridSpan w:val="3"/>
            <w:shd w:val="clear" w:color="000000" w:fill="FFFF99"/>
            <w:vAlign w:val="center"/>
            <w:hideMark/>
          </w:tcPr>
          <w:p w14:paraId="26FD649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 and CA</w:t>
            </w:r>
          </w:p>
        </w:tc>
        <w:tc>
          <w:tcPr>
            <w:tcW w:w="1758" w:type="dxa"/>
            <w:gridSpan w:val="2"/>
            <w:shd w:val="clear" w:color="000000" w:fill="FFFF99"/>
            <w:vAlign w:val="center"/>
            <w:hideMark/>
          </w:tcPr>
          <w:p w14:paraId="6208ECAA" w14:textId="77777777" w:rsidR="00485BAA" w:rsidRPr="008C761D" w:rsidRDefault="00485BAA" w:rsidP="0033070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82,500 </w:t>
            </w:r>
          </w:p>
        </w:tc>
        <w:tc>
          <w:tcPr>
            <w:tcW w:w="1842" w:type="dxa"/>
            <w:gridSpan w:val="3"/>
            <w:shd w:val="clear" w:color="000000" w:fill="FFFF99"/>
            <w:vAlign w:val="center"/>
            <w:hideMark/>
          </w:tcPr>
          <w:p w14:paraId="0B6C209C" w14:textId="494444D2" w:rsidR="00485BAA" w:rsidRPr="008C761D" w:rsidRDefault="00E461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IMF, the</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World</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Bank</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partners</w:t>
            </w:r>
          </w:p>
        </w:tc>
        <w:tc>
          <w:tcPr>
            <w:tcW w:w="1506" w:type="dxa"/>
            <w:gridSpan w:val="3"/>
            <w:shd w:val="clear" w:color="000000" w:fill="FFFF99"/>
            <w:vAlign w:val="center"/>
            <w:hideMark/>
          </w:tcPr>
          <w:p w14:paraId="4E2BB4E5" w14:textId="09AF46E0"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4114AA15" w14:textId="77777777" w:rsidTr="003F623B">
        <w:trPr>
          <w:gridBefore w:val="1"/>
          <w:gridAfter w:val="1"/>
          <w:wBefore w:w="17" w:type="dxa"/>
          <w:wAfter w:w="180" w:type="dxa"/>
          <w:trHeight w:val="655"/>
          <w:jc w:val="center"/>
        </w:trPr>
        <w:tc>
          <w:tcPr>
            <w:tcW w:w="2368" w:type="dxa"/>
            <w:gridSpan w:val="6"/>
            <w:vMerge/>
            <w:tcBorders>
              <w:top w:val="nil"/>
              <w:left w:val="nil"/>
              <w:bottom w:val="nil"/>
              <w:right w:val="single" w:sz="8" w:space="0" w:color="000000"/>
            </w:tcBorders>
            <w:vAlign w:val="center"/>
            <w:hideMark/>
          </w:tcPr>
          <w:p w14:paraId="6F3F2F9D"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66129271" w14:textId="7F929A21"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Extending the tax models with new modules and installation of Power BI tool</w:t>
            </w:r>
          </w:p>
        </w:tc>
        <w:tc>
          <w:tcPr>
            <w:tcW w:w="1194" w:type="dxa"/>
            <w:gridSpan w:val="3"/>
            <w:shd w:val="clear" w:color="000000" w:fill="FFFF99"/>
            <w:vAlign w:val="center"/>
            <w:hideMark/>
          </w:tcPr>
          <w:p w14:paraId="7188F55B" w14:textId="77777777" w:rsidR="00485BAA" w:rsidRPr="008C761D" w:rsidRDefault="004A38F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w:t>
            </w:r>
          </w:p>
        </w:tc>
        <w:tc>
          <w:tcPr>
            <w:tcW w:w="1418" w:type="dxa"/>
            <w:gridSpan w:val="2"/>
            <w:shd w:val="clear" w:color="000000" w:fill="FFFF99"/>
            <w:vAlign w:val="center"/>
            <w:hideMark/>
          </w:tcPr>
          <w:p w14:paraId="2E398B03" w14:textId="5377986D" w:rsidR="00485BAA" w:rsidRPr="008C761D" w:rsidRDefault="00431364" w:rsidP="00485BAA">
            <w:pPr>
              <w:spacing w:after="0" w:line="240" w:lineRule="auto"/>
              <w:jc w:val="center"/>
              <w:rPr>
                <w:rFonts w:ascii="Arial" w:eastAsia="Times New Roman" w:hAnsi="Arial" w:cs="Arial"/>
                <w:sz w:val="12"/>
                <w:szCs w:val="12"/>
                <w:lang w:val="en-US" w:eastAsia="mk-MK"/>
              </w:rPr>
            </w:pPr>
            <w:r w:rsidRPr="00431364">
              <w:rPr>
                <w:rFonts w:ascii="Arial" w:eastAsia="Times New Roman" w:hAnsi="Arial" w:cs="Arial"/>
                <w:sz w:val="12"/>
                <w:szCs w:val="12"/>
                <w:lang w:val="en-US" w:eastAsia="mk-MK"/>
              </w:rPr>
              <w:t>MoF – Public revenues and Tax and Customs Policy Department</w:t>
            </w:r>
          </w:p>
        </w:tc>
        <w:tc>
          <w:tcPr>
            <w:tcW w:w="1644" w:type="dxa"/>
            <w:gridSpan w:val="3"/>
            <w:shd w:val="clear" w:color="000000" w:fill="FFFF99"/>
            <w:vAlign w:val="center"/>
            <w:hideMark/>
          </w:tcPr>
          <w:p w14:paraId="7096BBB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 and CA</w:t>
            </w:r>
          </w:p>
        </w:tc>
        <w:tc>
          <w:tcPr>
            <w:tcW w:w="1758" w:type="dxa"/>
            <w:gridSpan w:val="2"/>
            <w:shd w:val="clear" w:color="000000" w:fill="FFFF99"/>
            <w:vAlign w:val="center"/>
            <w:hideMark/>
          </w:tcPr>
          <w:p w14:paraId="61AD5711" w14:textId="77777777" w:rsidR="00485BAA" w:rsidRPr="008C761D" w:rsidRDefault="00485BAA" w:rsidP="0033070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82,500 </w:t>
            </w:r>
          </w:p>
        </w:tc>
        <w:tc>
          <w:tcPr>
            <w:tcW w:w="1842" w:type="dxa"/>
            <w:gridSpan w:val="3"/>
            <w:shd w:val="clear" w:color="000000" w:fill="FFFF99"/>
            <w:vAlign w:val="center"/>
            <w:hideMark/>
          </w:tcPr>
          <w:p w14:paraId="51F20882" w14:textId="68E7235B" w:rsidR="00485BAA" w:rsidRPr="008C761D" w:rsidRDefault="00B77BB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World</w:t>
            </w:r>
            <w:r w:rsidR="003A513F" w:rsidRPr="008C761D">
              <w:rPr>
                <w:rFonts w:ascii="Arial" w:eastAsia="Times New Roman" w:hAnsi="Arial" w:cs="Arial"/>
                <w:sz w:val="12"/>
                <w:szCs w:val="12"/>
                <w:lang w:val="en-US" w:eastAsia="mk-MK"/>
              </w:rPr>
              <w:t xml:space="preserve"> </w:t>
            </w:r>
            <w:r w:rsidR="00E461B1" w:rsidRPr="008C761D">
              <w:rPr>
                <w:rFonts w:ascii="Arial" w:eastAsia="Times New Roman" w:hAnsi="Arial" w:cs="Arial"/>
                <w:sz w:val="12"/>
                <w:szCs w:val="12"/>
                <w:lang w:val="en-US" w:eastAsia="mk-MK"/>
              </w:rPr>
              <w:t>Bank</w:t>
            </w:r>
          </w:p>
        </w:tc>
        <w:tc>
          <w:tcPr>
            <w:tcW w:w="1506" w:type="dxa"/>
            <w:gridSpan w:val="3"/>
            <w:shd w:val="clear" w:color="000000" w:fill="FFFF99"/>
            <w:vAlign w:val="center"/>
            <w:hideMark/>
          </w:tcPr>
          <w:p w14:paraId="4D3D3B31" w14:textId="14B1F276"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7EA3DFDC" w14:textId="77777777" w:rsidTr="003F623B">
        <w:trPr>
          <w:gridBefore w:val="1"/>
          <w:gridAfter w:val="1"/>
          <w:wBefore w:w="17" w:type="dxa"/>
          <w:wAfter w:w="180" w:type="dxa"/>
          <w:trHeight w:val="205"/>
          <w:jc w:val="center"/>
        </w:trPr>
        <w:tc>
          <w:tcPr>
            <w:tcW w:w="13501" w:type="dxa"/>
            <w:gridSpan w:val="25"/>
            <w:shd w:val="clear" w:color="000000" w:fill="1F3864"/>
            <w:vAlign w:val="center"/>
            <w:hideMark/>
          </w:tcPr>
          <w:p w14:paraId="50CDB4F4" w14:textId="4F2D43B7"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lastRenderedPageBreak/>
              <w:t>PILLAR I</w:t>
            </w:r>
            <w:r w:rsidR="001A1627">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Economic</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Analysis, Macroeconomic</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FiscalFramework</w:t>
            </w:r>
          </w:p>
        </w:tc>
      </w:tr>
      <w:tr w:rsidR="00485BAA" w:rsidRPr="008C761D" w14:paraId="1877713C" w14:textId="77777777" w:rsidTr="003F623B">
        <w:trPr>
          <w:gridBefore w:val="1"/>
          <w:gridAfter w:val="1"/>
          <w:wBefore w:w="17" w:type="dxa"/>
          <w:wAfter w:w="180" w:type="dxa"/>
          <w:trHeight w:val="223"/>
          <w:jc w:val="center"/>
        </w:trPr>
        <w:tc>
          <w:tcPr>
            <w:tcW w:w="13501" w:type="dxa"/>
            <w:gridSpan w:val="25"/>
            <w:shd w:val="clear" w:color="000000" w:fill="1F3864"/>
            <w:vAlign w:val="center"/>
            <w:hideMark/>
          </w:tcPr>
          <w:p w14:paraId="6FCFF859" w14:textId="0A38050E"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 Economic</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analysis</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Macroeconomic</w:t>
            </w:r>
            <w:r w:rsidR="003A513F"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forecasting</w:t>
            </w:r>
          </w:p>
        </w:tc>
      </w:tr>
      <w:tr w:rsidR="00485BAA" w:rsidRPr="008C761D" w14:paraId="54F94C7B" w14:textId="77777777" w:rsidTr="003F623B">
        <w:trPr>
          <w:gridBefore w:val="1"/>
          <w:gridAfter w:val="1"/>
          <w:wBefore w:w="17" w:type="dxa"/>
          <w:wAfter w:w="180" w:type="dxa"/>
          <w:trHeight w:val="229"/>
          <w:jc w:val="center"/>
        </w:trPr>
        <w:tc>
          <w:tcPr>
            <w:tcW w:w="2368" w:type="dxa"/>
            <w:gridSpan w:val="6"/>
            <w:shd w:val="clear" w:color="000000" w:fill="9BD2ED"/>
            <w:vAlign w:val="center"/>
            <w:hideMark/>
          </w:tcPr>
          <w:p w14:paraId="393FCADC" w14:textId="41DA7D93" w:rsidR="00485BAA" w:rsidRPr="008C761D" w:rsidRDefault="00485BAA" w:rsidP="00485BAA">
            <w:pPr>
              <w:spacing w:after="0" w:line="240" w:lineRule="auto"/>
              <w:jc w:val="center"/>
              <w:rPr>
                <w:rFonts w:ascii="Arial" w:eastAsia="Times New Roman" w:hAnsi="Arial" w:cs="Arial"/>
                <w:b/>
                <w:bCs/>
                <w:sz w:val="12"/>
                <w:szCs w:val="12"/>
                <w:lang w:val="en-US" w:eastAsia="mk-MK"/>
              </w:rPr>
            </w:pPr>
            <w:bookmarkStart w:id="88" w:name="RANGE!A22"/>
            <w:r w:rsidRPr="008C761D">
              <w:rPr>
                <w:rFonts w:ascii="Arial" w:eastAsia="Times New Roman" w:hAnsi="Arial" w:cs="Arial"/>
                <w:b/>
                <w:bCs/>
                <w:sz w:val="12"/>
                <w:szCs w:val="12"/>
                <w:lang w:val="en-US" w:eastAsia="mk-MK"/>
              </w:rPr>
              <w:t>Outcome(s)</w:t>
            </w:r>
            <w:bookmarkEnd w:id="88"/>
          </w:p>
        </w:tc>
        <w:tc>
          <w:tcPr>
            <w:tcW w:w="1771" w:type="dxa"/>
            <w:gridSpan w:val="3"/>
            <w:shd w:val="clear" w:color="000000" w:fill="9BD2ED"/>
            <w:vAlign w:val="center"/>
            <w:hideMark/>
          </w:tcPr>
          <w:p w14:paraId="5F563F60" w14:textId="2226AD2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ACA1D78" w14:textId="40CD541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6D9450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9B540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83A25D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9CA6C1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5A1970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32BDE3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7</w:t>
            </w:r>
          </w:p>
        </w:tc>
      </w:tr>
      <w:tr w:rsidR="00DF6F7F" w:rsidRPr="008C761D" w14:paraId="735F0EC0" w14:textId="77777777" w:rsidTr="003F623B">
        <w:trPr>
          <w:gridBefore w:val="1"/>
          <w:gridAfter w:val="1"/>
          <w:wBefore w:w="17" w:type="dxa"/>
          <w:wAfter w:w="180" w:type="dxa"/>
          <w:trHeight w:val="801"/>
          <w:jc w:val="center"/>
        </w:trPr>
        <w:tc>
          <w:tcPr>
            <w:tcW w:w="2368" w:type="dxa"/>
            <w:gridSpan w:val="6"/>
            <w:shd w:val="clear" w:color="000000" w:fill="FFFF99"/>
            <w:vAlign w:val="center"/>
            <w:hideMark/>
          </w:tcPr>
          <w:p w14:paraId="7AF7FCB9" w14:textId="51C7EFEE" w:rsidR="00DF6F7F" w:rsidRPr="008C761D" w:rsidRDefault="00DF6F7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Impact assessment of certain economic policies, reforms or measures and carrying out of additional economic analyses.</w:t>
            </w:r>
          </w:p>
        </w:tc>
        <w:tc>
          <w:tcPr>
            <w:tcW w:w="1771" w:type="dxa"/>
            <w:gridSpan w:val="3"/>
            <w:vMerge w:val="restart"/>
            <w:shd w:val="clear" w:color="000000" w:fill="FFFF99"/>
            <w:vAlign w:val="center"/>
          </w:tcPr>
          <w:p w14:paraId="14E99173" w14:textId="1609C840" w:rsidR="00DF6F7F" w:rsidRPr="00DF6F7F" w:rsidRDefault="00DF6F7F" w:rsidP="00DF6F7F">
            <w:pPr>
              <w:spacing w:after="0" w:line="240" w:lineRule="auto"/>
              <w:rPr>
                <w:rFonts w:ascii="Arial" w:eastAsia="Times New Roman" w:hAnsi="Arial" w:cs="Arial"/>
                <w:sz w:val="12"/>
                <w:szCs w:val="12"/>
                <w:lang w:val="en-US" w:eastAsia="mk-MK"/>
              </w:rPr>
            </w:pPr>
            <w:r w:rsidRPr="00DF6F7F">
              <w:rPr>
                <w:rFonts w:ascii="Arial" w:eastAsia="Times New Roman" w:hAnsi="Arial" w:cs="Arial"/>
                <w:sz w:val="12"/>
                <w:szCs w:val="12"/>
                <w:lang w:val="en-US" w:eastAsia="mk-MK"/>
              </w:rPr>
              <w:t>•Deviation between realised and forecasted GDP</w:t>
            </w:r>
          </w:p>
          <w:p w14:paraId="16A73095" w14:textId="1053F67A" w:rsidR="00DF6F7F" w:rsidRPr="008C761D" w:rsidRDefault="00DF6F7F" w:rsidP="00DF6F7F">
            <w:pPr>
              <w:spacing w:after="0" w:line="240" w:lineRule="auto"/>
              <w:rPr>
                <w:rFonts w:ascii="Arial" w:eastAsia="Times New Roman" w:hAnsi="Arial" w:cs="Arial"/>
                <w:sz w:val="12"/>
                <w:szCs w:val="12"/>
                <w:lang w:val="en-US" w:eastAsia="mk-MK"/>
              </w:rPr>
            </w:pPr>
            <w:r w:rsidRPr="00DF6F7F">
              <w:rPr>
                <w:rFonts w:ascii="Arial" w:eastAsia="Times New Roman" w:hAnsi="Arial" w:cs="Arial"/>
                <w:sz w:val="12"/>
                <w:szCs w:val="12"/>
                <w:lang w:val="en-US" w:eastAsia="mk-MK"/>
              </w:rPr>
              <w:t>•Deviation between actual and budgeted expenditures for specified risk-prone expenditures</w:t>
            </w:r>
          </w:p>
        </w:tc>
        <w:tc>
          <w:tcPr>
            <w:tcW w:w="1194" w:type="dxa"/>
            <w:gridSpan w:val="3"/>
            <w:shd w:val="clear" w:color="000000" w:fill="FFFF99"/>
            <w:vAlign w:val="center"/>
            <w:hideMark/>
          </w:tcPr>
          <w:p w14:paraId="26FF82D9" w14:textId="77777777" w:rsidR="00DF6F7F" w:rsidRPr="008C761D" w:rsidRDefault="00DF6F7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334B7395" w14:textId="3079E36A" w:rsidR="00DF6F7F" w:rsidRPr="008C761D" w:rsidRDefault="00DF6F7F"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Analysis of current macroeconomic trends and indicators</w:t>
            </w:r>
          </w:p>
        </w:tc>
        <w:tc>
          <w:tcPr>
            <w:tcW w:w="1644" w:type="dxa"/>
            <w:gridSpan w:val="3"/>
            <w:shd w:val="clear" w:color="000000" w:fill="FFFF99"/>
            <w:vAlign w:val="center"/>
            <w:hideMark/>
          </w:tcPr>
          <w:p w14:paraId="709DF02B" w14:textId="60D45D38"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7613A80A" w14:textId="4E091B90"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5753E836" w14:textId="77777777"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Increased scope of economic analyses and impact assessments</w:t>
            </w:r>
          </w:p>
          <w:p w14:paraId="25FE7749" w14:textId="490040A6"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(from the area of labor market, the informal economy, the assessment of the productivity and the competitiveness of the economy, etc.)</w:t>
            </w:r>
          </w:p>
        </w:tc>
        <w:tc>
          <w:tcPr>
            <w:tcW w:w="1506" w:type="dxa"/>
            <w:gridSpan w:val="3"/>
            <w:shd w:val="clear" w:color="000000" w:fill="FFFF99"/>
            <w:vAlign w:val="center"/>
            <w:hideMark/>
          </w:tcPr>
          <w:p w14:paraId="2E32F147" w14:textId="736A0966"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DF6F7F" w:rsidRPr="008C761D" w14:paraId="084B726C" w14:textId="77777777" w:rsidTr="003F623B">
        <w:trPr>
          <w:gridBefore w:val="1"/>
          <w:gridAfter w:val="1"/>
          <w:wBefore w:w="17" w:type="dxa"/>
          <w:wAfter w:w="180" w:type="dxa"/>
          <w:trHeight w:val="835"/>
          <w:jc w:val="center"/>
        </w:trPr>
        <w:tc>
          <w:tcPr>
            <w:tcW w:w="2368" w:type="dxa"/>
            <w:gridSpan w:val="6"/>
            <w:shd w:val="clear" w:color="000000" w:fill="FFFF99"/>
            <w:vAlign w:val="center"/>
            <w:hideMark/>
          </w:tcPr>
          <w:p w14:paraId="20C5D36A" w14:textId="0401CF00" w:rsidR="00DF6F7F" w:rsidRPr="008C761D" w:rsidRDefault="00DF6F7F" w:rsidP="00485BAA">
            <w:pPr>
              <w:spacing w:after="0" w:line="240" w:lineRule="auto"/>
              <w:rPr>
                <w:rFonts w:ascii="Arial" w:eastAsia="Times New Roman" w:hAnsi="Arial" w:cs="Arial"/>
                <w:sz w:val="12"/>
                <w:szCs w:val="12"/>
                <w:lang w:val="en-US" w:eastAsia="mk-MK"/>
              </w:rPr>
            </w:pPr>
            <w:bookmarkStart w:id="89" w:name="RANGE!A24"/>
            <w:r w:rsidRPr="008C761D">
              <w:rPr>
                <w:rFonts w:ascii="Arial" w:eastAsia="Times New Roman" w:hAnsi="Arial" w:cs="Arial"/>
                <w:sz w:val="12"/>
                <w:szCs w:val="12"/>
                <w:lang w:val="en-US" w:eastAsia="mk-MK"/>
              </w:rPr>
              <w:t>2) Improved quality and coverage of projections for macroeconomic indicators.</w:t>
            </w:r>
            <w:bookmarkEnd w:id="89"/>
          </w:p>
        </w:tc>
        <w:tc>
          <w:tcPr>
            <w:tcW w:w="1771" w:type="dxa"/>
            <w:gridSpan w:val="3"/>
            <w:vMerge/>
            <w:shd w:val="clear" w:color="000000" w:fill="FFFF99"/>
            <w:vAlign w:val="center"/>
            <w:hideMark/>
          </w:tcPr>
          <w:p w14:paraId="604C4021" w14:textId="202547AF" w:rsidR="00DF6F7F" w:rsidRPr="008C761D" w:rsidRDefault="00DF6F7F"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68451BC9" w14:textId="77777777" w:rsidR="00DF6F7F" w:rsidRPr="008C761D" w:rsidRDefault="00DF6F7F" w:rsidP="00ED2D5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3E47DA24" w14:textId="21FBB130" w:rsidR="00DF6F7F" w:rsidRPr="008C761D" w:rsidRDefault="00DF6F7F" w:rsidP="00ED2D5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Nowcasting tool and a structural macroeconomic model</w:t>
            </w:r>
            <w:r w:rsidRPr="008C761D">
              <w:rPr>
                <w:rFonts w:ascii="Arial" w:eastAsia="Times New Roman" w:hAnsi="Arial" w:cs="Arial"/>
                <w:sz w:val="12"/>
                <w:szCs w:val="12"/>
                <w:lang w:val="en-US" w:eastAsia="mk-MK"/>
              </w:rPr>
              <w:br/>
              <w:t>PEFA score PI-14. Macroeconomic and fiscal forecasting (M2) C+</w:t>
            </w:r>
          </w:p>
        </w:tc>
        <w:tc>
          <w:tcPr>
            <w:tcW w:w="1644" w:type="dxa"/>
            <w:gridSpan w:val="3"/>
            <w:shd w:val="clear" w:color="000000" w:fill="FFFF99"/>
            <w:vAlign w:val="center"/>
            <w:hideMark/>
          </w:tcPr>
          <w:p w14:paraId="65887509" w14:textId="4E734492"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3EFED1EE" w14:textId="371A660A"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6B316220" w14:textId="77777777"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tools (short term and macrostructural models) for forecasting and analyses to be developed.</w:t>
            </w:r>
          </w:p>
          <w:p w14:paraId="35254358" w14:textId="608E550B"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PEFA score PI-14. Macroeconomic and fiscal forecasting (M2)   &gt; = B  </w:t>
            </w:r>
          </w:p>
        </w:tc>
        <w:tc>
          <w:tcPr>
            <w:tcW w:w="1506" w:type="dxa"/>
            <w:gridSpan w:val="3"/>
            <w:shd w:val="clear" w:color="000000" w:fill="FFFF99"/>
            <w:vAlign w:val="center"/>
            <w:hideMark/>
          </w:tcPr>
          <w:p w14:paraId="719550D8" w14:textId="7A9D9A52" w:rsidR="00DF6F7F" w:rsidRPr="008C761D" w:rsidRDefault="00DF6F7F"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Action plan for development of a CGE model completed</w:t>
            </w:r>
          </w:p>
        </w:tc>
      </w:tr>
      <w:tr w:rsidR="00DF6F7F" w:rsidRPr="008C761D" w14:paraId="0D810467" w14:textId="77777777" w:rsidTr="003F623B">
        <w:trPr>
          <w:gridBefore w:val="1"/>
          <w:gridAfter w:val="1"/>
          <w:wBefore w:w="17" w:type="dxa"/>
          <w:wAfter w:w="180" w:type="dxa"/>
          <w:trHeight w:val="970"/>
          <w:jc w:val="center"/>
        </w:trPr>
        <w:tc>
          <w:tcPr>
            <w:tcW w:w="2368" w:type="dxa"/>
            <w:gridSpan w:val="6"/>
            <w:shd w:val="clear" w:color="000000" w:fill="FFFF99"/>
            <w:vAlign w:val="center"/>
            <w:hideMark/>
          </w:tcPr>
          <w:p w14:paraId="517147C4" w14:textId="4844B2DA" w:rsidR="00DF6F7F" w:rsidRPr="008C761D" w:rsidRDefault="00DF6F7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Increased scope of fiscal risk analysis (for all types of fiscal risks determined in line with the good international practices).</w:t>
            </w:r>
          </w:p>
        </w:tc>
        <w:tc>
          <w:tcPr>
            <w:tcW w:w="1771" w:type="dxa"/>
            <w:gridSpan w:val="3"/>
            <w:vMerge/>
            <w:shd w:val="clear" w:color="000000" w:fill="FFFF99"/>
            <w:vAlign w:val="center"/>
            <w:hideMark/>
          </w:tcPr>
          <w:p w14:paraId="01DAFC54" w14:textId="63D9BF2B" w:rsidR="00DF6F7F" w:rsidRPr="008C761D" w:rsidRDefault="00DF6F7F"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490ED8FD" w14:textId="75AB1516" w:rsidR="00DF6F7F" w:rsidRPr="008C761D" w:rsidRDefault="00DF6F7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MoF </w:t>
            </w:r>
            <w:r w:rsidRPr="008C761D">
              <w:rPr>
                <w:rFonts w:ascii="Arial" w:eastAsia="Times New Roman" w:hAnsi="Arial" w:cs="Arial"/>
                <w:sz w:val="12"/>
                <w:szCs w:val="12"/>
                <w:lang w:val="en-US" w:eastAsia="mk-MK"/>
              </w:rPr>
              <w:br w:type="page"/>
              <w:t>PEFA</w:t>
            </w:r>
          </w:p>
        </w:tc>
        <w:tc>
          <w:tcPr>
            <w:tcW w:w="1418" w:type="dxa"/>
            <w:gridSpan w:val="2"/>
            <w:shd w:val="clear" w:color="000000" w:fill="FFFF99"/>
            <w:vAlign w:val="center"/>
            <w:hideMark/>
          </w:tcPr>
          <w:p w14:paraId="59A73DC6" w14:textId="54DCE94F" w:rsidR="00DF6F7F" w:rsidRPr="008C761D" w:rsidRDefault="00DF6F7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Fiscal risks/Sensitive analyses in Fiscal Strategy (2021-2023)</w:t>
            </w:r>
            <w:r w:rsidRPr="008C761D">
              <w:rPr>
                <w:rFonts w:ascii="Arial" w:eastAsia="Times New Roman" w:hAnsi="Arial" w:cs="Arial"/>
                <w:sz w:val="12"/>
                <w:szCs w:val="12"/>
                <w:lang w:val="en-US" w:eastAsia="mk-MK"/>
              </w:rPr>
              <w:br w:type="page"/>
              <w:t>PEFA scorePI-10. Fiscal risk reporting C+</w:t>
            </w:r>
          </w:p>
        </w:tc>
        <w:tc>
          <w:tcPr>
            <w:tcW w:w="1644" w:type="dxa"/>
            <w:gridSpan w:val="3"/>
            <w:shd w:val="clear" w:color="000000" w:fill="FFFF99"/>
            <w:vAlign w:val="center"/>
            <w:hideMark/>
          </w:tcPr>
          <w:p w14:paraId="0AB808C7" w14:textId="77777777" w:rsidR="00DF6F7F" w:rsidRPr="008C761D" w:rsidRDefault="00DF6F7F" w:rsidP="00534056">
            <w:pPr>
              <w:spacing w:after="0" w:line="240" w:lineRule="auto"/>
              <w:ind w:left="-137" w:right="-143"/>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Fiscal risk working group established </w:t>
            </w:r>
          </w:p>
          <w:p w14:paraId="51356813" w14:textId="77777777" w:rsidR="00DF6F7F" w:rsidRPr="008C761D" w:rsidRDefault="00DF6F7F" w:rsidP="00534056">
            <w:pPr>
              <w:spacing w:after="0" w:line="240" w:lineRule="auto"/>
              <w:ind w:left="-137" w:right="-143"/>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Institutional responsibilities clarified;</w:t>
            </w:r>
          </w:p>
          <w:p w14:paraId="7FF9B9EE" w14:textId="08E67A12" w:rsidR="00DF6F7F" w:rsidRPr="008C761D" w:rsidRDefault="00DF6F7F" w:rsidP="0053405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First enhancements to fiscal risk chapter in Fiscal Strategy </w:t>
            </w:r>
          </w:p>
        </w:tc>
        <w:tc>
          <w:tcPr>
            <w:tcW w:w="1758" w:type="dxa"/>
            <w:gridSpan w:val="2"/>
            <w:shd w:val="clear" w:color="000000" w:fill="FFFF99"/>
            <w:vAlign w:val="center"/>
            <w:hideMark/>
          </w:tcPr>
          <w:p w14:paraId="310B9D44" w14:textId="77777777" w:rsidR="00DF6F7F" w:rsidRPr="008C761D" w:rsidRDefault="00DF6F7F" w:rsidP="00534056">
            <w:pPr>
              <w:spacing w:after="0" w:line="240" w:lineRule="auto"/>
              <w:ind w:left="-137" w:right="-143"/>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Procedures for Fiscal Risks Statement</w:t>
            </w:r>
            <w:r w:rsidRPr="008C761D">
              <w:rPr>
                <w:rFonts w:ascii="Arial" w:eastAsia="Times New Roman" w:hAnsi="Arial" w:cs="Arial"/>
                <w:sz w:val="12"/>
                <w:szCs w:val="12"/>
                <w:lang w:val="en-US" w:eastAsia="mk-MK"/>
              </w:rPr>
              <w:br w:type="page"/>
            </w:r>
          </w:p>
          <w:p w14:paraId="2A5ED9F8" w14:textId="259D0349" w:rsidR="00DF6F7F" w:rsidRPr="008C761D" w:rsidRDefault="00DF6F7F" w:rsidP="0053405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Analysis of fiscal risks from SOEs, PPPs, legal claims</w:t>
            </w:r>
          </w:p>
        </w:tc>
        <w:tc>
          <w:tcPr>
            <w:tcW w:w="1842" w:type="dxa"/>
            <w:gridSpan w:val="3"/>
            <w:shd w:val="clear" w:color="000000" w:fill="FFFF99"/>
            <w:vAlign w:val="center"/>
            <w:hideMark/>
          </w:tcPr>
          <w:p w14:paraId="3EEC69FE" w14:textId="77777777"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Updated plan of activities for strengthening capacities for fiscal risks assessment and analyses</w:t>
            </w:r>
          </w:p>
          <w:p w14:paraId="13DCD856" w14:textId="0EAAFF4E"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PEFA scorePI-10. Fiscal risk reporting &gt; = B   </w:t>
            </w:r>
          </w:p>
        </w:tc>
        <w:tc>
          <w:tcPr>
            <w:tcW w:w="1506" w:type="dxa"/>
            <w:gridSpan w:val="3"/>
            <w:shd w:val="clear" w:color="000000" w:fill="FFFF99"/>
            <w:vAlign w:val="center"/>
            <w:hideMark/>
          </w:tcPr>
          <w:p w14:paraId="1A641B89" w14:textId="45F78DCF"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DF6F7F" w:rsidRPr="008C761D" w14:paraId="0636AD83" w14:textId="77777777" w:rsidTr="003F623B">
        <w:trPr>
          <w:gridBefore w:val="1"/>
          <w:gridAfter w:val="1"/>
          <w:wBefore w:w="17" w:type="dxa"/>
          <w:wAfter w:w="180" w:type="dxa"/>
          <w:trHeight w:val="835"/>
          <w:jc w:val="center"/>
        </w:trPr>
        <w:tc>
          <w:tcPr>
            <w:tcW w:w="2368" w:type="dxa"/>
            <w:gridSpan w:val="6"/>
            <w:shd w:val="clear" w:color="000000" w:fill="FFFF99"/>
            <w:vAlign w:val="center"/>
            <w:hideMark/>
          </w:tcPr>
          <w:p w14:paraId="2992AEA6" w14:textId="0D9298F0" w:rsidR="00DF6F7F" w:rsidRPr="008C761D" w:rsidRDefault="00DF6F7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Independent, objective and professional opinions on issues related to fiscal policy.</w:t>
            </w:r>
          </w:p>
        </w:tc>
        <w:tc>
          <w:tcPr>
            <w:tcW w:w="1771" w:type="dxa"/>
            <w:gridSpan w:val="3"/>
            <w:vMerge/>
            <w:shd w:val="clear" w:color="000000" w:fill="FFFF99"/>
            <w:vAlign w:val="center"/>
            <w:hideMark/>
          </w:tcPr>
          <w:p w14:paraId="7B42D7DD" w14:textId="1321E1D6" w:rsidR="00DF6F7F" w:rsidRPr="008C761D" w:rsidRDefault="00DF6F7F"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4E603704" w14:textId="77777777" w:rsidR="00DF6F7F" w:rsidRPr="008C761D" w:rsidRDefault="00DF6F7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 IMF WB</w:t>
            </w:r>
          </w:p>
        </w:tc>
        <w:tc>
          <w:tcPr>
            <w:tcW w:w="1418" w:type="dxa"/>
            <w:gridSpan w:val="2"/>
            <w:shd w:val="clear" w:color="000000" w:fill="FFFF99"/>
            <w:vAlign w:val="center"/>
            <w:hideMark/>
          </w:tcPr>
          <w:p w14:paraId="5C2B6680" w14:textId="34C8A03B" w:rsidR="00DF6F7F" w:rsidRPr="008C761D" w:rsidRDefault="00DF6F7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r>
            <w:r w:rsidRPr="008C761D">
              <w:rPr>
                <w:rFonts w:ascii="Arial" w:eastAsia="Times New Roman" w:hAnsi="Arial" w:cs="Arial"/>
                <w:sz w:val="12"/>
                <w:szCs w:val="12"/>
                <w:lang w:val="en-US" w:eastAsia="mk-MK"/>
              </w:rPr>
              <w:br/>
              <w:t>PEFA score PI-14. Macroeconomic and fiscal forecasting (M2) C+</w:t>
            </w:r>
          </w:p>
        </w:tc>
        <w:tc>
          <w:tcPr>
            <w:tcW w:w="1644" w:type="dxa"/>
            <w:gridSpan w:val="3"/>
            <w:shd w:val="clear" w:color="000000" w:fill="FFFF99"/>
            <w:vAlign w:val="center"/>
            <w:hideMark/>
          </w:tcPr>
          <w:p w14:paraId="0808125F" w14:textId="32C0ADB1" w:rsidR="00DF6F7F" w:rsidRPr="008C761D" w:rsidRDefault="00DF6F7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Operational Fiscal Council and established body for professional and administrative-technical support</w:t>
            </w:r>
          </w:p>
        </w:tc>
        <w:tc>
          <w:tcPr>
            <w:tcW w:w="1758" w:type="dxa"/>
            <w:gridSpan w:val="2"/>
            <w:shd w:val="clear" w:color="000000" w:fill="FFFF99"/>
            <w:vAlign w:val="center"/>
            <w:hideMark/>
          </w:tcPr>
          <w:p w14:paraId="38B58022" w14:textId="73C0A767" w:rsidR="00DF6F7F" w:rsidRPr="008C761D" w:rsidRDefault="00DF6F7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Fiscal Council publishes its independent report on macro-fiscal sustainability</w:t>
            </w:r>
          </w:p>
        </w:tc>
        <w:tc>
          <w:tcPr>
            <w:tcW w:w="1842" w:type="dxa"/>
            <w:gridSpan w:val="3"/>
            <w:shd w:val="clear" w:color="000000" w:fill="FFFF99"/>
            <w:vAlign w:val="center"/>
            <w:hideMark/>
          </w:tcPr>
          <w:p w14:paraId="79E5F82C" w14:textId="77777777"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Independent, objective and professional opinions on issues related to fiscal policy</w:t>
            </w:r>
          </w:p>
          <w:p w14:paraId="1EB2088E" w14:textId="066EB37D" w:rsidR="00DF6F7F" w:rsidRPr="008C761D" w:rsidRDefault="00DF6F7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PEFA score PI-14. Macroeconomic and fiscal forecasting (M2</w:t>
            </w:r>
            <w:proofErr w:type="gramStart"/>
            <w:r w:rsidRPr="008C761D">
              <w:rPr>
                <w:rFonts w:ascii="Arial" w:eastAsia="Times New Roman" w:hAnsi="Arial" w:cs="Arial"/>
                <w:sz w:val="12"/>
                <w:szCs w:val="12"/>
                <w:lang w:val="en-US" w:eastAsia="mk-MK"/>
              </w:rPr>
              <w:t>)  &gt;</w:t>
            </w:r>
            <w:proofErr w:type="gramEnd"/>
            <w:r w:rsidRPr="008C761D">
              <w:rPr>
                <w:rFonts w:ascii="Arial" w:eastAsia="Times New Roman" w:hAnsi="Arial" w:cs="Arial"/>
                <w:sz w:val="12"/>
                <w:szCs w:val="12"/>
                <w:lang w:val="en-US" w:eastAsia="mk-MK"/>
              </w:rPr>
              <w:t>= B</w:t>
            </w:r>
          </w:p>
        </w:tc>
        <w:tc>
          <w:tcPr>
            <w:tcW w:w="1506" w:type="dxa"/>
            <w:gridSpan w:val="3"/>
            <w:shd w:val="clear" w:color="000000" w:fill="FFFF99"/>
            <w:vAlign w:val="center"/>
            <w:hideMark/>
          </w:tcPr>
          <w:p w14:paraId="2EFEF62B" w14:textId="45080C80" w:rsidR="00DF6F7F"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11C00E9F" w14:textId="77777777" w:rsidTr="003F623B">
        <w:trPr>
          <w:gridBefore w:val="1"/>
          <w:gridAfter w:val="1"/>
          <w:wBefore w:w="17" w:type="dxa"/>
          <w:wAfter w:w="180" w:type="dxa"/>
          <w:trHeight w:val="232"/>
          <w:jc w:val="center"/>
        </w:trPr>
        <w:tc>
          <w:tcPr>
            <w:tcW w:w="13501" w:type="dxa"/>
            <w:gridSpan w:val="25"/>
            <w:shd w:val="clear" w:color="000000" w:fill="9BD2ED"/>
            <w:vAlign w:val="center"/>
            <w:hideMark/>
          </w:tcPr>
          <w:p w14:paraId="7AAB1E8D" w14:textId="0318C714"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1A1627">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Capacity</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building</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for</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economic</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analyses</w:t>
            </w:r>
          </w:p>
        </w:tc>
      </w:tr>
      <w:tr w:rsidR="00485BAA" w:rsidRPr="008C761D" w14:paraId="10834057" w14:textId="77777777" w:rsidTr="003F623B">
        <w:trPr>
          <w:gridBefore w:val="1"/>
          <w:gridAfter w:val="1"/>
          <w:wBefore w:w="17" w:type="dxa"/>
          <w:wAfter w:w="180" w:type="dxa"/>
          <w:trHeight w:val="250"/>
          <w:jc w:val="center"/>
        </w:trPr>
        <w:tc>
          <w:tcPr>
            <w:tcW w:w="2368" w:type="dxa"/>
            <w:gridSpan w:val="6"/>
            <w:vMerge w:val="restart"/>
            <w:tcBorders>
              <w:top w:val="nil"/>
              <w:left w:val="nil"/>
              <w:bottom w:val="nil"/>
              <w:right w:val="single" w:sz="8" w:space="0" w:color="000000"/>
            </w:tcBorders>
            <w:shd w:val="clear" w:color="000000" w:fill="FFFFFF"/>
            <w:vAlign w:val="center"/>
            <w:hideMark/>
          </w:tcPr>
          <w:p w14:paraId="0FFDA5E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c>
          <w:tcPr>
            <w:tcW w:w="1771" w:type="dxa"/>
            <w:gridSpan w:val="3"/>
            <w:tcBorders>
              <w:left w:val="single" w:sz="8" w:space="0" w:color="000000"/>
            </w:tcBorders>
            <w:shd w:val="clear" w:color="000000" w:fill="9BD2ED"/>
            <w:vAlign w:val="center"/>
            <w:hideMark/>
          </w:tcPr>
          <w:p w14:paraId="10D36FD5" w14:textId="040F889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A760617" w14:textId="62F6F08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CD44D5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9B540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7A6CF4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56BA3A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D71051E"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3DE417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7</w:t>
            </w:r>
          </w:p>
        </w:tc>
      </w:tr>
      <w:tr w:rsidR="00485BAA" w:rsidRPr="008C761D" w14:paraId="18CEDEAD" w14:textId="77777777" w:rsidTr="003F623B">
        <w:trPr>
          <w:gridBefore w:val="1"/>
          <w:gridAfter w:val="1"/>
          <w:wBefore w:w="17" w:type="dxa"/>
          <w:wAfter w:w="180" w:type="dxa"/>
          <w:trHeight w:val="784"/>
          <w:jc w:val="center"/>
        </w:trPr>
        <w:tc>
          <w:tcPr>
            <w:tcW w:w="2368" w:type="dxa"/>
            <w:gridSpan w:val="6"/>
            <w:vMerge/>
            <w:tcBorders>
              <w:top w:val="nil"/>
              <w:left w:val="nil"/>
              <w:bottom w:val="nil"/>
              <w:right w:val="single" w:sz="8" w:space="0" w:color="000000"/>
            </w:tcBorders>
            <w:vAlign w:val="center"/>
            <w:hideMark/>
          </w:tcPr>
          <w:p w14:paraId="1647FA9D"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62660491" w14:textId="669734CA"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Impact assessment of certain economic policies, reforms or measures and additional economic analyses conducted</w:t>
            </w:r>
          </w:p>
        </w:tc>
        <w:tc>
          <w:tcPr>
            <w:tcW w:w="1194" w:type="dxa"/>
            <w:gridSpan w:val="3"/>
            <w:shd w:val="clear" w:color="000000" w:fill="FFFF99"/>
            <w:vAlign w:val="center"/>
            <w:hideMark/>
          </w:tcPr>
          <w:p w14:paraId="7ECA1CF7" w14:textId="60332EAD"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strategic</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documents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reports</w:t>
            </w:r>
          </w:p>
        </w:tc>
        <w:tc>
          <w:tcPr>
            <w:tcW w:w="1418" w:type="dxa"/>
            <w:gridSpan w:val="2"/>
            <w:shd w:val="clear" w:color="000000" w:fill="FFFF99"/>
            <w:vAlign w:val="center"/>
            <w:hideMark/>
          </w:tcPr>
          <w:p w14:paraId="2AC63E52" w14:textId="267A042F" w:rsidR="00485BAA" w:rsidRPr="008C761D" w:rsidRDefault="003A513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ERP’s sensitivity analysis and alike</w:t>
            </w:r>
          </w:p>
        </w:tc>
        <w:tc>
          <w:tcPr>
            <w:tcW w:w="1644" w:type="dxa"/>
            <w:gridSpan w:val="3"/>
            <w:shd w:val="clear" w:color="000000" w:fill="FFFF99"/>
            <w:vAlign w:val="center"/>
            <w:hideMark/>
          </w:tcPr>
          <w:p w14:paraId="12519CBE" w14:textId="31FF3C24"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provided</w:t>
            </w:r>
          </w:p>
        </w:tc>
        <w:tc>
          <w:tcPr>
            <w:tcW w:w="1758" w:type="dxa"/>
            <w:gridSpan w:val="2"/>
            <w:shd w:val="clear" w:color="000000" w:fill="FFFF99"/>
            <w:vAlign w:val="center"/>
            <w:hideMark/>
          </w:tcPr>
          <w:p w14:paraId="5FF6ED67" w14:textId="27B30C5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provided</w:t>
            </w:r>
          </w:p>
        </w:tc>
        <w:tc>
          <w:tcPr>
            <w:tcW w:w="1842" w:type="dxa"/>
            <w:gridSpan w:val="3"/>
            <w:shd w:val="clear" w:color="000000" w:fill="FFFF99"/>
            <w:vAlign w:val="center"/>
            <w:hideMark/>
          </w:tcPr>
          <w:p w14:paraId="1EFE7418" w14:textId="17CF4C35"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economic</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analyses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impact</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assessments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conducted</w:t>
            </w:r>
          </w:p>
        </w:tc>
        <w:tc>
          <w:tcPr>
            <w:tcW w:w="1506" w:type="dxa"/>
            <w:gridSpan w:val="3"/>
            <w:shd w:val="clear" w:color="000000" w:fill="FFFF99"/>
            <w:vAlign w:val="center"/>
            <w:hideMark/>
          </w:tcPr>
          <w:p w14:paraId="22B870DF" w14:textId="0AC94EAD" w:rsidR="00485BAA" w:rsidRPr="008C761D" w:rsidRDefault="00AA03A6" w:rsidP="00AA03A6">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6FDF86CD" w14:textId="77777777" w:rsidTr="003F623B">
        <w:trPr>
          <w:gridBefore w:val="1"/>
          <w:gridAfter w:val="1"/>
          <w:wBefore w:w="17" w:type="dxa"/>
          <w:wAfter w:w="180" w:type="dxa"/>
          <w:trHeight w:val="275"/>
          <w:jc w:val="center"/>
        </w:trPr>
        <w:tc>
          <w:tcPr>
            <w:tcW w:w="2368" w:type="dxa"/>
            <w:gridSpan w:val="6"/>
            <w:vMerge/>
            <w:tcBorders>
              <w:top w:val="nil"/>
              <w:left w:val="nil"/>
              <w:bottom w:val="nil"/>
              <w:right w:val="single" w:sz="8" w:space="0" w:color="000000"/>
            </w:tcBorders>
            <w:vAlign w:val="center"/>
            <w:hideMark/>
          </w:tcPr>
          <w:p w14:paraId="53414726"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0A534E6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8F397D7" w14:textId="06AB4D1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7414E573" w14:textId="74B9624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0B35E84" w14:textId="06FBAEA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C3DE3F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D5F57CA" w14:textId="3BBFF3FE"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5DB7D12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251F9853" w14:textId="77777777" w:rsidTr="003F623B">
        <w:trPr>
          <w:gridBefore w:val="1"/>
          <w:gridAfter w:val="1"/>
          <w:wBefore w:w="17" w:type="dxa"/>
          <w:wAfter w:w="180" w:type="dxa"/>
          <w:trHeight w:val="387"/>
          <w:jc w:val="center"/>
        </w:trPr>
        <w:tc>
          <w:tcPr>
            <w:tcW w:w="2368" w:type="dxa"/>
            <w:gridSpan w:val="6"/>
            <w:vMerge/>
            <w:tcBorders>
              <w:top w:val="nil"/>
              <w:left w:val="nil"/>
              <w:bottom w:val="nil"/>
              <w:right w:val="single" w:sz="8" w:space="0" w:color="000000"/>
            </w:tcBorders>
            <w:vAlign w:val="center"/>
            <w:hideMark/>
          </w:tcPr>
          <w:p w14:paraId="6D436B2B"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4E7344D6" w14:textId="2188499D"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Increasing</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scope</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economic</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analyses</w:t>
            </w:r>
          </w:p>
        </w:tc>
        <w:tc>
          <w:tcPr>
            <w:tcW w:w="1194" w:type="dxa"/>
            <w:gridSpan w:val="3"/>
            <w:shd w:val="clear" w:color="000000" w:fill="FFFF99"/>
            <w:vAlign w:val="center"/>
            <w:hideMark/>
          </w:tcPr>
          <w:p w14:paraId="3724951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6</w:t>
            </w:r>
          </w:p>
        </w:tc>
        <w:tc>
          <w:tcPr>
            <w:tcW w:w="1418" w:type="dxa"/>
            <w:gridSpan w:val="2"/>
            <w:shd w:val="clear" w:color="000000" w:fill="FFFF99"/>
            <w:vAlign w:val="center"/>
            <w:hideMark/>
          </w:tcPr>
          <w:p w14:paraId="11787AE9" w14:textId="374F5F6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0E21C1">
              <w:rPr>
                <w:rFonts w:ascii="Arial" w:eastAsia="Times New Roman" w:hAnsi="Arial" w:cs="Arial"/>
                <w:sz w:val="12"/>
                <w:szCs w:val="12"/>
                <w:lang w:val="en-US" w:eastAsia="mk-MK"/>
              </w:rPr>
              <w:t xml:space="preserve"> – Economic Policy and Development Department</w:t>
            </w:r>
          </w:p>
        </w:tc>
        <w:tc>
          <w:tcPr>
            <w:tcW w:w="1644" w:type="dxa"/>
            <w:gridSpan w:val="3"/>
            <w:shd w:val="clear" w:color="000000" w:fill="FFFF99"/>
            <w:vAlign w:val="center"/>
            <w:hideMark/>
          </w:tcPr>
          <w:p w14:paraId="560FF12B"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BU/SSO</w:t>
            </w:r>
          </w:p>
        </w:tc>
        <w:tc>
          <w:tcPr>
            <w:tcW w:w="1758" w:type="dxa"/>
            <w:gridSpan w:val="2"/>
            <w:shd w:val="clear" w:color="000000" w:fill="FFFF99"/>
            <w:vAlign w:val="center"/>
            <w:hideMark/>
          </w:tcPr>
          <w:p w14:paraId="3CA3E520" w14:textId="2BE35653" w:rsidR="00485BAA" w:rsidRPr="008C761D" w:rsidRDefault="0053405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105.000</w:t>
            </w:r>
            <w:r w:rsidR="00485BAA" w:rsidRPr="008C761D">
              <w:rPr>
                <w:rFonts w:ascii="Arial" w:eastAsia="Times New Roman" w:hAnsi="Arial" w:cs="Arial"/>
                <w:sz w:val="12"/>
                <w:szCs w:val="12"/>
                <w:lang w:val="en-US" w:eastAsia="mk-MK"/>
              </w:rPr>
              <w:t xml:space="preserve"> </w:t>
            </w:r>
          </w:p>
        </w:tc>
        <w:tc>
          <w:tcPr>
            <w:tcW w:w="1842" w:type="dxa"/>
            <w:gridSpan w:val="3"/>
            <w:shd w:val="clear" w:color="000000" w:fill="FFFF99"/>
            <w:vAlign w:val="center"/>
            <w:hideMark/>
          </w:tcPr>
          <w:p w14:paraId="7699C2AE"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EU/WB/SECO</w:t>
            </w:r>
          </w:p>
        </w:tc>
        <w:tc>
          <w:tcPr>
            <w:tcW w:w="1506" w:type="dxa"/>
            <w:gridSpan w:val="3"/>
            <w:shd w:val="clear" w:color="000000" w:fill="FFFF99"/>
            <w:vAlign w:val="center"/>
            <w:hideMark/>
          </w:tcPr>
          <w:p w14:paraId="03CE870C" w14:textId="4004D6D1" w:rsidR="00485BAA" w:rsidRPr="008C761D" w:rsidRDefault="00485BAA" w:rsidP="00AA03A6">
            <w:pPr>
              <w:spacing w:after="0" w:line="240" w:lineRule="auto"/>
              <w:jc w:val="center"/>
              <w:rPr>
                <w:rFonts w:ascii="Arial" w:eastAsia="Times New Roman" w:hAnsi="Arial" w:cs="Arial"/>
                <w:sz w:val="12"/>
                <w:szCs w:val="12"/>
                <w:lang w:val="en-US" w:eastAsia="mk-MK"/>
              </w:rPr>
            </w:pPr>
          </w:p>
        </w:tc>
      </w:tr>
      <w:tr w:rsidR="00485BAA" w:rsidRPr="008C761D" w14:paraId="058C0843" w14:textId="77777777" w:rsidTr="003F623B">
        <w:trPr>
          <w:gridBefore w:val="1"/>
          <w:gridAfter w:val="1"/>
          <w:wBefore w:w="17" w:type="dxa"/>
          <w:wAfter w:w="180" w:type="dxa"/>
          <w:trHeight w:val="335"/>
          <w:jc w:val="center"/>
        </w:trPr>
        <w:tc>
          <w:tcPr>
            <w:tcW w:w="2368" w:type="dxa"/>
            <w:gridSpan w:val="6"/>
            <w:vMerge/>
            <w:tcBorders>
              <w:top w:val="nil"/>
              <w:left w:val="nil"/>
              <w:bottom w:val="nil"/>
              <w:right w:val="single" w:sz="8" w:space="0" w:color="000000"/>
            </w:tcBorders>
            <w:vAlign w:val="center"/>
            <w:hideMark/>
          </w:tcPr>
          <w:p w14:paraId="48236E23"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12450138" w14:textId="73DA86DA"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Economic</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policy</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impact</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assessment</w:t>
            </w:r>
          </w:p>
        </w:tc>
        <w:tc>
          <w:tcPr>
            <w:tcW w:w="1194" w:type="dxa"/>
            <w:gridSpan w:val="3"/>
            <w:shd w:val="clear" w:color="000000" w:fill="FFFF99"/>
            <w:vAlign w:val="center"/>
            <w:hideMark/>
          </w:tcPr>
          <w:p w14:paraId="7C4C864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6</w:t>
            </w:r>
          </w:p>
        </w:tc>
        <w:tc>
          <w:tcPr>
            <w:tcW w:w="1418" w:type="dxa"/>
            <w:gridSpan w:val="2"/>
            <w:shd w:val="clear" w:color="000000" w:fill="FFFF99"/>
            <w:vAlign w:val="center"/>
            <w:hideMark/>
          </w:tcPr>
          <w:p w14:paraId="1EC82FD5" w14:textId="2E1F67E3" w:rsidR="00485BAA" w:rsidRPr="008C761D" w:rsidRDefault="000E21C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Economic Policy and Development Department</w:t>
            </w:r>
          </w:p>
        </w:tc>
        <w:tc>
          <w:tcPr>
            <w:tcW w:w="1644" w:type="dxa"/>
            <w:gridSpan w:val="3"/>
            <w:shd w:val="clear" w:color="000000" w:fill="FFFF99"/>
            <w:vAlign w:val="center"/>
            <w:hideMark/>
          </w:tcPr>
          <w:p w14:paraId="00DFB05C"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BU/SSO</w:t>
            </w:r>
          </w:p>
        </w:tc>
        <w:tc>
          <w:tcPr>
            <w:tcW w:w="1758" w:type="dxa"/>
            <w:gridSpan w:val="2"/>
            <w:shd w:val="clear" w:color="000000" w:fill="FFFF99"/>
            <w:vAlign w:val="center"/>
            <w:hideMark/>
          </w:tcPr>
          <w:p w14:paraId="207D72D2" w14:textId="7D563225" w:rsidR="00485BAA" w:rsidRPr="008C761D" w:rsidRDefault="0053405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105.000</w:t>
            </w:r>
          </w:p>
        </w:tc>
        <w:tc>
          <w:tcPr>
            <w:tcW w:w="1842" w:type="dxa"/>
            <w:gridSpan w:val="3"/>
            <w:shd w:val="clear" w:color="000000" w:fill="FFFF99"/>
            <w:vAlign w:val="center"/>
            <w:hideMark/>
          </w:tcPr>
          <w:p w14:paraId="07AA9B04"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EU/WB/SECO</w:t>
            </w:r>
          </w:p>
        </w:tc>
        <w:tc>
          <w:tcPr>
            <w:tcW w:w="1506" w:type="dxa"/>
            <w:gridSpan w:val="3"/>
            <w:shd w:val="clear" w:color="000000" w:fill="FFFF99"/>
            <w:vAlign w:val="center"/>
            <w:hideMark/>
          </w:tcPr>
          <w:p w14:paraId="37099453" w14:textId="7DFBCD6D" w:rsidR="00485BAA" w:rsidRPr="008C761D" w:rsidRDefault="00485BAA" w:rsidP="00AA03A6">
            <w:pPr>
              <w:spacing w:after="0" w:line="240" w:lineRule="auto"/>
              <w:jc w:val="center"/>
              <w:rPr>
                <w:rFonts w:ascii="Arial" w:eastAsia="Times New Roman" w:hAnsi="Arial" w:cs="Arial"/>
                <w:sz w:val="12"/>
                <w:szCs w:val="12"/>
                <w:lang w:val="en-US" w:eastAsia="mk-MK"/>
              </w:rPr>
            </w:pPr>
          </w:p>
        </w:tc>
      </w:tr>
      <w:tr w:rsidR="00485BAA" w:rsidRPr="008C761D" w14:paraId="0998DA9B" w14:textId="77777777" w:rsidTr="003F623B">
        <w:trPr>
          <w:gridBefore w:val="1"/>
          <w:gridAfter w:val="1"/>
          <w:wBefore w:w="17" w:type="dxa"/>
          <w:wAfter w:w="180" w:type="dxa"/>
          <w:trHeight w:val="277"/>
          <w:jc w:val="center"/>
        </w:trPr>
        <w:tc>
          <w:tcPr>
            <w:tcW w:w="13501" w:type="dxa"/>
            <w:gridSpan w:val="25"/>
            <w:shd w:val="clear" w:color="000000" w:fill="9BD2ED"/>
            <w:vAlign w:val="center"/>
            <w:hideMark/>
          </w:tcPr>
          <w:p w14:paraId="6825B4E0" w14:textId="4696EA3C" w:rsidR="00482A8E"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1A1627">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Developing new</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macroeconomic</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models</w:t>
            </w:r>
          </w:p>
        </w:tc>
      </w:tr>
      <w:tr w:rsidR="00485BAA" w:rsidRPr="008C761D" w14:paraId="72E292CA" w14:textId="77777777" w:rsidTr="003F623B">
        <w:trPr>
          <w:gridBefore w:val="1"/>
          <w:gridAfter w:val="1"/>
          <w:wBefore w:w="17" w:type="dxa"/>
          <w:wAfter w:w="180" w:type="dxa"/>
          <w:trHeight w:val="189"/>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48072EF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56A2B970" w14:textId="7739631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3BB0DE7F" w14:textId="6F9B28B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3A513F"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B547BB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9B540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319E8B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4010C1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4739D23B"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042EF4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7</w:t>
            </w:r>
          </w:p>
        </w:tc>
      </w:tr>
      <w:tr w:rsidR="00485BAA" w:rsidRPr="008C761D" w14:paraId="15B8B66E" w14:textId="77777777" w:rsidTr="003F623B">
        <w:trPr>
          <w:gridBefore w:val="1"/>
          <w:gridAfter w:val="1"/>
          <w:wBefore w:w="17" w:type="dxa"/>
          <w:wAfter w:w="180" w:type="dxa"/>
          <w:trHeight w:val="719"/>
          <w:jc w:val="center"/>
        </w:trPr>
        <w:tc>
          <w:tcPr>
            <w:tcW w:w="2368" w:type="dxa"/>
            <w:gridSpan w:val="6"/>
            <w:vMerge/>
            <w:tcBorders>
              <w:top w:val="nil"/>
              <w:left w:val="nil"/>
              <w:bottom w:val="nil"/>
              <w:right w:val="single" w:sz="8" w:space="0" w:color="000000"/>
            </w:tcBorders>
            <w:vAlign w:val="center"/>
            <w:hideMark/>
          </w:tcPr>
          <w:p w14:paraId="7926565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ECAB399" w14:textId="3675598F"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macroeconomic models used during the preparation of the budgetary documents and Economic Reform Programme</w:t>
            </w:r>
          </w:p>
        </w:tc>
        <w:tc>
          <w:tcPr>
            <w:tcW w:w="1194" w:type="dxa"/>
            <w:gridSpan w:val="3"/>
            <w:shd w:val="clear" w:color="000000" w:fill="FFFF99"/>
            <w:vAlign w:val="center"/>
            <w:hideMark/>
          </w:tcPr>
          <w:p w14:paraId="5158E1C0" w14:textId="02DF723E"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strategic documents and reports</w:t>
            </w:r>
          </w:p>
        </w:tc>
        <w:tc>
          <w:tcPr>
            <w:tcW w:w="1418" w:type="dxa"/>
            <w:gridSpan w:val="2"/>
            <w:shd w:val="clear" w:color="000000" w:fill="FFFF99"/>
            <w:vAlign w:val="center"/>
            <w:hideMark/>
          </w:tcPr>
          <w:p w14:paraId="59D9758A" w14:textId="4B4422CF" w:rsidR="00485BAA" w:rsidRPr="008C761D" w:rsidRDefault="003A513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Nowcasting and a structural macroeconomic model</w:t>
            </w:r>
          </w:p>
        </w:tc>
        <w:tc>
          <w:tcPr>
            <w:tcW w:w="1644" w:type="dxa"/>
            <w:gridSpan w:val="3"/>
            <w:shd w:val="clear" w:color="000000" w:fill="FFFF99"/>
            <w:vAlign w:val="center"/>
            <w:hideMark/>
          </w:tcPr>
          <w:p w14:paraId="067F1377" w14:textId="0FF84B2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provided</w:t>
            </w:r>
          </w:p>
        </w:tc>
        <w:tc>
          <w:tcPr>
            <w:tcW w:w="1758" w:type="dxa"/>
            <w:gridSpan w:val="2"/>
            <w:shd w:val="clear" w:color="000000" w:fill="FFFF99"/>
            <w:vAlign w:val="center"/>
            <w:hideMark/>
          </w:tcPr>
          <w:p w14:paraId="541A7806" w14:textId="4368A702"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w:t>
            </w:r>
            <w:r w:rsidR="003A513F"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provided</w:t>
            </w:r>
          </w:p>
        </w:tc>
        <w:tc>
          <w:tcPr>
            <w:tcW w:w="1842" w:type="dxa"/>
            <w:gridSpan w:val="3"/>
            <w:shd w:val="clear" w:color="000000" w:fill="FFFF99"/>
            <w:vAlign w:val="center"/>
            <w:hideMark/>
          </w:tcPr>
          <w:p w14:paraId="5D385F99" w14:textId="77777777" w:rsidR="003A513F" w:rsidRPr="008C761D" w:rsidRDefault="003A513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macroeconomic forecasting tools developed</w:t>
            </w:r>
          </w:p>
          <w:p w14:paraId="14A1CCDB" w14:textId="56B8689E" w:rsidR="00485BAA" w:rsidRPr="008C761D" w:rsidRDefault="003A513F" w:rsidP="00AA03A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PEFA score PI-14. Macroeconomic and fiscal forecasting (M2)   &gt; = B  </w:t>
            </w:r>
          </w:p>
        </w:tc>
        <w:tc>
          <w:tcPr>
            <w:tcW w:w="1506" w:type="dxa"/>
            <w:gridSpan w:val="3"/>
            <w:shd w:val="clear" w:color="000000" w:fill="FFFF99"/>
            <w:vAlign w:val="center"/>
            <w:hideMark/>
          </w:tcPr>
          <w:p w14:paraId="1E3C98A5" w14:textId="77777777" w:rsidR="00485BAA" w:rsidRPr="008C761D" w:rsidRDefault="009F67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Plan for developing CGE model</w:t>
            </w:r>
          </w:p>
        </w:tc>
      </w:tr>
      <w:tr w:rsidR="00485BAA" w:rsidRPr="008C761D" w14:paraId="322BC8E4" w14:textId="77777777" w:rsidTr="003F623B">
        <w:trPr>
          <w:gridBefore w:val="1"/>
          <w:gridAfter w:val="1"/>
          <w:wBefore w:w="17" w:type="dxa"/>
          <w:wAfter w:w="180" w:type="dxa"/>
          <w:trHeight w:val="232"/>
          <w:jc w:val="center"/>
        </w:trPr>
        <w:tc>
          <w:tcPr>
            <w:tcW w:w="2368" w:type="dxa"/>
            <w:gridSpan w:val="6"/>
            <w:vMerge/>
            <w:tcBorders>
              <w:top w:val="nil"/>
              <w:left w:val="nil"/>
              <w:bottom w:val="nil"/>
              <w:right w:val="single" w:sz="8" w:space="0" w:color="000000"/>
            </w:tcBorders>
            <w:vAlign w:val="center"/>
            <w:hideMark/>
          </w:tcPr>
          <w:p w14:paraId="6A3B4E2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033521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BE02CB8" w14:textId="6BFD3B4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722060D0" w14:textId="6CD8C6A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5F2F0F36" w14:textId="348A629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B676A0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 (in EUR)</w:t>
            </w:r>
          </w:p>
        </w:tc>
        <w:tc>
          <w:tcPr>
            <w:tcW w:w="1842" w:type="dxa"/>
            <w:gridSpan w:val="3"/>
            <w:shd w:val="clear" w:color="000000" w:fill="9BD2ED"/>
            <w:vAlign w:val="center"/>
            <w:hideMark/>
          </w:tcPr>
          <w:p w14:paraId="395A649B" w14:textId="2F7EB04C"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5BD269A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FED077C" w14:textId="77777777" w:rsidTr="003F623B">
        <w:trPr>
          <w:gridBefore w:val="1"/>
          <w:gridAfter w:val="1"/>
          <w:wBefore w:w="17" w:type="dxa"/>
          <w:wAfter w:w="180" w:type="dxa"/>
          <w:trHeight w:val="431"/>
          <w:jc w:val="center"/>
        </w:trPr>
        <w:tc>
          <w:tcPr>
            <w:tcW w:w="2368" w:type="dxa"/>
            <w:gridSpan w:val="6"/>
            <w:vMerge/>
            <w:tcBorders>
              <w:top w:val="nil"/>
              <w:left w:val="nil"/>
              <w:bottom w:val="nil"/>
              <w:right w:val="single" w:sz="8" w:space="0" w:color="000000"/>
            </w:tcBorders>
            <w:vAlign w:val="center"/>
            <w:hideMark/>
          </w:tcPr>
          <w:p w14:paraId="54C6A68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3EF3865" w14:textId="2C573DFD"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1.Developing macroeconomic</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forecasting</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tools</w:t>
            </w:r>
          </w:p>
        </w:tc>
        <w:tc>
          <w:tcPr>
            <w:tcW w:w="1194" w:type="dxa"/>
            <w:gridSpan w:val="3"/>
            <w:shd w:val="clear" w:color="000000" w:fill="FFFF99"/>
            <w:vAlign w:val="center"/>
            <w:hideMark/>
          </w:tcPr>
          <w:p w14:paraId="6B53731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6</w:t>
            </w:r>
          </w:p>
        </w:tc>
        <w:tc>
          <w:tcPr>
            <w:tcW w:w="1418" w:type="dxa"/>
            <w:gridSpan w:val="2"/>
            <w:shd w:val="clear" w:color="000000" w:fill="FFFF99"/>
            <w:vAlign w:val="center"/>
            <w:hideMark/>
          </w:tcPr>
          <w:p w14:paraId="7B73824F" w14:textId="05E14496" w:rsidR="00485BAA" w:rsidRPr="008C761D" w:rsidRDefault="000E21C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Economic Policy and Development Department</w:t>
            </w:r>
          </w:p>
        </w:tc>
        <w:tc>
          <w:tcPr>
            <w:tcW w:w="1644" w:type="dxa"/>
            <w:gridSpan w:val="3"/>
            <w:shd w:val="clear" w:color="000000" w:fill="FFFF99"/>
            <w:vAlign w:val="center"/>
            <w:hideMark/>
          </w:tcPr>
          <w:p w14:paraId="195B1733"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SSO</w:t>
            </w:r>
          </w:p>
        </w:tc>
        <w:tc>
          <w:tcPr>
            <w:tcW w:w="1758" w:type="dxa"/>
            <w:gridSpan w:val="2"/>
            <w:shd w:val="clear" w:color="000000" w:fill="FFFF99"/>
            <w:vAlign w:val="center"/>
            <w:hideMark/>
          </w:tcPr>
          <w:p w14:paraId="5695B4CD" w14:textId="263C7E9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2</w:t>
            </w:r>
            <w:r w:rsidR="00813A99" w:rsidRPr="008C761D">
              <w:rPr>
                <w:rFonts w:ascii="Arial" w:eastAsia="Times New Roman" w:hAnsi="Arial" w:cs="Arial"/>
                <w:sz w:val="12"/>
                <w:szCs w:val="12"/>
                <w:lang w:val="en-US" w:eastAsia="mk-MK"/>
              </w:rPr>
              <w:t>1</w:t>
            </w:r>
            <w:r w:rsidRPr="008C761D">
              <w:rPr>
                <w:rFonts w:ascii="Arial" w:eastAsia="Times New Roman" w:hAnsi="Arial" w:cs="Arial"/>
                <w:sz w:val="12"/>
                <w:szCs w:val="12"/>
                <w:lang w:val="en-US" w:eastAsia="mk-MK"/>
              </w:rPr>
              <w:t xml:space="preserve">0,000 </w:t>
            </w:r>
          </w:p>
        </w:tc>
        <w:tc>
          <w:tcPr>
            <w:tcW w:w="1842" w:type="dxa"/>
            <w:gridSpan w:val="3"/>
            <w:shd w:val="clear" w:color="000000" w:fill="FFFF99"/>
            <w:vAlign w:val="center"/>
            <w:hideMark/>
          </w:tcPr>
          <w:p w14:paraId="4845FBEE"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WB</w:t>
            </w:r>
          </w:p>
        </w:tc>
        <w:tc>
          <w:tcPr>
            <w:tcW w:w="1506" w:type="dxa"/>
            <w:gridSpan w:val="3"/>
            <w:shd w:val="clear" w:color="000000" w:fill="FFFF99"/>
            <w:vAlign w:val="center"/>
            <w:hideMark/>
          </w:tcPr>
          <w:p w14:paraId="3FDEC309" w14:textId="2F12C427"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2AABAEB0" w14:textId="77777777" w:rsidTr="003F623B">
        <w:trPr>
          <w:gridBefore w:val="1"/>
          <w:gridAfter w:val="1"/>
          <w:wBefore w:w="17" w:type="dxa"/>
          <w:wAfter w:w="180" w:type="dxa"/>
          <w:trHeight w:val="196"/>
          <w:jc w:val="center"/>
        </w:trPr>
        <w:tc>
          <w:tcPr>
            <w:tcW w:w="13501" w:type="dxa"/>
            <w:gridSpan w:val="25"/>
            <w:shd w:val="clear" w:color="000000" w:fill="9BD2ED"/>
            <w:vAlign w:val="center"/>
            <w:hideMark/>
          </w:tcPr>
          <w:p w14:paraId="23450A5F" w14:textId="67FB366B"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1A1627">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Fiscal</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Risks</w:t>
            </w:r>
          </w:p>
        </w:tc>
      </w:tr>
      <w:tr w:rsidR="00485BAA" w:rsidRPr="008C761D" w14:paraId="2108BF4C" w14:textId="77777777" w:rsidTr="003F623B">
        <w:trPr>
          <w:gridBefore w:val="1"/>
          <w:gridAfter w:val="1"/>
          <w:wBefore w:w="17" w:type="dxa"/>
          <w:wAfter w:w="180" w:type="dxa"/>
          <w:trHeight w:val="232"/>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1759570E"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596D61A4" w14:textId="3E6DF1F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5447BB33" w14:textId="1AE7916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EE57F9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9B540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55C016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5AE551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C03EFB6" w14:textId="77777777" w:rsidR="00485BAA" w:rsidRPr="008C761D" w:rsidRDefault="00485BAA" w:rsidP="009B5409">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E0FD91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7</w:t>
            </w:r>
          </w:p>
        </w:tc>
      </w:tr>
      <w:tr w:rsidR="00485BAA" w:rsidRPr="008C761D" w14:paraId="6FEED0AC" w14:textId="77777777" w:rsidTr="003F623B">
        <w:trPr>
          <w:gridBefore w:val="1"/>
          <w:gridAfter w:val="1"/>
          <w:wBefore w:w="17" w:type="dxa"/>
          <w:wAfter w:w="180" w:type="dxa"/>
          <w:trHeight w:val="1429"/>
          <w:jc w:val="center"/>
        </w:trPr>
        <w:tc>
          <w:tcPr>
            <w:tcW w:w="2368" w:type="dxa"/>
            <w:gridSpan w:val="6"/>
            <w:vMerge/>
            <w:tcBorders>
              <w:top w:val="nil"/>
              <w:left w:val="nil"/>
              <w:bottom w:val="nil"/>
              <w:right w:val="single" w:sz="8" w:space="0" w:color="000000"/>
            </w:tcBorders>
            <w:vAlign w:val="center"/>
            <w:hideMark/>
          </w:tcPr>
          <w:p w14:paraId="679F7BF5"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6C634C6E" w14:textId="63419823" w:rsidR="00485BAA" w:rsidRPr="008C761D" w:rsidRDefault="005F1D37"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Comprehensive reporting (Fiscal Risks Statement) on: liabilities of central and local governments; PPP associated risks; summary of risks identified by the biggest SoEs; comparison of macro-fiscal forecast scenarios</w:t>
            </w:r>
          </w:p>
        </w:tc>
        <w:tc>
          <w:tcPr>
            <w:tcW w:w="1194" w:type="dxa"/>
            <w:gridSpan w:val="3"/>
            <w:shd w:val="clear" w:color="000000" w:fill="FFFF99"/>
            <w:vAlign w:val="center"/>
            <w:hideMark/>
          </w:tcPr>
          <w:p w14:paraId="3877FD6A" w14:textId="7411184E" w:rsidR="00485BAA" w:rsidRPr="008C761D" w:rsidRDefault="005F1D3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Pr="008C761D">
              <w:rPr>
                <w:rFonts w:ascii="Arial" w:eastAsia="Times New Roman" w:hAnsi="Arial" w:cs="Arial"/>
                <w:sz w:val="12"/>
                <w:szCs w:val="12"/>
                <w:lang w:val="en-US" w:eastAsia="mk-MK"/>
              </w:rPr>
              <w:br/>
              <w:t>IMF</w:t>
            </w:r>
            <w:r w:rsidRPr="008C761D">
              <w:rPr>
                <w:rFonts w:ascii="Arial" w:eastAsia="Times New Roman" w:hAnsi="Arial" w:cs="Arial"/>
                <w:sz w:val="12"/>
                <w:szCs w:val="12"/>
                <w:lang w:val="en-US" w:eastAsia="mk-MK"/>
              </w:rPr>
              <w:br/>
              <w:t>PEFA score for indicator PI-10. Fiscal risk reporting</w:t>
            </w:r>
          </w:p>
        </w:tc>
        <w:tc>
          <w:tcPr>
            <w:tcW w:w="1418" w:type="dxa"/>
            <w:gridSpan w:val="2"/>
            <w:shd w:val="clear" w:color="000000" w:fill="FFFF99"/>
            <w:vAlign w:val="center"/>
            <w:hideMark/>
          </w:tcPr>
          <w:p w14:paraId="6E41A33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w:t>
            </w:r>
          </w:p>
        </w:tc>
        <w:tc>
          <w:tcPr>
            <w:tcW w:w="1644" w:type="dxa"/>
            <w:gridSpan w:val="3"/>
            <w:shd w:val="clear" w:color="000000" w:fill="FFFF99"/>
            <w:vAlign w:val="center"/>
            <w:hideMark/>
          </w:tcPr>
          <w:p w14:paraId="67209C9F" w14:textId="627DA511" w:rsidR="00485BAA" w:rsidRPr="008C761D" w:rsidRDefault="00AA03A6" w:rsidP="00AA03A6">
            <w:pPr>
              <w:spacing w:after="0" w:line="240" w:lineRule="auto"/>
              <w:jc w:val="center"/>
              <w:rPr>
                <w:rFonts w:ascii="Arial" w:eastAsia="Times New Roman" w:hAnsi="Arial" w:cs="Arial"/>
                <w:b/>
                <w:bCs/>
                <w:sz w:val="12"/>
                <w:szCs w:val="12"/>
                <w:lang w:val="en-US" w:eastAsia="mk-MK"/>
              </w:rPr>
            </w:pPr>
            <w:r>
              <w:rPr>
                <w:rFonts w:ascii="Arial" w:eastAsia="Times New Roman" w:hAnsi="Arial" w:cs="Arial"/>
                <w:b/>
                <w:bCs/>
                <w:sz w:val="12"/>
                <w:szCs w:val="12"/>
                <w:lang w:val="en-US" w:eastAsia="mk-MK"/>
              </w:rPr>
              <w:t>/</w:t>
            </w:r>
          </w:p>
        </w:tc>
        <w:tc>
          <w:tcPr>
            <w:tcW w:w="1758" w:type="dxa"/>
            <w:gridSpan w:val="2"/>
            <w:shd w:val="clear" w:color="000000" w:fill="FFFF99"/>
            <w:vAlign w:val="center"/>
            <w:hideMark/>
          </w:tcPr>
          <w:p w14:paraId="69257FF6" w14:textId="46239EE2"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r w:rsidR="009F6773" w:rsidRPr="008C761D">
              <w:rPr>
                <w:rFonts w:ascii="Arial" w:eastAsia="Times New Roman" w:hAnsi="Arial" w:cs="Arial"/>
                <w:sz w:val="12"/>
                <w:szCs w:val="12"/>
                <w:lang w:val="en-US" w:eastAsia="mk-MK"/>
              </w:rPr>
              <w:t>Trainings</w:t>
            </w:r>
            <w:r w:rsidR="005F1D37" w:rsidRPr="008C761D">
              <w:rPr>
                <w:rFonts w:ascii="Arial" w:eastAsia="Times New Roman" w:hAnsi="Arial" w:cs="Arial"/>
                <w:sz w:val="12"/>
                <w:szCs w:val="12"/>
                <w:lang w:val="en-US" w:eastAsia="mk-MK"/>
              </w:rPr>
              <w:t xml:space="preserve"> </w:t>
            </w:r>
            <w:r w:rsidR="009F6773" w:rsidRPr="008C761D">
              <w:rPr>
                <w:rFonts w:ascii="Arial" w:eastAsia="Times New Roman" w:hAnsi="Arial" w:cs="Arial"/>
                <w:sz w:val="12"/>
                <w:szCs w:val="12"/>
                <w:lang w:val="en-US" w:eastAsia="mk-MK"/>
              </w:rPr>
              <w:t>provided</w:t>
            </w:r>
          </w:p>
        </w:tc>
        <w:tc>
          <w:tcPr>
            <w:tcW w:w="1842" w:type="dxa"/>
            <w:gridSpan w:val="3"/>
            <w:shd w:val="clear" w:color="000000" w:fill="FFFF99"/>
            <w:vAlign w:val="center"/>
            <w:hideMark/>
          </w:tcPr>
          <w:p w14:paraId="3F61A627" w14:textId="77777777" w:rsidR="00813A99" w:rsidRPr="008C761D" w:rsidRDefault="00485BAA" w:rsidP="00813A99">
            <w:pPr>
              <w:spacing w:after="0" w:line="240" w:lineRule="auto"/>
              <w:rPr>
                <w:rFonts w:ascii="Arial" w:eastAsia="Times New Roman" w:hAnsi="Arial" w:cs="Arial"/>
                <w:sz w:val="12"/>
                <w:szCs w:val="12"/>
                <w:lang w:val="en-US" w:eastAsia="mk-MK"/>
              </w:rPr>
            </w:pPr>
            <w:r w:rsidRPr="008C761D">
              <w:rPr>
                <w:rFonts w:ascii="Arial" w:eastAsia="Times New Roman" w:hAnsi="Arial" w:cs="Arial"/>
                <w:b/>
                <w:bCs/>
                <w:sz w:val="12"/>
                <w:szCs w:val="12"/>
                <w:lang w:val="en-US" w:eastAsia="mk-MK"/>
              </w:rPr>
              <w:t> </w:t>
            </w:r>
            <w:r w:rsidR="005F1D37" w:rsidRPr="008C761D">
              <w:rPr>
                <w:rFonts w:ascii="Arial" w:eastAsia="Times New Roman" w:hAnsi="Arial" w:cs="Arial"/>
                <w:b/>
                <w:bCs/>
                <w:sz w:val="12"/>
                <w:szCs w:val="12"/>
                <w:lang w:val="en-US" w:eastAsia="mk-MK"/>
              </w:rPr>
              <w:t> </w:t>
            </w:r>
            <w:r w:rsidR="00813A99" w:rsidRPr="008C761D">
              <w:rPr>
                <w:rFonts w:ascii="Arial" w:eastAsia="Times New Roman" w:hAnsi="Arial" w:cs="Arial"/>
                <w:sz w:val="12"/>
                <w:szCs w:val="12"/>
                <w:lang w:val="en-US" w:eastAsia="mk-MK"/>
              </w:rPr>
              <w:t>Procedure for preparation of comprehensive Fiscal Risks Statement and Fiscal Risks Chapter as part of the Fiscal Strategy</w:t>
            </w:r>
            <w:r w:rsidR="00813A99" w:rsidRPr="008C761D">
              <w:rPr>
                <w:rFonts w:ascii="Arial" w:eastAsia="Times New Roman" w:hAnsi="Arial" w:cs="Arial"/>
                <w:sz w:val="12"/>
                <w:szCs w:val="12"/>
                <w:lang w:val="en-US" w:eastAsia="mk-MK"/>
              </w:rPr>
              <w:br w:type="page"/>
              <w:t xml:space="preserve"> </w:t>
            </w:r>
          </w:p>
          <w:p w14:paraId="600860CE" w14:textId="202FECFA" w:rsidR="00485BAA" w:rsidRPr="008C761D" w:rsidRDefault="00813A99" w:rsidP="00813A99">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 xml:space="preserve">PEFA Score: </w:t>
            </w:r>
            <w:r w:rsidRPr="008C761D">
              <w:rPr>
                <w:rFonts w:ascii="Arial" w:eastAsia="Times New Roman" w:hAnsi="Arial" w:cs="Arial"/>
                <w:sz w:val="12"/>
                <w:szCs w:val="12"/>
                <w:u w:val="single"/>
                <w:lang w:val="en-US" w:eastAsia="mk-MK"/>
              </w:rPr>
              <w:t>&gt;</w:t>
            </w:r>
            <w:r w:rsidRPr="008C761D">
              <w:rPr>
                <w:rFonts w:ascii="Arial" w:eastAsia="Times New Roman" w:hAnsi="Arial" w:cs="Arial"/>
                <w:sz w:val="12"/>
                <w:szCs w:val="12"/>
                <w:lang w:val="en-US" w:eastAsia="mk-MK"/>
              </w:rPr>
              <w:t>B</w:t>
            </w:r>
          </w:p>
        </w:tc>
        <w:tc>
          <w:tcPr>
            <w:tcW w:w="1506" w:type="dxa"/>
            <w:gridSpan w:val="3"/>
            <w:shd w:val="clear" w:color="000000" w:fill="FFFF99"/>
            <w:vAlign w:val="center"/>
            <w:hideMark/>
          </w:tcPr>
          <w:p w14:paraId="30CE285A" w14:textId="28D9CC56" w:rsidR="00485BAA" w:rsidRPr="008C761D" w:rsidRDefault="005F1D37" w:rsidP="009B5409">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Plan for further development of fiscal risks assessment and analyses</w:t>
            </w:r>
          </w:p>
        </w:tc>
      </w:tr>
      <w:tr w:rsidR="00485BAA" w:rsidRPr="008C761D" w14:paraId="02BE3E9F" w14:textId="77777777" w:rsidTr="003F623B">
        <w:trPr>
          <w:gridBefore w:val="1"/>
          <w:gridAfter w:val="1"/>
          <w:wBefore w:w="17" w:type="dxa"/>
          <w:wAfter w:w="180" w:type="dxa"/>
          <w:trHeight w:val="213"/>
          <w:jc w:val="center"/>
        </w:trPr>
        <w:tc>
          <w:tcPr>
            <w:tcW w:w="2368" w:type="dxa"/>
            <w:gridSpan w:val="6"/>
            <w:vMerge/>
            <w:tcBorders>
              <w:top w:val="nil"/>
              <w:left w:val="nil"/>
              <w:bottom w:val="nil"/>
              <w:right w:val="single" w:sz="8" w:space="0" w:color="000000"/>
            </w:tcBorders>
            <w:vAlign w:val="center"/>
            <w:hideMark/>
          </w:tcPr>
          <w:p w14:paraId="37C8375E"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1700E5B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187A86A3" w14:textId="4680D48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2F8BE22C" w14:textId="5765743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4708C5A" w14:textId="6A27440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0CC50E6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7EC701C6" w14:textId="17A9AA56"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39C002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3C2DB2CF" w14:textId="77777777" w:rsidTr="003F623B">
        <w:trPr>
          <w:gridBefore w:val="1"/>
          <w:gridAfter w:val="1"/>
          <w:wBefore w:w="17" w:type="dxa"/>
          <w:wAfter w:w="180" w:type="dxa"/>
          <w:trHeight w:val="682"/>
          <w:jc w:val="center"/>
        </w:trPr>
        <w:tc>
          <w:tcPr>
            <w:tcW w:w="2368" w:type="dxa"/>
            <w:gridSpan w:val="6"/>
            <w:vMerge/>
            <w:tcBorders>
              <w:top w:val="nil"/>
              <w:left w:val="nil"/>
              <w:bottom w:val="nil"/>
              <w:right w:val="single" w:sz="8" w:space="0" w:color="000000"/>
            </w:tcBorders>
            <w:vAlign w:val="center"/>
            <w:hideMark/>
          </w:tcPr>
          <w:p w14:paraId="57750F8F"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40E2CAD3" w14:textId="59E9A29E" w:rsidR="00485BAA" w:rsidRPr="008C761D" w:rsidRDefault="009F67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Establishing</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institutional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framework</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fiscal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analyses</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MoF</w:t>
            </w:r>
          </w:p>
        </w:tc>
        <w:tc>
          <w:tcPr>
            <w:tcW w:w="1194" w:type="dxa"/>
            <w:gridSpan w:val="3"/>
            <w:shd w:val="clear" w:color="000000" w:fill="FFFF99"/>
            <w:vAlign w:val="center"/>
            <w:hideMark/>
          </w:tcPr>
          <w:p w14:paraId="578BE461" w14:textId="2D26F83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813A99" w:rsidRPr="008C761D">
              <w:rPr>
                <w:rFonts w:ascii="Arial" w:eastAsia="Times New Roman" w:hAnsi="Arial" w:cs="Arial"/>
                <w:sz w:val="12"/>
                <w:szCs w:val="12"/>
                <w:lang w:val="en-US" w:eastAsia="mk-MK"/>
              </w:rPr>
              <w:t>6</w:t>
            </w:r>
          </w:p>
        </w:tc>
        <w:tc>
          <w:tcPr>
            <w:tcW w:w="1418" w:type="dxa"/>
            <w:gridSpan w:val="2"/>
            <w:shd w:val="clear" w:color="000000" w:fill="FFFF99"/>
            <w:vAlign w:val="center"/>
            <w:hideMark/>
          </w:tcPr>
          <w:p w14:paraId="2CC55460" w14:textId="109BA31D" w:rsidR="00485BAA" w:rsidRPr="008C761D" w:rsidRDefault="000E21C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Economic Policy and Development Department</w:t>
            </w:r>
          </w:p>
        </w:tc>
        <w:tc>
          <w:tcPr>
            <w:tcW w:w="1644" w:type="dxa"/>
            <w:gridSpan w:val="3"/>
            <w:shd w:val="clear" w:color="000000" w:fill="FFFF99"/>
            <w:vAlign w:val="center"/>
            <w:hideMark/>
          </w:tcPr>
          <w:p w14:paraId="2942B95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BU/SoEs/LSGU</w:t>
            </w:r>
          </w:p>
        </w:tc>
        <w:tc>
          <w:tcPr>
            <w:tcW w:w="1758" w:type="dxa"/>
            <w:gridSpan w:val="2"/>
            <w:shd w:val="clear" w:color="000000" w:fill="FFFF99"/>
            <w:vAlign w:val="center"/>
            <w:hideMark/>
          </w:tcPr>
          <w:p w14:paraId="7FCE4AD3" w14:textId="2753391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813A99" w:rsidRPr="008C761D">
              <w:rPr>
                <w:rFonts w:ascii="Arial" w:eastAsia="Times New Roman" w:hAnsi="Arial" w:cs="Arial"/>
                <w:sz w:val="12"/>
                <w:szCs w:val="12"/>
                <w:lang w:val="en-US" w:eastAsia="mk-MK"/>
              </w:rPr>
              <w:t>2</w:t>
            </w:r>
            <w:r w:rsidRPr="008C761D">
              <w:rPr>
                <w:rFonts w:ascii="Arial" w:eastAsia="Times New Roman" w:hAnsi="Arial" w:cs="Arial"/>
                <w:sz w:val="12"/>
                <w:szCs w:val="12"/>
                <w:lang w:val="en-US" w:eastAsia="mk-MK"/>
              </w:rPr>
              <w:t>5</w:t>
            </w:r>
            <w:r w:rsidR="00813A99" w:rsidRPr="008C761D">
              <w:rPr>
                <w:rFonts w:ascii="Arial" w:eastAsia="Times New Roman" w:hAnsi="Arial" w:cs="Arial"/>
                <w:sz w:val="12"/>
                <w:szCs w:val="12"/>
                <w:lang w:val="en-US" w:eastAsia="mk-MK"/>
              </w:rPr>
              <w:t>0</w:t>
            </w:r>
            <w:r w:rsidRPr="008C761D">
              <w:rPr>
                <w:rFonts w:ascii="Arial" w:eastAsia="Times New Roman" w:hAnsi="Arial" w:cs="Arial"/>
                <w:sz w:val="12"/>
                <w:szCs w:val="12"/>
                <w:lang w:val="en-US" w:eastAsia="mk-MK"/>
              </w:rPr>
              <w:t xml:space="preserve">,000 </w:t>
            </w:r>
          </w:p>
        </w:tc>
        <w:tc>
          <w:tcPr>
            <w:tcW w:w="1842" w:type="dxa"/>
            <w:gridSpan w:val="3"/>
            <w:shd w:val="clear" w:color="000000" w:fill="FFFF99"/>
            <w:vAlign w:val="center"/>
            <w:hideMark/>
          </w:tcPr>
          <w:p w14:paraId="28196E46" w14:textId="2B63D5A7" w:rsidR="00485BAA"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IMF/EU/SECO</w:t>
            </w:r>
          </w:p>
        </w:tc>
        <w:tc>
          <w:tcPr>
            <w:tcW w:w="1506" w:type="dxa"/>
            <w:gridSpan w:val="3"/>
            <w:shd w:val="clear" w:color="000000" w:fill="FFFF99"/>
            <w:vAlign w:val="center"/>
            <w:hideMark/>
          </w:tcPr>
          <w:p w14:paraId="72A84360" w14:textId="43E96E32"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533B61EC" w14:textId="77777777" w:rsidTr="003F623B">
        <w:trPr>
          <w:gridBefore w:val="1"/>
          <w:gridAfter w:val="1"/>
          <w:wBefore w:w="17" w:type="dxa"/>
          <w:wAfter w:w="180" w:type="dxa"/>
          <w:trHeight w:val="637"/>
          <w:jc w:val="center"/>
        </w:trPr>
        <w:tc>
          <w:tcPr>
            <w:tcW w:w="2368" w:type="dxa"/>
            <w:gridSpan w:val="6"/>
            <w:vMerge/>
            <w:tcBorders>
              <w:top w:val="nil"/>
              <w:left w:val="nil"/>
              <w:bottom w:val="nil"/>
              <w:right w:val="single" w:sz="8" w:space="0" w:color="000000"/>
            </w:tcBorders>
            <w:vAlign w:val="center"/>
            <w:hideMark/>
          </w:tcPr>
          <w:p w14:paraId="40318FA2"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48600AEC" w14:textId="5DECFEF3"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2. </w:t>
            </w:r>
            <w:r w:rsidR="0097730E" w:rsidRPr="0097730E">
              <w:rPr>
                <w:rFonts w:ascii="Arial" w:eastAsia="Times New Roman" w:hAnsi="Arial" w:cs="Arial"/>
                <w:sz w:val="12"/>
                <w:szCs w:val="12"/>
                <w:lang w:val="en-US" w:eastAsia="mk-MK"/>
              </w:rPr>
              <w:t>Preparing consolidated Fiscal Risk Chapter in the Fiscal Strategy</w:t>
            </w:r>
          </w:p>
        </w:tc>
        <w:tc>
          <w:tcPr>
            <w:tcW w:w="1194" w:type="dxa"/>
            <w:gridSpan w:val="3"/>
            <w:shd w:val="clear" w:color="000000" w:fill="FFFF99"/>
            <w:vAlign w:val="center"/>
            <w:hideMark/>
          </w:tcPr>
          <w:p w14:paraId="278FEE1B" w14:textId="552F6E9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813A99"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57AE4AA3" w14:textId="414C7E71" w:rsidR="00485BAA" w:rsidRPr="008C761D" w:rsidRDefault="000E21C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Economic Policy and Development Department</w:t>
            </w:r>
          </w:p>
        </w:tc>
        <w:tc>
          <w:tcPr>
            <w:tcW w:w="1644" w:type="dxa"/>
            <w:gridSpan w:val="3"/>
            <w:shd w:val="clear" w:color="000000" w:fill="FFFF99"/>
            <w:vAlign w:val="center"/>
            <w:hideMark/>
          </w:tcPr>
          <w:p w14:paraId="54723E5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BU/SoEs/LSGU</w:t>
            </w:r>
          </w:p>
        </w:tc>
        <w:tc>
          <w:tcPr>
            <w:tcW w:w="1758" w:type="dxa"/>
            <w:gridSpan w:val="2"/>
            <w:shd w:val="clear" w:color="000000" w:fill="FFFF99"/>
            <w:vAlign w:val="center"/>
            <w:hideMark/>
          </w:tcPr>
          <w:p w14:paraId="3DCE2B08" w14:textId="4510A4E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813A99"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 xml:space="preserve">0,000 </w:t>
            </w:r>
          </w:p>
        </w:tc>
        <w:tc>
          <w:tcPr>
            <w:tcW w:w="1842" w:type="dxa"/>
            <w:gridSpan w:val="3"/>
            <w:shd w:val="clear" w:color="000000" w:fill="FFFF99"/>
            <w:vAlign w:val="center"/>
            <w:hideMark/>
          </w:tcPr>
          <w:p w14:paraId="295597D1" w14:textId="25957114" w:rsidR="00485BAA"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IMF/EU/EU/SECO</w:t>
            </w:r>
          </w:p>
        </w:tc>
        <w:tc>
          <w:tcPr>
            <w:tcW w:w="1506" w:type="dxa"/>
            <w:gridSpan w:val="3"/>
            <w:shd w:val="clear" w:color="000000" w:fill="FFFF99"/>
            <w:vAlign w:val="center"/>
            <w:hideMark/>
          </w:tcPr>
          <w:p w14:paraId="53ADF275" w14:textId="67FF3036"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339F967B" w14:textId="77777777" w:rsidTr="003F623B">
        <w:trPr>
          <w:gridBefore w:val="1"/>
          <w:gridAfter w:val="1"/>
          <w:wBefore w:w="17" w:type="dxa"/>
          <w:wAfter w:w="180" w:type="dxa"/>
          <w:trHeight w:val="214"/>
          <w:jc w:val="center"/>
        </w:trPr>
        <w:tc>
          <w:tcPr>
            <w:tcW w:w="13501" w:type="dxa"/>
            <w:gridSpan w:val="25"/>
            <w:shd w:val="clear" w:color="000000" w:fill="9BD2ED"/>
            <w:vAlign w:val="center"/>
            <w:hideMark/>
          </w:tcPr>
          <w:p w14:paraId="28287866" w14:textId="5C44AC49"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1A1627">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4</w:t>
            </w:r>
            <w:r w:rsidR="001A1627">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Fiscal</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Council</w:t>
            </w:r>
            <w:r w:rsidR="00662BC1" w:rsidRPr="008C761D">
              <w:rPr>
                <w:rFonts w:ascii="Arial" w:eastAsia="Times New Roman" w:hAnsi="Arial" w:cs="Arial"/>
                <w:b/>
                <w:bCs/>
                <w:sz w:val="12"/>
                <w:szCs w:val="12"/>
                <w:lang w:val="en-US" w:eastAsia="mk-MK"/>
              </w:rPr>
              <w:t xml:space="preserve"> Development</w:t>
            </w:r>
          </w:p>
        </w:tc>
      </w:tr>
      <w:tr w:rsidR="00485BAA" w:rsidRPr="008C761D" w14:paraId="57655F71" w14:textId="77777777" w:rsidTr="003F623B">
        <w:trPr>
          <w:gridBefore w:val="1"/>
          <w:gridAfter w:val="1"/>
          <w:wBefore w:w="17" w:type="dxa"/>
          <w:wAfter w:w="180" w:type="dxa"/>
          <w:trHeight w:val="270"/>
          <w:jc w:val="center"/>
        </w:trPr>
        <w:tc>
          <w:tcPr>
            <w:tcW w:w="2368" w:type="dxa"/>
            <w:gridSpan w:val="6"/>
            <w:vMerge w:val="restart"/>
            <w:tcBorders>
              <w:top w:val="nil"/>
              <w:left w:val="nil"/>
              <w:bottom w:val="nil"/>
              <w:right w:val="single" w:sz="8" w:space="0" w:color="000000"/>
            </w:tcBorders>
            <w:shd w:val="clear" w:color="000000" w:fill="FFFFFF"/>
            <w:vAlign w:val="center"/>
            <w:hideMark/>
          </w:tcPr>
          <w:p w14:paraId="0C5CB3B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5B6754D0" w14:textId="31F39E4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262D8788" w14:textId="6A0C68C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BB5295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9B540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FFF227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9DA8D8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0074E491" w14:textId="77777777" w:rsidR="00485BAA" w:rsidRPr="008C761D" w:rsidRDefault="00485BAA" w:rsidP="009B5409">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F7144B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9B5409" w:rsidRPr="008C761D">
              <w:rPr>
                <w:rFonts w:ascii="Arial" w:eastAsia="Times New Roman" w:hAnsi="Arial" w:cs="Arial"/>
                <w:b/>
                <w:bCs/>
                <w:sz w:val="12"/>
                <w:szCs w:val="12"/>
                <w:lang w:val="en-US" w:eastAsia="mk-MK"/>
              </w:rPr>
              <w:t>7</w:t>
            </w:r>
          </w:p>
        </w:tc>
      </w:tr>
      <w:tr w:rsidR="00485BAA" w:rsidRPr="008C761D" w14:paraId="09A4B2A7" w14:textId="77777777" w:rsidTr="003F623B">
        <w:trPr>
          <w:gridBefore w:val="1"/>
          <w:gridAfter w:val="1"/>
          <w:wBefore w:w="17" w:type="dxa"/>
          <w:wAfter w:w="180" w:type="dxa"/>
          <w:trHeight w:val="1231"/>
          <w:jc w:val="center"/>
        </w:trPr>
        <w:tc>
          <w:tcPr>
            <w:tcW w:w="2368" w:type="dxa"/>
            <w:gridSpan w:val="6"/>
            <w:vMerge/>
            <w:tcBorders>
              <w:top w:val="nil"/>
              <w:left w:val="nil"/>
              <w:bottom w:val="nil"/>
              <w:right w:val="single" w:sz="8" w:space="0" w:color="000000"/>
            </w:tcBorders>
            <w:vAlign w:val="center"/>
            <w:hideMark/>
          </w:tcPr>
          <w:p w14:paraId="670B644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B12E171" w14:textId="103CBAA9" w:rsidR="00485BAA" w:rsidRPr="008C761D" w:rsidRDefault="009B540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Operational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Fiscal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Council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 a body</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professional</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administrative</w:t>
            </w:r>
            <w:r w:rsidR="005F1D37"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support</w:t>
            </w:r>
          </w:p>
        </w:tc>
        <w:tc>
          <w:tcPr>
            <w:tcW w:w="1194" w:type="dxa"/>
            <w:gridSpan w:val="3"/>
            <w:shd w:val="clear" w:color="000000" w:fill="FFFF99"/>
            <w:vAlign w:val="center"/>
            <w:hideMark/>
          </w:tcPr>
          <w:p w14:paraId="5E5F8A3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418" w:type="dxa"/>
            <w:gridSpan w:val="2"/>
            <w:shd w:val="clear" w:color="000000" w:fill="FFFF99"/>
            <w:vAlign w:val="center"/>
            <w:hideMark/>
          </w:tcPr>
          <w:p w14:paraId="12470601" w14:textId="77777777"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644" w:type="dxa"/>
            <w:gridSpan w:val="3"/>
            <w:shd w:val="clear" w:color="000000" w:fill="FFFF99"/>
            <w:vAlign w:val="center"/>
            <w:hideMark/>
          </w:tcPr>
          <w:p w14:paraId="5DAAB69D" w14:textId="77777777" w:rsidR="005F1D37" w:rsidRPr="008C761D" w:rsidRDefault="005F1D37" w:rsidP="005F1D37">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Operational Fiscal Council and Established body for professional and administrative-technical support</w:t>
            </w:r>
          </w:p>
          <w:p w14:paraId="18DB24D1" w14:textId="792C85C4" w:rsidR="00485BAA" w:rsidRPr="008C761D" w:rsidRDefault="005F1D37" w:rsidP="005F1D37">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procedural regulations of the Fiscal Council</w:t>
            </w:r>
          </w:p>
        </w:tc>
        <w:tc>
          <w:tcPr>
            <w:tcW w:w="1758" w:type="dxa"/>
            <w:gridSpan w:val="2"/>
            <w:shd w:val="clear" w:color="000000" w:fill="FFFF99"/>
            <w:vAlign w:val="center"/>
            <w:hideMark/>
          </w:tcPr>
          <w:p w14:paraId="2A20253E" w14:textId="0B4E2788" w:rsidR="00485BAA" w:rsidRPr="008C761D" w:rsidRDefault="005F1D37"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Fiscal Council publishes its independent report on macro-fiscal sustainability</w:t>
            </w:r>
            <w:r w:rsidRPr="008C761D">
              <w:rPr>
                <w:rFonts w:ascii="Arial" w:eastAsia="Times New Roman" w:hAnsi="Arial" w:cs="Arial"/>
                <w:b/>
                <w:bCs/>
                <w:sz w:val="12"/>
                <w:szCs w:val="12"/>
                <w:lang w:val="en-US" w:eastAsia="mk-MK"/>
              </w:rPr>
              <w:t> </w:t>
            </w:r>
          </w:p>
        </w:tc>
        <w:tc>
          <w:tcPr>
            <w:tcW w:w="1842" w:type="dxa"/>
            <w:gridSpan w:val="3"/>
            <w:shd w:val="clear" w:color="000000" w:fill="FFFF99"/>
            <w:vAlign w:val="center"/>
            <w:hideMark/>
          </w:tcPr>
          <w:p w14:paraId="2E4181A8" w14:textId="3FB4A5C3"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r w:rsidR="005F1D37" w:rsidRPr="008C761D">
              <w:rPr>
                <w:rFonts w:ascii="Arial" w:eastAsia="Times New Roman" w:hAnsi="Arial" w:cs="Arial"/>
                <w:sz w:val="12"/>
                <w:szCs w:val="12"/>
                <w:lang w:val="en-US" w:eastAsia="mk-MK"/>
              </w:rPr>
              <w:t>Independent, objective and professional opinions on issues related to fiscal policy</w:t>
            </w:r>
            <w:r w:rsidR="005F1D37" w:rsidRPr="008C761D">
              <w:rPr>
                <w:rFonts w:ascii="Arial" w:eastAsia="Times New Roman" w:hAnsi="Arial" w:cs="Arial"/>
                <w:sz w:val="12"/>
                <w:szCs w:val="12"/>
                <w:lang w:val="en-US" w:eastAsia="mk-MK"/>
              </w:rPr>
              <w:br/>
              <w:t>PEFA score PI-14. Macroeconomic and fiscal forecasting (M2</w:t>
            </w:r>
            <w:proofErr w:type="gramStart"/>
            <w:r w:rsidR="005F1D37" w:rsidRPr="008C761D">
              <w:rPr>
                <w:rFonts w:ascii="Arial" w:eastAsia="Times New Roman" w:hAnsi="Arial" w:cs="Arial"/>
                <w:sz w:val="12"/>
                <w:szCs w:val="12"/>
                <w:lang w:val="en-US" w:eastAsia="mk-MK"/>
              </w:rPr>
              <w:t>)  &gt;</w:t>
            </w:r>
            <w:proofErr w:type="gramEnd"/>
            <w:r w:rsidR="005F1D37" w:rsidRPr="008C761D">
              <w:rPr>
                <w:rFonts w:ascii="Arial" w:eastAsia="Times New Roman" w:hAnsi="Arial" w:cs="Arial"/>
                <w:sz w:val="12"/>
                <w:szCs w:val="12"/>
                <w:lang w:val="en-US" w:eastAsia="mk-MK"/>
              </w:rPr>
              <w:t>= B</w:t>
            </w:r>
          </w:p>
        </w:tc>
        <w:tc>
          <w:tcPr>
            <w:tcW w:w="1506" w:type="dxa"/>
            <w:gridSpan w:val="3"/>
            <w:shd w:val="clear" w:color="000000" w:fill="FFFF99"/>
            <w:vAlign w:val="center"/>
            <w:hideMark/>
          </w:tcPr>
          <w:p w14:paraId="2217E479" w14:textId="710D742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r w:rsidR="00407B01">
              <w:rPr>
                <w:rFonts w:ascii="Arial" w:eastAsia="Times New Roman" w:hAnsi="Arial" w:cs="Arial"/>
                <w:b/>
                <w:bCs/>
                <w:sz w:val="12"/>
                <w:szCs w:val="12"/>
                <w:lang w:val="en-US" w:eastAsia="mk-MK"/>
              </w:rPr>
              <w:t>/</w:t>
            </w:r>
          </w:p>
        </w:tc>
      </w:tr>
      <w:tr w:rsidR="00485BAA" w:rsidRPr="008C761D" w14:paraId="74BF3659" w14:textId="77777777" w:rsidTr="003F623B">
        <w:trPr>
          <w:gridBefore w:val="1"/>
          <w:gridAfter w:val="1"/>
          <w:wBefore w:w="17" w:type="dxa"/>
          <w:wAfter w:w="180" w:type="dxa"/>
          <w:trHeight w:val="241"/>
          <w:jc w:val="center"/>
        </w:trPr>
        <w:tc>
          <w:tcPr>
            <w:tcW w:w="2368" w:type="dxa"/>
            <w:gridSpan w:val="6"/>
            <w:vMerge/>
            <w:tcBorders>
              <w:top w:val="nil"/>
              <w:left w:val="nil"/>
              <w:bottom w:val="nil"/>
              <w:right w:val="single" w:sz="8" w:space="0" w:color="000000"/>
            </w:tcBorders>
            <w:vAlign w:val="center"/>
            <w:hideMark/>
          </w:tcPr>
          <w:p w14:paraId="0E66691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9DA689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1AEACBB6" w14:textId="2755D78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3C95C5B5" w14:textId="6AADC46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58CE7A42" w14:textId="2CFC6B5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0435171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03C36A0F" w14:textId="62E80872"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F1D3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AC8645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1EF5D4C" w14:textId="77777777" w:rsidTr="003F623B">
        <w:trPr>
          <w:gridBefore w:val="1"/>
          <w:gridAfter w:val="1"/>
          <w:wBefore w:w="17" w:type="dxa"/>
          <w:wAfter w:w="180" w:type="dxa"/>
          <w:trHeight w:val="826"/>
          <w:jc w:val="center"/>
        </w:trPr>
        <w:tc>
          <w:tcPr>
            <w:tcW w:w="2368" w:type="dxa"/>
            <w:gridSpan w:val="6"/>
            <w:vMerge/>
            <w:tcBorders>
              <w:top w:val="nil"/>
              <w:left w:val="nil"/>
              <w:bottom w:val="nil"/>
              <w:right w:val="single" w:sz="8" w:space="0" w:color="000000"/>
            </w:tcBorders>
            <w:vAlign w:val="center"/>
            <w:hideMark/>
          </w:tcPr>
          <w:p w14:paraId="6694EA3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000000" w:fill="FFFF99"/>
            <w:vAlign w:val="center"/>
            <w:hideMark/>
          </w:tcPr>
          <w:p w14:paraId="79E94F5C" w14:textId="1265F5DF" w:rsidR="00485BAA" w:rsidRPr="008C761D" w:rsidRDefault="005F1D37"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Putting in place an effective data sharing arrangement</w:t>
            </w:r>
          </w:p>
        </w:tc>
        <w:tc>
          <w:tcPr>
            <w:tcW w:w="1194" w:type="dxa"/>
            <w:gridSpan w:val="3"/>
            <w:tcBorders>
              <w:bottom w:val="single" w:sz="8" w:space="0" w:color="000000"/>
            </w:tcBorders>
            <w:shd w:val="clear" w:color="000000" w:fill="FFFF99"/>
            <w:vAlign w:val="center"/>
            <w:hideMark/>
          </w:tcPr>
          <w:p w14:paraId="06967C67" w14:textId="6A5C2A12"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9B5409"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813A99" w:rsidRPr="008C761D">
              <w:rPr>
                <w:rFonts w:ascii="Arial" w:eastAsia="Times New Roman" w:hAnsi="Arial" w:cs="Arial"/>
                <w:sz w:val="12"/>
                <w:szCs w:val="12"/>
                <w:lang w:val="en-US" w:eastAsia="mk-MK"/>
              </w:rPr>
              <w:t>5</w:t>
            </w:r>
          </w:p>
        </w:tc>
        <w:tc>
          <w:tcPr>
            <w:tcW w:w="1418" w:type="dxa"/>
            <w:gridSpan w:val="2"/>
            <w:tcBorders>
              <w:bottom w:val="single" w:sz="8" w:space="0" w:color="000000"/>
            </w:tcBorders>
            <w:shd w:val="clear" w:color="000000" w:fill="FFFF99"/>
            <w:vAlign w:val="center"/>
            <w:hideMark/>
          </w:tcPr>
          <w:p w14:paraId="562F382F" w14:textId="2E9B92CA" w:rsidR="00485BAA" w:rsidRPr="008C761D" w:rsidRDefault="000E21C1" w:rsidP="00482A8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Economic Policy and Development Department</w:t>
            </w:r>
            <w:r w:rsidRPr="008C761D" w:rsidDel="000E21C1">
              <w:rPr>
                <w:rFonts w:ascii="Arial" w:eastAsia="Times New Roman" w:hAnsi="Arial" w:cs="Arial"/>
                <w:sz w:val="12"/>
                <w:szCs w:val="12"/>
                <w:lang w:val="en-US" w:eastAsia="mk-MK"/>
              </w:rPr>
              <w:t xml:space="preserve"> </w:t>
            </w:r>
            <w:r w:rsidR="00813A99" w:rsidRPr="008C761D">
              <w:rPr>
                <w:rFonts w:ascii="Arial" w:eastAsia="Times New Roman" w:hAnsi="Arial" w:cs="Arial"/>
                <w:sz w:val="12"/>
                <w:szCs w:val="12"/>
                <w:lang w:val="en-US" w:eastAsia="mk-MK"/>
              </w:rPr>
              <w:t>and Fiscal Council</w:t>
            </w:r>
          </w:p>
        </w:tc>
        <w:tc>
          <w:tcPr>
            <w:tcW w:w="1644" w:type="dxa"/>
            <w:gridSpan w:val="3"/>
            <w:tcBorders>
              <w:bottom w:val="single" w:sz="8" w:space="0" w:color="000000"/>
            </w:tcBorders>
            <w:shd w:val="clear" w:color="000000" w:fill="FFFF99"/>
            <w:vAlign w:val="center"/>
            <w:hideMark/>
          </w:tcPr>
          <w:p w14:paraId="6C8B48D3" w14:textId="2FD8D8A8" w:rsidR="00485BAA" w:rsidRPr="008C761D" w:rsidRDefault="005F1D3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 of the Republic of North Macedonia, Fiscal Council (MANU, NBRNM, State Audit Office)</w:t>
            </w:r>
          </w:p>
        </w:tc>
        <w:tc>
          <w:tcPr>
            <w:tcW w:w="1758" w:type="dxa"/>
            <w:gridSpan w:val="2"/>
            <w:tcBorders>
              <w:bottom w:val="single" w:sz="8" w:space="0" w:color="000000"/>
            </w:tcBorders>
            <w:shd w:val="clear" w:color="000000" w:fill="FFFF99"/>
            <w:vAlign w:val="center"/>
            <w:hideMark/>
          </w:tcPr>
          <w:p w14:paraId="3675BA1E"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485BAA" w:rsidRPr="008C761D">
              <w:rPr>
                <w:rFonts w:ascii="Arial" w:eastAsia="Times New Roman" w:hAnsi="Arial" w:cs="Arial"/>
                <w:sz w:val="12"/>
                <w:szCs w:val="12"/>
                <w:lang w:val="en-US" w:eastAsia="mk-MK"/>
              </w:rPr>
              <w:t xml:space="preserve">0,000 </w:t>
            </w:r>
          </w:p>
        </w:tc>
        <w:tc>
          <w:tcPr>
            <w:tcW w:w="1842" w:type="dxa"/>
            <w:gridSpan w:val="3"/>
            <w:shd w:val="clear" w:color="000000" w:fill="FFFF99"/>
            <w:vAlign w:val="center"/>
            <w:hideMark/>
          </w:tcPr>
          <w:p w14:paraId="5D71E74A" w14:textId="77777777" w:rsidR="00485BAA" w:rsidRPr="008C761D" w:rsidRDefault="009B540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WB, EU</w:t>
            </w:r>
          </w:p>
        </w:tc>
        <w:tc>
          <w:tcPr>
            <w:tcW w:w="1506" w:type="dxa"/>
            <w:gridSpan w:val="3"/>
            <w:shd w:val="clear" w:color="000000" w:fill="FFFF99"/>
            <w:vAlign w:val="center"/>
            <w:hideMark/>
          </w:tcPr>
          <w:p w14:paraId="75C2EC47" w14:textId="61B1405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813A99" w:rsidRPr="008C761D" w14:paraId="13AFDB26" w14:textId="77777777" w:rsidTr="003F623B">
        <w:trPr>
          <w:gridBefore w:val="1"/>
          <w:gridAfter w:val="1"/>
          <w:wBefore w:w="17" w:type="dxa"/>
          <w:wAfter w:w="180" w:type="dxa"/>
          <w:trHeight w:val="301"/>
          <w:jc w:val="center"/>
        </w:trPr>
        <w:tc>
          <w:tcPr>
            <w:tcW w:w="2368" w:type="dxa"/>
            <w:gridSpan w:val="6"/>
            <w:vMerge/>
            <w:tcBorders>
              <w:top w:val="nil"/>
              <w:left w:val="nil"/>
              <w:bottom w:val="nil"/>
              <w:right w:val="single" w:sz="8" w:space="0" w:color="000000"/>
            </w:tcBorders>
            <w:vAlign w:val="center"/>
            <w:hideMark/>
          </w:tcPr>
          <w:p w14:paraId="66DB100A" w14:textId="77777777" w:rsidR="00813A99" w:rsidRPr="008C761D" w:rsidRDefault="00813A99" w:rsidP="00485BAA">
            <w:pPr>
              <w:spacing w:after="0" w:line="240" w:lineRule="auto"/>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7D032AE4" w14:textId="39B4AAB4" w:rsidR="00813A99" w:rsidRPr="008C761D" w:rsidRDefault="00813A9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Building administrative capacity</w:t>
            </w:r>
          </w:p>
        </w:tc>
        <w:tc>
          <w:tcPr>
            <w:tcW w:w="1194" w:type="dxa"/>
            <w:gridSpan w:val="3"/>
            <w:vMerge w:val="restart"/>
            <w:shd w:val="clear" w:color="000000" w:fill="FFFF99"/>
            <w:vAlign w:val="center"/>
            <w:hideMark/>
          </w:tcPr>
          <w:p w14:paraId="7D91762B" w14:textId="77777777"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2024-2026</w:t>
            </w:r>
          </w:p>
        </w:tc>
        <w:tc>
          <w:tcPr>
            <w:tcW w:w="1418" w:type="dxa"/>
            <w:gridSpan w:val="2"/>
            <w:vMerge w:val="restart"/>
            <w:shd w:val="clear" w:color="000000" w:fill="FFFF99"/>
            <w:vAlign w:val="center"/>
            <w:hideMark/>
          </w:tcPr>
          <w:p w14:paraId="506F4DE0" w14:textId="44BD6ED8"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Fiscal Council, </w:t>
            </w:r>
          </w:p>
        </w:tc>
        <w:tc>
          <w:tcPr>
            <w:tcW w:w="1644" w:type="dxa"/>
            <w:gridSpan w:val="3"/>
            <w:vMerge w:val="restart"/>
            <w:shd w:val="clear" w:color="000000" w:fill="FFFF99"/>
            <w:vAlign w:val="center"/>
            <w:hideMark/>
          </w:tcPr>
          <w:p w14:paraId="590B66C3" w14:textId="09B36D71"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 of Finance, Assembly of the Republic of North Macedonia, MANU, NBRNM, State Audit Office</w:t>
            </w:r>
          </w:p>
        </w:tc>
        <w:tc>
          <w:tcPr>
            <w:tcW w:w="1758" w:type="dxa"/>
            <w:gridSpan w:val="2"/>
            <w:vMerge w:val="restart"/>
            <w:shd w:val="clear" w:color="000000" w:fill="FFFF99"/>
            <w:vAlign w:val="center"/>
            <w:hideMark/>
          </w:tcPr>
          <w:p w14:paraId="25AA9C1A" w14:textId="458A7814" w:rsidR="00813A99" w:rsidRPr="008C761D" w:rsidRDefault="00813A99" w:rsidP="00813A99">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280,000</w:t>
            </w:r>
          </w:p>
          <w:p w14:paraId="25721F42" w14:textId="0D201523" w:rsidR="00813A99" w:rsidRPr="008C761D" w:rsidRDefault="00813A99" w:rsidP="00485BAA">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2625E758" w14:textId="6C70781F" w:rsidR="00813A99" w:rsidRPr="008C761D" w:rsidRDefault="00404D96" w:rsidP="00485BAA">
            <w:pPr>
              <w:spacing w:after="24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 Budget</w:t>
            </w:r>
          </w:p>
        </w:tc>
        <w:tc>
          <w:tcPr>
            <w:tcW w:w="1506" w:type="dxa"/>
            <w:gridSpan w:val="3"/>
            <w:vMerge w:val="restart"/>
            <w:shd w:val="clear" w:color="000000" w:fill="FFFF99"/>
            <w:vAlign w:val="center"/>
            <w:hideMark/>
          </w:tcPr>
          <w:p w14:paraId="1728CF92" w14:textId="4BD912C0"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813A99" w:rsidRPr="008C761D" w14:paraId="3B0E6375" w14:textId="77777777" w:rsidTr="003F623B">
        <w:trPr>
          <w:gridBefore w:val="1"/>
          <w:gridAfter w:val="1"/>
          <w:wBefore w:w="17" w:type="dxa"/>
          <w:wAfter w:w="180" w:type="dxa"/>
          <w:trHeight w:val="754"/>
          <w:jc w:val="center"/>
        </w:trPr>
        <w:tc>
          <w:tcPr>
            <w:tcW w:w="1288" w:type="dxa"/>
            <w:gridSpan w:val="3"/>
            <w:tcBorders>
              <w:top w:val="nil"/>
              <w:left w:val="nil"/>
              <w:bottom w:val="nil"/>
              <w:right w:val="nil"/>
            </w:tcBorders>
            <w:shd w:val="clear" w:color="000000" w:fill="FFFFFF"/>
            <w:vAlign w:val="center"/>
            <w:hideMark/>
          </w:tcPr>
          <w:p w14:paraId="5C7702BD" w14:textId="77777777"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000000" w:fill="FFFFFF"/>
            <w:vAlign w:val="center"/>
            <w:hideMark/>
          </w:tcPr>
          <w:p w14:paraId="5CB106DE" w14:textId="77777777" w:rsidR="00813A99" w:rsidRPr="008C761D" w:rsidRDefault="00813A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vMerge/>
            <w:tcBorders>
              <w:left w:val="single" w:sz="8" w:space="0" w:color="000000"/>
            </w:tcBorders>
            <w:vAlign w:val="center"/>
            <w:hideMark/>
          </w:tcPr>
          <w:p w14:paraId="0E61564E" w14:textId="77777777" w:rsidR="00813A99" w:rsidRPr="008C761D" w:rsidRDefault="00813A99"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4738B824" w14:textId="77777777" w:rsidR="00813A99" w:rsidRPr="008C761D" w:rsidRDefault="00813A99"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65FD13B1" w14:textId="77777777" w:rsidR="00813A99" w:rsidRPr="008C761D" w:rsidRDefault="00813A99"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38E96C9B" w14:textId="77777777" w:rsidR="00813A99" w:rsidRPr="008C761D" w:rsidRDefault="00813A99" w:rsidP="00485BAA">
            <w:pPr>
              <w:spacing w:after="0" w:line="240" w:lineRule="auto"/>
              <w:rPr>
                <w:rFonts w:ascii="Arial" w:eastAsia="Times New Roman" w:hAnsi="Arial" w:cs="Arial"/>
                <w:sz w:val="12"/>
                <w:szCs w:val="12"/>
                <w:lang w:val="en-US" w:eastAsia="mk-MK"/>
              </w:rPr>
            </w:pPr>
          </w:p>
        </w:tc>
        <w:tc>
          <w:tcPr>
            <w:tcW w:w="1758" w:type="dxa"/>
            <w:gridSpan w:val="2"/>
            <w:vMerge/>
            <w:shd w:val="clear" w:color="000000" w:fill="FFFF99"/>
            <w:vAlign w:val="center"/>
            <w:hideMark/>
          </w:tcPr>
          <w:p w14:paraId="6DF84116" w14:textId="5F359539" w:rsidR="00813A99" w:rsidRPr="008C761D" w:rsidRDefault="00813A99" w:rsidP="00485BAA">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hideMark/>
          </w:tcPr>
          <w:p w14:paraId="67E5CD78" w14:textId="6C2D675D" w:rsidR="00813A99" w:rsidRPr="008C761D" w:rsidRDefault="00813A99" w:rsidP="00485BAA">
            <w:pPr>
              <w:spacing w:after="0" w:line="240" w:lineRule="auto"/>
              <w:jc w:val="center"/>
              <w:rPr>
                <w:rFonts w:ascii="Arial" w:eastAsia="Times New Roman" w:hAnsi="Arial" w:cs="Arial"/>
                <w:sz w:val="12"/>
                <w:szCs w:val="12"/>
                <w:lang w:val="en-US" w:eastAsia="mk-MK"/>
              </w:rPr>
            </w:pPr>
          </w:p>
        </w:tc>
        <w:tc>
          <w:tcPr>
            <w:tcW w:w="1506" w:type="dxa"/>
            <w:gridSpan w:val="3"/>
            <w:vMerge/>
            <w:vAlign w:val="center"/>
            <w:hideMark/>
          </w:tcPr>
          <w:p w14:paraId="760864C2" w14:textId="77777777" w:rsidR="00813A99" w:rsidRPr="008C761D" w:rsidRDefault="00813A99" w:rsidP="00485BAA">
            <w:pPr>
              <w:spacing w:after="0" w:line="240" w:lineRule="auto"/>
              <w:rPr>
                <w:rFonts w:ascii="Arial" w:eastAsia="Times New Roman" w:hAnsi="Arial" w:cs="Arial"/>
                <w:sz w:val="12"/>
                <w:szCs w:val="12"/>
                <w:lang w:val="en-US" w:eastAsia="mk-MK"/>
              </w:rPr>
            </w:pPr>
          </w:p>
        </w:tc>
      </w:tr>
      <w:tr w:rsidR="00485BAA" w:rsidRPr="008C761D" w14:paraId="51EFD831" w14:textId="77777777" w:rsidTr="003F623B">
        <w:trPr>
          <w:gridBefore w:val="1"/>
          <w:gridAfter w:val="1"/>
          <w:wBefore w:w="17" w:type="dxa"/>
          <w:wAfter w:w="180" w:type="dxa"/>
          <w:trHeight w:val="358"/>
          <w:jc w:val="center"/>
        </w:trPr>
        <w:tc>
          <w:tcPr>
            <w:tcW w:w="13501" w:type="dxa"/>
            <w:gridSpan w:val="25"/>
            <w:shd w:val="clear" w:color="000000" w:fill="1F3864"/>
            <w:vAlign w:val="center"/>
            <w:hideMark/>
          </w:tcPr>
          <w:p w14:paraId="320A5872" w14:textId="45226A37"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w:t>
            </w:r>
            <w:r w:rsidR="001A1627">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 xml:space="preserve"> Economic</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Analysis, Macroeconomic</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Fiscal</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Framework</w:t>
            </w:r>
          </w:p>
        </w:tc>
      </w:tr>
      <w:tr w:rsidR="00485BAA" w:rsidRPr="008C761D" w14:paraId="0221F7E4" w14:textId="77777777" w:rsidTr="003F623B">
        <w:trPr>
          <w:gridBefore w:val="1"/>
          <w:gridAfter w:val="1"/>
          <w:wBefore w:w="17" w:type="dxa"/>
          <w:wAfter w:w="180" w:type="dxa"/>
          <w:trHeight w:val="286"/>
          <w:jc w:val="center"/>
        </w:trPr>
        <w:tc>
          <w:tcPr>
            <w:tcW w:w="13501" w:type="dxa"/>
            <w:gridSpan w:val="25"/>
            <w:shd w:val="clear" w:color="000000" w:fill="1F3864"/>
            <w:vAlign w:val="center"/>
            <w:hideMark/>
          </w:tcPr>
          <w:p w14:paraId="7945B447" w14:textId="5B8C47AE"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lastRenderedPageBreak/>
              <w:t>PRIORITY 3</w:t>
            </w:r>
            <w:r w:rsidR="001A1627">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Strengthening</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Debt</w:t>
            </w:r>
            <w:r w:rsidR="009D583D"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management</w:t>
            </w:r>
          </w:p>
        </w:tc>
      </w:tr>
      <w:tr w:rsidR="00485BAA" w:rsidRPr="008C761D" w14:paraId="4B7B1C32" w14:textId="77777777" w:rsidTr="003F623B">
        <w:trPr>
          <w:gridBefore w:val="1"/>
          <w:gridAfter w:val="1"/>
          <w:wBefore w:w="17" w:type="dxa"/>
          <w:wAfter w:w="180" w:type="dxa"/>
          <w:trHeight w:val="315"/>
          <w:jc w:val="center"/>
        </w:trPr>
        <w:tc>
          <w:tcPr>
            <w:tcW w:w="2368" w:type="dxa"/>
            <w:gridSpan w:val="6"/>
            <w:shd w:val="clear" w:color="000000" w:fill="9BD2ED"/>
            <w:vAlign w:val="center"/>
            <w:hideMark/>
          </w:tcPr>
          <w:p w14:paraId="6C2F8F1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77922898" w14:textId="2F09F5D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3D2C5710" w14:textId="2C28CC4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914E6C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E1208"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61E6B56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AC9874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057B9B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07C4BF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7</w:t>
            </w:r>
          </w:p>
        </w:tc>
      </w:tr>
      <w:tr w:rsidR="007E06BA" w:rsidRPr="008C761D" w14:paraId="0CEA1210" w14:textId="77777777" w:rsidTr="003F623B">
        <w:trPr>
          <w:gridBefore w:val="1"/>
          <w:gridAfter w:val="1"/>
          <w:wBefore w:w="17" w:type="dxa"/>
          <w:wAfter w:w="180" w:type="dxa"/>
          <w:trHeight w:val="880"/>
          <w:jc w:val="center"/>
        </w:trPr>
        <w:tc>
          <w:tcPr>
            <w:tcW w:w="2368" w:type="dxa"/>
            <w:gridSpan w:val="6"/>
            <w:shd w:val="clear" w:color="000000" w:fill="FFFF99"/>
            <w:vAlign w:val="center"/>
            <w:hideMark/>
          </w:tcPr>
          <w:p w14:paraId="4CF57F5B" w14:textId="5142CF61" w:rsidR="007E06BA" w:rsidRPr="008C761D" w:rsidRDefault="009D583D"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Strengthened public debt management.</w:t>
            </w:r>
          </w:p>
        </w:tc>
        <w:tc>
          <w:tcPr>
            <w:tcW w:w="1771" w:type="dxa"/>
            <w:gridSpan w:val="3"/>
            <w:shd w:val="clear" w:color="000000" w:fill="FFFF99"/>
            <w:vAlign w:val="center"/>
            <w:hideMark/>
          </w:tcPr>
          <w:p w14:paraId="65B5BEF9" w14:textId="77777777" w:rsidR="009D583D" w:rsidRPr="008C761D" w:rsidRDefault="009D583D" w:rsidP="009D583D">
            <w:pPr>
              <w:spacing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Increased grade for the indicator 6.4.1 - Quality of public debt management in SIGMA report.</w:t>
            </w:r>
          </w:p>
          <w:p w14:paraId="51BF4970" w14:textId="77777777" w:rsidR="007E06BA" w:rsidRPr="008C761D" w:rsidRDefault="007E06B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32712B0D" w14:textId="77777777" w:rsidR="007E06BA" w:rsidRPr="008C761D" w:rsidRDefault="007E06B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SIGMA report</w:t>
            </w:r>
          </w:p>
        </w:tc>
        <w:tc>
          <w:tcPr>
            <w:tcW w:w="1418" w:type="dxa"/>
            <w:gridSpan w:val="2"/>
            <w:shd w:val="clear" w:color="000000" w:fill="FFFF99"/>
            <w:vAlign w:val="center"/>
            <w:hideMark/>
          </w:tcPr>
          <w:p w14:paraId="3A8D5D1A" w14:textId="4917A975" w:rsidR="007E06BA" w:rsidRPr="008C761D" w:rsidRDefault="009D583D"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SIGMA grade for quality of public debt management is 3</w:t>
            </w:r>
          </w:p>
        </w:tc>
        <w:tc>
          <w:tcPr>
            <w:tcW w:w="1644" w:type="dxa"/>
            <w:gridSpan w:val="3"/>
            <w:shd w:val="clear" w:color="000000" w:fill="FFFF99"/>
            <w:vAlign w:val="center"/>
            <w:hideMark/>
          </w:tcPr>
          <w:p w14:paraId="5C397DF1" w14:textId="73D7A857" w:rsidR="007E06BA" w:rsidRPr="008C761D" w:rsidRDefault="007E06BA" w:rsidP="00407B01">
            <w:pPr>
              <w:spacing w:after="0" w:line="240" w:lineRule="auto"/>
              <w:jc w:val="center"/>
              <w:rPr>
                <w:rFonts w:ascii="Arial" w:eastAsia="Times New Roman" w:hAnsi="Arial" w:cs="Arial"/>
                <w:sz w:val="12"/>
                <w:szCs w:val="12"/>
                <w:lang w:val="en-US" w:eastAsia="mk-MK"/>
              </w:rPr>
            </w:pPr>
          </w:p>
          <w:p w14:paraId="24A17C0A" w14:textId="33620406" w:rsidR="007E06B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62205E47" w14:textId="52411BBE" w:rsidR="007E06BA" w:rsidRPr="008C761D" w:rsidRDefault="007E06BA" w:rsidP="00407B01">
            <w:pPr>
              <w:spacing w:after="0" w:line="240" w:lineRule="auto"/>
              <w:jc w:val="center"/>
              <w:rPr>
                <w:rFonts w:ascii="Arial" w:eastAsia="Times New Roman" w:hAnsi="Arial" w:cs="Arial"/>
                <w:sz w:val="12"/>
                <w:szCs w:val="12"/>
                <w:lang w:val="en-US" w:eastAsia="mk-MK"/>
              </w:rPr>
            </w:pPr>
          </w:p>
          <w:p w14:paraId="0ECDB10C" w14:textId="26D21F64" w:rsidR="007E06B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040DD861" w14:textId="660B1139" w:rsidR="007E06B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2232AB80" w14:textId="664D14FB" w:rsidR="007E06BA" w:rsidRPr="008C761D" w:rsidRDefault="009D583D"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Improvement of the indicator in the SIGMA report for risk mitigation in the stock of public debt</w:t>
            </w:r>
          </w:p>
        </w:tc>
      </w:tr>
      <w:tr w:rsidR="00485BAA" w:rsidRPr="008C761D" w14:paraId="0F84323D" w14:textId="77777777" w:rsidTr="003F623B">
        <w:trPr>
          <w:gridBefore w:val="1"/>
          <w:gridAfter w:val="1"/>
          <w:wBefore w:w="17" w:type="dxa"/>
          <w:wAfter w:w="180" w:type="dxa"/>
          <w:trHeight w:val="223"/>
          <w:jc w:val="center"/>
        </w:trPr>
        <w:tc>
          <w:tcPr>
            <w:tcW w:w="13501" w:type="dxa"/>
            <w:gridSpan w:val="25"/>
            <w:shd w:val="clear" w:color="000000" w:fill="9BD2ED"/>
            <w:vAlign w:val="center"/>
            <w:hideMark/>
          </w:tcPr>
          <w:p w14:paraId="0AC3AB02" w14:textId="6994B4CD"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2D2080">
              <w:rPr>
                <w:rFonts w:ascii="Arial" w:eastAsia="Times New Roman" w:hAnsi="Arial" w:cs="Arial"/>
                <w:b/>
                <w:bCs/>
                <w:sz w:val="12"/>
                <w:szCs w:val="12"/>
                <w:lang w:eastAsia="mk-MK"/>
              </w:rPr>
              <w:t>.</w:t>
            </w:r>
            <w:r w:rsidRPr="008C761D">
              <w:rPr>
                <w:rFonts w:ascii="Arial" w:eastAsia="Times New Roman" w:hAnsi="Arial" w:cs="Arial"/>
                <w:b/>
                <w:bCs/>
                <w:sz w:val="12"/>
                <w:szCs w:val="12"/>
                <w:lang w:val="en-US" w:eastAsia="mk-MK"/>
              </w:rPr>
              <w:t xml:space="preserve"> Reducing</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operational</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risks</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at</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public</w:t>
            </w:r>
            <w:r w:rsidR="009D583D"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debt</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management</w:t>
            </w:r>
          </w:p>
        </w:tc>
      </w:tr>
      <w:tr w:rsidR="00485BAA" w:rsidRPr="008C761D" w14:paraId="70142DBB" w14:textId="77777777" w:rsidTr="003F623B">
        <w:trPr>
          <w:gridBefore w:val="1"/>
          <w:gridAfter w:val="1"/>
          <w:wBefore w:w="17" w:type="dxa"/>
          <w:wAfter w:w="180" w:type="dxa"/>
          <w:trHeight w:val="229"/>
          <w:jc w:val="center"/>
        </w:trPr>
        <w:tc>
          <w:tcPr>
            <w:tcW w:w="1288" w:type="dxa"/>
            <w:gridSpan w:val="3"/>
            <w:tcBorders>
              <w:top w:val="nil"/>
              <w:left w:val="nil"/>
              <w:bottom w:val="nil"/>
              <w:right w:val="nil"/>
            </w:tcBorders>
            <w:shd w:val="clear" w:color="000000" w:fill="FFFFFF"/>
            <w:vAlign w:val="center"/>
            <w:hideMark/>
          </w:tcPr>
          <w:p w14:paraId="5D87FEB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454380E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49B60B1E" w14:textId="26F4953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7D563E0" w14:textId="100DBD2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0656A6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E1208"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DAEFB8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CF55B2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BB6532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CA138F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7</w:t>
            </w:r>
          </w:p>
        </w:tc>
      </w:tr>
      <w:tr w:rsidR="00485BAA" w:rsidRPr="008C761D" w14:paraId="161729A9" w14:textId="77777777" w:rsidTr="003F623B">
        <w:trPr>
          <w:gridBefore w:val="1"/>
          <w:gridAfter w:val="1"/>
          <w:wBefore w:w="17" w:type="dxa"/>
          <w:wAfter w:w="180" w:type="dxa"/>
          <w:trHeight w:val="443"/>
          <w:jc w:val="center"/>
        </w:trPr>
        <w:tc>
          <w:tcPr>
            <w:tcW w:w="1288" w:type="dxa"/>
            <w:gridSpan w:val="3"/>
            <w:tcBorders>
              <w:top w:val="nil"/>
              <w:left w:val="nil"/>
              <w:bottom w:val="nil"/>
              <w:right w:val="nil"/>
            </w:tcBorders>
            <w:shd w:val="clear" w:color="000000" w:fill="FFFFFF"/>
            <w:vAlign w:val="center"/>
            <w:hideMark/>
          </w:tcPr>
          <w:p w14:paraId="512B476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045E5C8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310B6C2" w14:textId="79CCC5BB" w:rsidR="00485BAA" w:rsidRPr="008C761D" w:rsidRDefault="00B25CB1"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external debt orders paid electronically</w:t>
            </w:r>
          </w:p>
        </w:tc>
        <w:tc>
          <w:tcPr>
            <w:tcW w:w="1194" w:type="dxa"/>
            <w:gridSpan w:val="3"/>
            <w:shd w:val="clear" w:color="000000" w:fill="FFFF99"/>
            <w:vAlign w:val="center"/>
            <w:hideMark/>
          </w:tcPr>
          <w:p w14:paraId="233FF2C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418" w:type="dxa"/>
            <w:gridSpan w:val="2"/>
            <w:shd w:val="clear" w:color="000000" w:fill="FFFF99"/>
            <w:vAlign w:val="center"/>
            <w:hideMark/>
          </w:tcPr>
          <w:p w14:paraId="6751FFB4" w14:textId="19BBDD85"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 of external debt orders to be realized electronically</w:t>
            </w:r>
          </w:p>
        </w:tc>
        <w:tc>
          <w:tcPr>
            <w:tcW w:w="1644" w:type="dxa"/>
            <w:gridSpan w:val="3"/>
            <w:shd w:val="clear" w:color="000000" w:fill="FFFF99"/>
            <w:vAlign w:val="center"/>
            <w:hideMark/>
          </w:tcPr>
          <w:p w14:paraId="4FCB91CD" w14:textId="6B6E5896"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 of external debt orders to be realized electronically</w:t>
            </w:r>
          </w:p>
        </w:tc>
        <w:tc>
          <w:tcPr>
            <w:tcW w:w="1758" w:type="dxa"/>
            <w:gridSpan w:val="2"/>
            <w:shd w:val="clear" w:color="000000" w:fill="FFFF99"/>
            <w:vAlign w:val="center"/>
            <w:hideMark/>
          </w:tcPr>
          <w:p w14:paraId="4FA55783" w14:textId="7107854B"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 of external debt orders to be realized electronically</w:t>
            </w:r>
          </w:p>
        </w:tc>
        <w:tc>
          <w:tcPr>
            <w:tcW w:w="1842" w:type="dxa"/>
            <w:gridSpan w:val="3"/>
            <w:shd w:val="clear" w:color="000000" w:fill="FFFF99"/>
            <w:vAlign w:val="center"/>
            <w:hideMark/>
          </w:tcPr>
          <w:p w14:paraId="151B27F7" w14:textId="51A0A600"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4DD8ED5F" w14:textId="1B0D363A"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3E49B849" w14:textId="77777777" w:rsidTr="003F623B">
        <w:trPr>
          <w:gridBefore w:val="1"/>
          <w:gridAfter w:val="1"/>
          <w:wBefore w:w="17" w:type="dxa"/>
          <w:wAfter w:w="180" w:type="dxa"/>
          <w:trHeight w:val="407"/>
          <w:jc w:val="center"/>
        </w:trPr>
        <w:tc>
          <w:tcPr>
            <w:tcW w:w="1288" w:type="dxa"/>
            <w:gridSpan w:val="3"/>
            <w:tcBorders>
              <w:top w:val="nil"/>
              <w:left w:val="nil"/>
              <w:bottom w:val="nil"/>
              <w:right w:val="nil"/>
            </w:tcBorders>
            <w:shd w:val="clear" w:color="000000" w:fill="FFFFFF"/>
            <w:vAlign w:val="center"/>
            <w:hideMark/>
          </w:tcPr>
          <w:p w14:paraId="11A5EB3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253CBCD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625A8F3" w14:textId="2798AD68" w:rsidR="00485BAA" w:rsidRPr="008C761D" w:rsidRDefault="00B25CB1"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Increased number of employees responsible for public debt management</w:t>
            </w:r>
          </w:p>
        </w:tc>
        <w:tc>
          <w:tcPr>
            <w:tcW w:w="1194" w:type="dxa"/>
            <w:gridSpan w:val="3"/>
            <w:shd w:val="clear" w:color="000000" w:fill="FFFF99"/>
            <w:vAlign w:val="center"/>
            <w:hideMark/>
          </w:tcPr>
          <w:p w14:paraId="0DCF3D2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418" w:type="dxa"/>
            <w:gridSpan w:val="2"/>
            <w:shd w:val="clear" w:color="000000" w:fill="FFFF99"/>
            <w:vAlign w:val="center"/>
            <w:hideMark/>
          </w:tcPr>
          <w:p w14:paraId="6269066F" w14:textId="2E7CFDE8"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14permanent employees for public debt management</w:t>
            </w:r>
          </w:p>
        </w:tc>
        <w:tc>
          <w:tcPr>
            <w:tcW w:w="1644" w:type="dxa"/>
            <w:gridSpan w:val="3"/>
            <w:shd w:val="clear" w:color="000000" w:fill="FFFF99"/>
            <w:vAlign w:val="center"/>
            <w:hideMark/>
          </w:tcPr>
          <w:p w14:paraId="7228BC4B" w14:textId="22DDDE69"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16 employees for public debt management</w:t>
            </w:r>
          </w:p>
        </w:tc>
        <w:tc>
          <w:tcPr>
            <w:tcW w:w="1758" w:type="dxa"/>
            <w:gridSpan w:val="2"/>
            <w:shd w:val="clear" w:color="000000" w:fill="FFFF99"/>
            <w:vAlign w:val="center"/>
            <w:hideMark/>
          </w:tcPr>
          <w:p w14:paraId="1FCC7FA3" w14:textId="3C55F9E9"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17 employees for public debt management</w:t>
            </w:r>
          </w:p>
        </w:tc>
        <w:tc>
          <w:tcPr>
            <w:tcW w:w="1842" w:type="dxa"/>
            <w:gridSpan w:val="3"/>
            <w:shd w:val="clear" w:color="000000" w:fill="FFFF99"/>
            <w:vAlign w:val="center"/>
            <w:hideMark/>
          </w:tcPr>
          <w:p w14:paraId="03494365" w14:textId="5F95DB5A"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18 employees for public debt management</w:t>
            </w:r>
          </w:p>
        </w:tc>
        <w:tc>
          <w:tcPr>
            <w:tcW w:w="1506" w:type="dxa"/>
            <w:gridSpan w:val="3"/>
            <w:shd w:val="clear" w:color="000000" w:fill="FFFF99"/>
            <w:vAlign w:val="center"/>
            <w:hideMark/>
          </w:tcPr>
          <w:p w14:paraId="2CAB2F7E" w14:textId="686D0ECC"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19 employees for public debt management</w:t>
            </w:r>
          </w:p>
        </w:tc>
      </w:tr>
      <w:tr w:rsidR="00485BAA" w:rsidRPr="008C761D" w14:paraId="3F10AA5A" w14:textId="77777777" w:rsidTr="003F623B">
        <w:trPr>
          <w:gridBefore w:val="1"/>
          <w:gridAfter w:val="1"/>
          <w:wBefore w:w="17" w:type="dxa"/>
          <w:wAfter w:w="180" w:type="dxa"/>
          <w:trHeight w:val="540"/>
          <w:jc w:val="center"/>
        </w:trPr>
        <w:tc>
          <w:tcPr>
            <w:tcW w:w="1288" w:type="dxa"/>
            <w:gridSpan w:val="3"/>
            <w:tcBorders>
              <w:top w:val="nil"/>
              <w:left w:val="nil"/>
              <w:bottom w:val="nil"/>
              <w:right w:val="nil"/>
            </w:tcBorders>
            <w:shd w:val="clear" w:color="000000" w:fill="FFFFFF"/>
            <w:vAlign w:val="center"/>
            <w:hideMark/>
          </w:tcPr>
          <w:p w14:paraId="2D2FAC4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18EFE40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60B8CAD" w14:textId="29120B39" w:rsidR="00485BAA" w:rsidRPr="008C761D" w:rsidRDefault="00B25CB1"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Procedure for Quarterly debt reconciliation with foreign creditors</w:t>
            </w:r>
          </w:p>
        </w:tc>
        <w:tc>
          <w:tcPr>
            <w:tcW w:w="1194" w:type="dxa"/>
            <w:gridSpan w:val="3"/>
            <w:shd w:val="clear" w:color="000000" w:fill="FFFF99"/>
            <w:vAlign w:val="center"/>
            <w:hideMark/>
          </w:tcPr>
          <w:p w14:paraId="4420A22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418" w:type="dxa"/>
            <w:gridSpan w:val="2"/>
            <w:shd w:val="clear" w:color="000000" w:fill="FFFF99"/>
            <w:vAlign w:val="center"/>
            <w:hideMark/>
          </w:tcPr>
          <w:p w14:paraId="32F9EC84" w14:textId="4CDBD8CF"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There is no procedure for Quarterly debt reconciliation with foreign creditors</w:t>
            </w:r>
          </w:p>
        </w:tc>
        <w:tc>
          <w:tcPr>
            <w:tcW w:w="1644" w:type="dxa"/>
            <w:gridSpan w:val="3"/>
            <w:shd w:val="clear" w:color="000000" w:fill="FFFF99"/>
            <w:vAlign w:val="center"/>
            <w:hideMark/>
          </w:tcPr>
          <w:p w14:paraId="38F353D4" w14:textId="3D976A75"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B25CB1" w:rsidRPr="008C761D">
              <w:rPr>
                <w:rFonts w:ascii="Arial" w:eastAsia="Times New Roman" w:hAnsi="Arial" w:cs="Arial"/>
                <w:sz w:val="12"/>
                <w:szCs w:val="12"/>
                <w:lang w:val="en-US" w:eastAsia="mk-MK"/>
              </w:rPr>
              <w:t>Adopted procedure for Quarterly debt reconciliation with foreign creditors</w:t>
            </w:r>
          </w:p>
        </w:tc>
        <w:tc>
          <w:tcPr>
            <w:tcW w:w="1758" w:type="dxa"/>
            <w:gridSpan w:val="2"/>
            <w:shd w:val="clear" w:color="000000" w:fill="FFFF99"/>
            <w:vAlign w:val="center"/>
            <w:hideMark/>
          </w:tcPr>
          <w:p w14:paraId="69E3B79E" w14:textId="080021BC"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60080CCD" w14:textId="3D493005" w:rsidR="00485BAA" w:rsidRPr="008C761D" w:rsidRDefault="00B25CB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Adopted procedure for Quarterly debt reconciliation with foreign creditors</w:t>
            </w:r>
          </w:p>
        </w:tc>
        <w:tc>
          <w:tcPr>
            <w:tcW w:w="1506" w:type="dxa"/>
            <w:gridSpan w:val="3"/>
            <w:shd w:val="clear" w:color="000000" w:fill="FFFF99"/>
            <w:vAlign w:val="center"/>
            <w:hideMark/>
          </w:tcPr>
          <w:p w14:paraId="2FDFFD99" w14:textId="081ADD13"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1ED8C161" w14:textId="77777777" w:rsidTr="003F623B">
        <w:trPr>
          <w:gridBefore w:val="1"/>
          <w:gridAfter w:val="1"/>
          <w:wBefore w:w="17" w:type="dxa"/>
          <w:wAfter w:w="180" w:type="dxa"/>
          <w:trHeight w:val="263"/>
          <w:jc w:val="center"/>
        </w:trPr>
        <w:tc>
          <w:tcPr>
            <w:tcW w:w="1288" w:type="dxa"/>
            <w:gridSpan w:val="3"/>
            <w:tcBorders>
              <w:top w:val="nil"/>
              <w:left w:val="nil"/>
              <w:bottom w:val="nil"/>
              <w:right w:val="nil"/>
            </w:tcBorders>
            <w:shd w:val="clear" w:color="000000" w:fill="FFFFFF"/>
            <w:vAlign w:val="center"/>
            <w:hideMark/>
          </w:tcPr>
          <w:p w14:paraId="7D641B6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047B4C8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933AD4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1E8BA5FC" w14:textId="4027DD0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6E6B6D91" w14:textId="147AA56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A573648" w14:textId="316BED4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ECA437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608C22B8" w14:textId="6A5747D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B1CE70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2A82D65" w14:textId="77777777" w:rsidTr="003F623B">
        <w:trPr>
          <w:gridBefore w:val="1"/>
          <w:gridAfter w:val="1"/>
          <w:wBefore w:w="17" w:type="dxa"/>
          <w:wAfter w:w="180" w:type="dxa"/>
          <w:trHeight w:val="384"/>
          <w:jc w:val="center"/>
        </w:trPr>
        <w:tc>
          <w:tcPr>
            <w:tcW w:w="1288" w:type="dxa"/>
            <w:gridSpan w:val="3"/>
            <w:tcBorders>
              <w:top w:val="nil"/>
              <w:left w:val="nil"/>
              <w:bottom w:val="nil"/>
              <w:right w:val="nil"/>
            </w:tcBorders>
            <w:shd w:val="clear" w:color="000000" w:fill="FFFFFF"/>
            <w:vAlign w:val="center"/>
            <w:hideMark/>
          </w:tcPr>
          <w:p w14:paraId="7C7F703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3FFFEC5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81B2FE8" w14:textId="1445DD8E"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Introducing e-banking with NBRNM for external debt repayment</w:t>
            </w:r>
          </w:p>
        </w:tc>
        <w:tc>
          <w:tcPr>
            <w:tcW w:w="1194" w:type="dxa"/>
            <w:gridSpan w:val="3"/>
            <w:shd w:val="clear" w:color="000000" w:fill="FFFF99"/>
            <w:vAlign w:val="center"/>
            <w:hideMark/>
          </w:tcPr>
          <w:p w14:paraId="2609B0B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-2025</w:t>
            </w:r>
          </w:p>
        </w:tc>
        <w:tc>
          <w:tcPr>
            <w:tcW w:w="1418" w:type="dxa"/>
            <w:gridSpan w:val="2"/>
            <w:shd w:val="clear" w:color="000000" w:fill="FFFF99"/>
            <w:vAlign w:val="center"/>
            <w:hideMark/>
          </w:tcPr>
          <w:p w14:paraId="5CCE6494" w14:textId="5A63B5C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431364">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74F56FC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NBRNM</w:t>
            </w:r>
          </w:p>
        </w:tc>
        <w:tc>
          <w:tcPr>
            <w:tcW w:w="1758" w:type="dxa"/>
            <w:gridSpan w:val="2"/>
            <w:shd w:val="clear" w:color="000000" w:fill="FFFF99"/>
            <w:vAlign w:val="center"/>
            <w:hideMark/>
          </w:tcPr>
          <w:p w14:paraId="06CD5832" w14:textId="31047833" w:rsidR="00485BAA"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0EBD2D3D" w14:textId="099FE916"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0A7D440C" w14:textId="4B064D87"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4EE76ACD" w14:textId="77777777" w:rsidTr="003F623B">
        <w:trPr>
          <w:gridBefore w:val="1"/>
          <w:gridAfter w:val="1"/>
          <w:wBefore w:w="17" w:type="dxa"/>
          <w:wAfter w:w="180" w:type="dxa"/>
          <w:trHeight w:val="407"/>
          <w:jc w:val="center"/>
        </w:trPr>
        <w:tc>
          <w:tcPr>
            <w:tcW w:w="1288" w:type="dxa"/>
            <w:gridSpan w:val="3"/>
            <w:tcBorders>
              <w:top w:val="nil"/>
              <w:left w:val="nil"/>
              <w:bottom w:val="nil"/>
              <w:right w:val="nil"/>
            </w:tcBorders>
            <w:shd w:val="clear" w:color="000000" w:fill="FFFFFF"/>
            <w:vAlign w:val="center"/>
            <w:hideMark/>
          </w:tcPr>
          <w:p w14:paraId="08E2358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692CAB4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1B49455" w14:textId="14046B70"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Strengthening public debt management capacities</w:t>
            </w:r>
          </w:p>
        </w:tc>
        <w:tc>
          <w:tcPr>
            <w:tcW w:w="1194" w:type="dxa"/>
            <w:gridSpan w:val="3"/>
            <w:shd w:val="clear" w:color="000000" w:fill="FFFF99"/>
            <w:vAlign w:val="center"/>
            <w:hideMark/>
          </w:tcPr>
          <w:p w14:paraId="37AB7CF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48E5BB6A" w14:textId="215B0BC7" w:rsidR="00485BAA" w:rsidRPr="008C761D" w:rsidRDefault="004313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3053A760" w14:textId="3C94A761"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Agency</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758" w:type="dxa"/>
            <w:gridSpan w:val="2"/>
            <w:shd w:val="clear" w:color="000000" w:fill="FFFF99"/>
            <w:vAlign w:val="center"/>
            <w:hideMark/>
          </w:tcPr>
          <w:p w14:paraId="1448EDDC" w14:textId="77777777" w:rsidR="00485BAA" w:rsidRPr="008C761D" w:rsidRDefault="00485BAA"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124,000</w:t>
            </w:r>
          </w:p>
        </w:tc>
        <w:tc>
          <w:tcPr>
            <w:tcW w:w="1842" w:type="dxa"/>
            <w:gridSpan w:val="3"/>
            <w:shd w:val="clear" w:color="000000" w:fill="FFFF99"/>
            <w:vAlign w:val="center"/>
            <w:hideMark/>
          </w:tcPr>
          <w:p w14:paraId="4CD9DE8C" w14:textId="03706ED0" w:rsidR="00485BAA" w:rsidRPr="008C761D" w:rsidRDefault="00404D9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AE7926" w:rsidRPr="008C761D">
              <w:rPr>
                <w:rFonts w:ascii="Arial" w:eastAsia="Times New Roman" w:hAnsi="Arial" w:cs="Arial"/>
                <w:sz w:val="12"/>
                <w:szCs w:val="12"/>
                <w:lang w:val="en-US" w:eastAsia="mk-MK"/>
              </w:rPr>
              <w:t xml:space="preserve"> budget</w:t>
            </w:r>
          </w:p>
        </w:tc>
        <w:tc>
          <w:tcPr>
            <w:tcW w:w="1506" w:type="dxa"/>
            <w:gridSpan w:val="3"/>
            <w:shd w:val="clear" w:color="000000" w:fill="FFFF99"/>
            <w:vAlign w:val="center"/>
            <w:hideMark/>
          </w:tcPr>
          <w:p w14:paraId="5D3B8197" w14:textId="66CC69DE"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2D99E169" w14:textId="77777777" w:rsidTr="003F623B">
        <w:trPr>
          <w:gridBefore w:val="1"/>
          <w:gridAfter w:val="1"/>
          <w:wBefore w:w="17" w:type="dxa"/>
          <w:wAfter w:w="180" w:type="dxa"/>
          <w:trHeight w:val="399"/>
          <w:jc w:val="center"/>
        </w:trPr>
        <w:tc>
          <w:tcPr>
            <w:tcW w:w="1288" w:type="dxa"/>
            <w:gridSpan w:val="3"/>
            <w:tcBorders>
              <w:top w:val="nil"/>
              <w:left w:val="nil"/>
              <w:bottom w:val="nil"/>
              <w:right w:val="nil"/>
            </w:tcBorders>
            <w:shd w:val="clear" w:color="000000" w:fill="FFFFFF"/>
            <w:vAlign w:val="center"/>
            <w:hideMark/>
          </w:tcPr>
          <w:p w14:paraId="1EF9185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55284BC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5EEE5C9" w14:textId="15B8C9B1"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Reconciling the debt stock with the creditors</w:t>
            </w:r>
          </w:p>
        </w:tc>
        <w:tc>
          <w:tcPr>
            <w:tcW w:w="1194" w:type="dxa"/>
            <w:gridSpan w:val="3"/>
            <w:shd w:val="clear" w:color="000000" w:fill="FFFF99"/>
            <w:vAlign w:val="center"/>
            <w:hideMark/>
          </w:tcPr>
          <w:p w14:paraId="38F20C1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w:t>
            </w:r>
          </w:p>
        </w:tc>
        <w:tc>
          <w:tcPr>
            <w:tcW w:w="1418" w:type="dxa"/>
            <w:gridSpan w:val="2"/>
            <w:shd w:val="clear" w:color="000000" w:fill="FFFF99"/>
            <w:vAlign w:val="center"/>
            <w:hideMark/>
          </w:tcPr>
          <w:p w14:paraId="38C781F0" w14:textId="3CDF9434" w:rsidR="00485BAA" w:rsidRPr="008C761D" w:rsidRDefault="004313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58D0A004" w14:textId="02FAEFB7" w:rsidR="00485BAA" w:rsidRPr="008C761D" w:rsidRDefault="00404D96"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Multilateral, bilateral</w:t>
            </w:r>
            <w:r w:rsidR="00B25CB1"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and</w:t>
            </w:r>
            <w:r w:rsidR="00B25CB1"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private</w:t>
            </w:r>
            <w:r w:rsidR="00B25CB1"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creditors</w:t>
            </w:r>
          </w:p>
        </w:tc>
        <w:tc>
          <w:tcPr>
            <w:tcW w:w="1758" w:type="dxa"/>
            <w:gridSpan w:val="2"/>
            <w:shd w:val="clear" w:color="000000" w:fill="FFFF99"/>
            <w:vAlign w:val="center"/>
            <w:hideMark/>
          </w:tcPr>
          <w:p w14:paraId="56978C66" w14:textId="4CC2E342" w:rsidR="00485BAA"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0EF201D2" w14:textId="0E88CBF0"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753C83D1" w14:textId="7677A39B"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7B145A0B" w14:textId="77777777" w:rsidTr="003F623B">
        <w:trPr>
          <w:gridBefore w:val="1"/>
          <w:gridAfter w:val="1"/>
          <w:wBefore w:w="17" w:type="dxa"/>
          <w:wAfter w:w="180" w:type="dxa"/>
          <w:trHeight w:val="295"/>
          <w:jc w:val="center"/>
        </w:trPr>
        <w:tc>
          <w:tcPr>
            <w:tcW w:w="13501" w:type="dxa"/>
            <w:gridSpan w:val="25"/>
            <w:shd w:val="clear" w:color="000000" w:fill="9BD2ED"/>
            <w:vAlign w:val="center"/>
            <w:hideMark/>
          </w:tcPr>
          <w:p w14:paraId="036955FC" w14:textId="7E4A655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Increasing</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public</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debt</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transparency</w:t>
            </w:r>
          </w:p>
        </w:tc>
      </w:tr>
      <w:tr w:rsidR="00485BAA" w:rsidRPr="008C761D" w14:paraId="691C8731" w14:textId="77777777" w:rsidTr="003F623B">
        <w:trPr>
          <w:gridBefore w:val="1"/>
          <w:gridAfter w:val="1"/>
          <w:wBefore w:w="17" w:type="dxa"/>
          <w:wAfter w:w="180" w:type="dxa"/>
          <w:trHeight w:val="219"/>
          <w:jc w:val="center"/>
        </w:trPr>
        <w:tc>
          <w:tcPr>
            <w:tcW w:w="1288" w:type="dxa"/>
            <w:gridSpan w:val="3"/>
            <w:tcBorders>
              <w:top w:val="nil"/>
              <w:left w:val="nil"/>
              <w:bottom w:val="nil"/>
              <w:right w:val="nil"/>
            </w:tcBorders>
            <w:shd w:val="clear" w:color="000000" w:fill="FFFFFF"/>
            <w:vAlign w:val="center"/>
            <w:hideMark/>
          </w:tcPr>
          <w:p w14:paraId="56CF4C5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69B142B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5058F910" w14:textId="0244FEB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057B674" w14:textId="2BED5F7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FFF393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E1208"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D439C5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5D2CE1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33A1410"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4620885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7</w:t>
            </w:r>
          </w:p>
        </w:tc>
      </w:tr>
      <w:tr w:rsidR="00485BAA" w:rsidRPr="008C761D" w14:paraId="72607258" w14:textId="77777777" w:rsidTr="003F623B">
        <w:trPr>
          <w:gridBefore w:val="1"/>
          <w:gridAfter w:val="1"/>
          <w:wBefore w:w="17" w:type="dxa"/>
          <w:wAfter w:w="180" w:type="dxa"/>
          <w:trHeight w:val="727"/>
          <w:jc w:val="center"/>
        </w:trPr>
        <w:tc>
          <w:tcPr>
            <w:tcW w:w="1288" w:type="dxa"/>
            <w:gridSpan w:val="3"/>
            <w:tcBorders>
              <w:top w:val="nil"/>
              <w:left w:val="nil"/>
              <w:bottom w:val="nil"/>
              <w:right w:val="nil"/>
            </w:tcBorders>
            <w:shd w:val="clear" w:color="000000" w:fill="FFFFFF"/>
            <w:vAlign w:val="center"/>
            <w:hideMark/>
          </w:tcPr>
          <w:p w14:paraId="067B451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421702A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7CCFB4A" w14:textId="411B95E8"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Calculation of general government debt in accordance with the statistical standard SDDS plus</w:t>
            </w:r>
          </w:p>
        </w:tc>
        <w:tc>
          <w:tcPr>
            <w:tcW w:w="1194" w:type="dxa"/>
            <w:gridSpan w:val="3"/>
            <w:shd w:val="clear" w:color="000000" w:fill="FFFF99"/>
            <w:vAlign w:val="center"/>
            <w:hideMark/>
          </w:tcPr>
          <w:p w14:paraId="5DD0F1B7" w14:textId="132C05B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Website</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33D5DD49" w14:textId="5EEDF9FB" w:rsidR="00485BAA" w:rsidRPr="008C761D" w:rsidRDefault="00B25CB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Government debt is displayed according to SDDS standard</w:t>
            </w:r>
          </w:p>
        </w:tc>
        <w:tc>
          <w:tcPr>
            <w:tcW w:w="1644" w:type="dxa"/>
            <w:gridSpan w:val="3"/>
            <w:shd w:val="clear" w:color="000000" w:fill="FFFF99"/>
            <w:vAlign w:val="center"/>
            <w:hideMark/>
          </w:tcPr>
          <w:p w14:paraId="2E971143" w14:textId="36773679" w:rsidR="00485BAA" w:rsidRPr="008C761D" w:rsidRDefault="00B25CB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Government debt is displayed according to SDDS plus standard</w:t>
            </w:r>
          </w:p>
        </w:tc>
        <w:tc>
          <w:tcPr>
            <w:tcW w:w="1758" w:type="dxa"/>
            <w:gridSpan w:val="2"/>
            <w:shd w:val="clear" w:color="000000" w:fill="FFFF99"/>
            <w:vAlign w:val="center"/>
            <w:hideMark/>
          </w:tcPr>
          <w:p w14:paraId="747E05B6" w14:textId="16718A10"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1AE172C" w14:textId="2E2717D0"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2EBBB6CC" w14:textId="1CCA53F1" w:rsidR="00485BAA" w:rsidRPr="008C761D" w:rsidRDefault="00407B01" w:rsidP="00407B01">
            <w:pPr>
              <w:spacing w:after="0" w:line="240" w:lineRule="auto"/>
              <w:jc w:val="center"/>
              <w:rPr>
                <w:rFonts w:ascii="Arial" w:eastAsia="Times New Roman" w:hAnsi="Arial" w:cs="Arial"/>
                <w:b/>
                <w:bCs/>
                <w:sz w:val="12"/>
                <w:szCs w:val="12"/>
                <w:lang w:val="en-US" w:eastAsia="mk-MK"/>
              </w:rPr>
            </w:pPr>
            <w:r>
              <w:rPr>
                <w:rFonts w:ascii="Arial" w:eastAsia="Times New Roman" w:hAnsi="Arial" w:cs="Arial"/>
                <w:b/>
                <w:bCs/>
                <w:sz w:val="12"/>
                <w:szCs w:val="12"/>
                <w:lang w:val="en-US" w:eastAsia="mk-MK"/>
              </w:rPr>
              <w:t>/</w:t>
            </w:r>
          </w:p>
        </w:tc>
      </w:tr>
      <w:tr w:rsidR="00485BAA" w:rsidRPr="008C761D" w14:paraId="2DB3965E" w14:textId="77777777" w:rsidTr="003F623B">
        <w:trPr>
          <w:gridBefore w:val="1"/>
          <w:gridAfter w:val="1"/>
          <w:wBefore w:w="17" w:type="dxa"/>
          <w:wAfter w:w="180" w:type="dxa"/>
          <w:trHeight w:val="658"/>
          <w:jc w:val="center"/>
        </w:trPr>
        <w:tc>
          <w:tcPr>
            <w:tcW w:w="1288" w:type="dxa"/>
            <w:gridSpan w:val="3"/>
            <w:tcBorders>
              <w:top w:val="nil"/>
              <w:left w:val="nil"/>
              <w:bottom w:val="nil"/>
              <w:right w:val="nil"/>
            </w:tcBorders>
            <w:shd w:val="clear" w:color="000000" w:fill="FFFFFF"/>
            <w:vAlign w:val="center"/>
            <w:hideMark/>
          </w:tcPr>
          <w:p w14:paraId="790F89A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6421F82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63AF56D" w14:textId="233235B2"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Publication of general government debt in accordance with the Maastricht criterion</w:t>
            </w:r>
          </w:p>
        </w:tc>
        <w:tc>
          <w:tcPr>
            <w:tcW w:w="1194" w:type="dxa"/>
            <w:gridSpan w:val="3"/>
            <w:shd w:val="clear" w:color="000000" w:fill="FFFF99"/>
            <w:vAlign w:val="center"/>
            <w:hideMark/>
          </w:tcPr>
          <w:p w14:paraId="1EE5FB9D" w14:textId="342A097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Website</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25CB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77F28588" w14:textId="10259E94" w:rsidR="00485BAA" w:rsidRPr="008C761D" w:rsidRDefault="00B25CB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general government debt it is not harmonized with the Maastricht criterion</w:t>
            </w:r>
          </w:p>
        </w:tc>
        <w:tc>
          <w:tcPr>
            <w:tcW w:w="1644" w:type="dxa"/>
            <w:gridSpan w:val="3"/>
            <w:shd w:val="clear" w:color="000000" w:fill="FFFF99"/>
            <w:vAlign w:val="center"/>
            <w:hideMark/>
          </w:tcPr>
          <w:p w14:paraId="2DF9A7E5" w14:textId="19030D02"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5DAACED6" w14:textId="274DDAC0" w:rsidR="00485BAA" w:rsidRPr="008C761D" w:rsidRDefault="00B25CB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general government debt is harmonized with the Maastricht criterion</w:t>
            </w:r>
          </w:p>
        </w:tc>
        <w:tc>
          <w:tcPr>
            <w:tcW w:w="1842" w:type="dxa"/>
            <w:gridSpan w:val="3"/>
            <w:shd w:val="clear" w:color="000000" w:fill="FFFF99"/>
            <w:vAlign w:val="center"/>
            <w:hideMark/>
          </w:tcPr>
          <w:p w14:paraId="7CCDCEFD" w14:textId="4378CD1E"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7E8ACBA6" w14:textId="2516D201" w:rsidR="00485BAA" w:rsidRPr="008C761D" w:rsidRDefault="00407B01" w:rsidP="00407B01">
            <w:pPr>
              <w:spacing w:after="0" w:line="240" w:lineRule="auto"/>
              <w:jc w:val="center"/>
              <w:rPr>
                <w:rFonts w:ascii="Arial" w:eastAsia="Times New Roman" w:hAnsi="Arial" w:cs="Arial"/>
                <w:b/>
                <w:bCs/>
                <w:sz w:val="12"/>
                <w:szCs w:val="12"/>
                <w:lang w:val="en-US" w:eastAsia="mk-MK"/>
              </w:rPr>
            </w:pPr>
            <w:r>
              <w:rPr>
                <w:rFonts w:ascii="Arial" w:eastAsia="Times New Roman" w:hAnsi="Arial" w:cs="Arial"/>
                <w:b/>
                <w:bCs/>
                <w:sz w:val="12"/>
                <w:szCs w:val="12"/>
                <w:lang w:val="en-US" w:eastAsia="mk-MK"/>
              </w:rPr>
              <w:t>/</w:t>
            </w:r>
          </w:p>
        </w:tc>
      </w:tr>
      <w:tr w:rsidR="00485BAA" w:rsidRPr="008C761D" w14:paraId="4BB8DC11" w14:textId="77777777" w:rsidTr="003F623B">
        <w:trPr>
          <w:gridBefore w:val="1"/>
          <w:gridAfter w:val="1"/>
          <w:wBefore w:w="17" w:type="dxa"/>
          <w:wAfter w:w="180" w:type="dxa"/>
          <w:trHeight w:val="267"/>
          <w:jc w:val="center"/>
        </w:trPr>
        <w:tc>
          <w:tcPr>
            <w:tcW w:w="1288" w:type="dxa"/>
            <w:gridSpan w:val="3"/>
            <w:tcBorders>
              <w:top w:val="nil"/>
              <w:left w:val="nil"/>
              <w:bottom w:val="nil"/>
              <w:right w:val="nil"/>
            </w:tcBorders>
            <w:shd w:val="clear" w:color="000000" w:fill="FFFFFF"/>
            <w:vAlign w:val="center"/>
            <w:hideMark/>
          </w:tcPr>
          <w:p w14:paraId="5D9C5FC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53122D2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B5B1A4A" w14:textId="071EA50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710C8303" w14:textId="6D74DDD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080B0D4B" w14:textId="207CC3E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B09ABD2" w14:textId="70CDB73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D116C4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072F912" w14:textId="0D01FE1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5C9D9E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43050352" w14:textId="77777777" w:rsidTr="003F623B">
        <w:trPr>
          <w:gridBefore w:val="1"/>
          <w:gridAfter w:val="1"/>
          <w:wBefore w:w="17" w:type="dxa"/>
          <w:wAfter w:w="180" w:type="dxa"/>
          <w:trHeight w:val="678"/>
          <w:jc w:val="center"/>
        </w:trPr>
        <w:tc>
          <w:tcPr>
            <w:tcW w:w="1288" w:type="dxa"/>
            <w:gridSpan w:val="3"/>
            <w:tcBorders>
              <w:top w:val="nil"/>
              <w:left w:val="nil"/>
              <w:bottom w:val="nil"/>
              <w:right w:val="nil"/>
            </w:tcBorders>
            <w:shd w:val="clear" w:color="000000" w:fill="FFFFFF"/>
            <w:vAlign w:val="center"/>
            <w:hideMark/>
          </w:tcPr>
          <w:p w14:paraId="0DDF42A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490CEFA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0521A6F" w14:textId="253F8404"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Modifications and amendments to Public Debt Law to the end of aligning the debt definition with the Maastricht Criteria</w:t>
            </w:r>
          </w:p>
        </w:tc>
        <w:tc>
          <w:tcPr>
            <w:tcW w:w="1194" w:type="dxa"/>
            <w:gridSpan w:val="3"/>
            <w:shd w:val="clear" w:color="000000" w:fill="FFFF99"/>
            <w:vAlign w:val="center"/>
            <w:hideMark/>
          </w:tcPr>
          <w:p w14:paraId="38CCBC1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-2025</w:t>
            </w:r>
          </w:p>
        </w:tc>
        <w:tc>
          <w:tcPr>
            <w:tcW w:w="1418" w:type="dxa"/>
            <w:gridSpan w:val="2"/>
            <w:shd w:val="clear" w:color="000000" w:fill="FFFF99"/>
            <w:vAlign w:val="center"/>
            <w:hideMark/>
          </w:tcPr>
          <w:p w14:paraId="21596952" w14:textId="68457098" w:rsidR="00485BAA" w:rsidRPr="008C761D" w:rsidRDefault="00270F3C"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7E2A3EE2" w14:textId="727C9F1B"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EU, </w:t>
            </w:r>
            <w:r w:rsidR="00404D96" w:rsidRPr="008C761D">
              <w:rPr>
                <w:rFonts w:ascii="Arial" w:eastAsia="Times New Roman" w:hAnsi="Arial" w:cs="Arial"/>
                <w:sz w:val="12"/>
                <w:szCs w:val="12"/>
                <w:lang w:val="en-US" w:eastAsia="mk-MK"/>
              </w:rPr>
              <w:t>World bank</w:t>
            </w:r>
          </w:p>
        </w:tc>
        <w:tc>
          <w:tcPr>
            <w:tcW w:w="1758" w:type="dxa"/>
            <w:gridSpan w:val="2"/>
            <w:shd w:val="clear" w:color="000000" w:fill="FFFF99"/>
            <w:vAlign w:val="center"/>
            <w:hideMark/>
          </w:tcPr>
          <w:p w14:paraId="35BB6AF9" w14:textId="77777777" w:rsidR="003C20E4"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7203AA7F" w14:textId="778346C1"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11B0B463" w14:textId="58ACC112"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7FB476F9" w14:textId="77777777" w:rsidTr="003F623B">
        <w:trPr>
          <w:gridBefore w:val="1"/>
          <w:gridAfter w:val="1"/>
          <w:wBefore w:w="17" w:type="dxa"/>
          <w:wAfter w:w="180" w:type="dxa"/>
          <w:trHeight w:val="356"/>
          <w:jc w:val="center"/>
        </w:trPr>
        <w:tc>
          <w:tcPr>
            <w:tcW w:w="1288" w:type="dxa"/>
            <w:gridSpan w:val="3"/>
            <w:tcBorders>
              <w:top w:val="nil"/>
              <w:left w:val="nil"/>
              <w:bottom w:val="nil"/>
              <w:right w:val="nil"/>
            </w:tcBorders>
            <w:shd w:val="clear" w:color="000000" w:fill="FFFFFF"/>
            <w:vAlign w:val="center"/>
            <w:hideMark/>
          </w:tcPr>
          <w:p w14:paraId="325D33F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3C9F2FA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1F4A204" w14:textId="1BBE7D3A"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Incorporating debt data in the Budget document</w:t>
            </w:r>
          </w:p>
        </w:tc>
        <w:tc>
          <w:tcPr>
            <w:tcW w:w="1194" w:type="dxa"/>
            <w:gridSpan w:val="3"/>
            <w:shd w:val="clear" w:color="000000" w:fill="FFFF99"/>
            <w:vAlign w:val="center"/>
            <w:hideMark/>
          </w:tcPr>
          <w:p w14:paraId="60F846B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0E1208"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FBD134D" w14:textId="4AFD7207" w:rsidR="00485BAA" w:rsidRPr="008C761D" w:rsidRDefault="00270F3C"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039A3563"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58" w:type="dxa"/>
            <w:gridSpan w:val="2"/>
            <w:shd w:val="clear" w:color="000000" w:fill="FFFF99"/>
            <w:vAlign w:val="center"/>
            <w:hideMark/>
          </w:tcPr>
          <w:p w14:paraId="4DFEC439" w14:textId="77777777" w:rsidR="003C20E4"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41BA8D75" w14:textId="023E4484"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2CD197AC" w14:textId="1A7369C1"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0E1208" w:rsidRPr="008C761D" w14:paraId="318BDEC7" w14:textId="77777777" w:rsidTr="003F623B">
        <w:trPr>
          <w:gridBefore w:val="1"/>
          <w:gridAfter w:val="1"/>
          <w:wBefore w:w="17" w:type="dxa"/>
          <w:wAfter w:w="180" w:type="dxa"/>
          <w:trHeight w:val="356"/>
          <w:jc w:val="center"/>
        </w:trPr>
        <w:tc>
          <w:tcPr>
            <w:tcW w:w="1288" w:type="dxa"/>
            <w:gridSpan w:val="3"/>
            <w:tcBorders>
              <w:top w:val="nil"/>
              <w:left w:val="nil"/>
              <w:bottom w:val="nil"/>
              <w:right w:val="nil"/>
            </w:tcBorders>
            <w:shd w:val="clear" w:color="000000" w:fill="FFFFFF"/>
            <w:vAlign w:val="center"/>
          </w:tcPr>
          <w:p w14:paraId="49453853"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tcPr>
          <w:p w14:paraId="7F8EAA61"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1F2B5077" w14:textId="6E07EDBF" w:rsidR="000E1208"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Publishing Annual Borrowing Plan</w:t>
            </w:r>
          </w:p>
        </w:tc>
        <w:tc>
          <w:tcPr>
            <w:tcW w:w="1194" w:type="dxa"/>
            <w:gridSpan w:val="3"/>
            <w:shd w:val="clear" w:color="000000" w:fill="FFFF99"/>
            <w:vAlign w:val="center"/>
          </w:tcPr>
          <w:p w14:paraId="5BBA9735"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2026-2027</w:t>
            </w:r>
          </w:p>
        </w:tc>
        <w:tc>
          <w:tcPr>
            <w:tcW w:w="1418" w:type="dxa"/>
            <w:gridSpan w:val="2"/>
            <w:shd w:val="clear" w:color="000000" w:fill="FFFF99"/>
            <w:vAlign w:val="center"/>
          </w:tcPr>
          <w:p w14:paraId="2047AC04" w14:textId="780C4537" w:rsidR="000E1208" w:rsidRPr="008C761D" w:rsidRDefault="00270F3C"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tcPr>
          <w:p w14:paraId="789ECE2C" w14:textId="77777777" w:rsidR="000E1208" w:rsidRPr="008C761D" w:rsidRDefault="000E1208"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 World bank</w:t>
            </w:r>
          </w:p>
        </w:tc>
        <w:tc>
          <w:tcPr>
            <w:tcW w:w="1758" w:type="dxa"/>
            <w:gridSpan w:val="2"/>
            <w:shd w:val="clear" w:color="000000" w:fill="FFFF99"/>
            <w:vAlign w:val="center"/>
          </w:tcPr>
          <w:p w14:paraId="7F585B14" w14:textId="77777777" w:rsidR="003C20E4"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7BAAFA16" w14:textId="21A9FCA8" w:rsidR="000E1208"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tcPr>
          <w:p w14:paraId="69490684" w14:textId="025538DF" w:rsidR="000E1208" w:rsidRPr="008C761D" w:rsidRDefault="000E1208" w:rsidP="00407B01">
            <w:pPr>
              <w:spacing w:after="0" w:line="240" w:lineRule="auto"/>
              <w:jc w:val="center"/>
              <w:rPr>
                <w:rFonts w:ascii="Arial" w:eastAsia="Times New Roman" w:hAnsi="Arial" w:cs="Arial"/>
                <w:sz w:val="12"/>
                <w:szCs w:val="12"/>
                <w:lang w:val="en-US" w:eastAsia="mk-MK"/>
              </w:rPr>
            </w:pPr>
          </w:p>
        </w:tc>
      </w:tr>
      <w:tr w:rsidR="000E1208" w:rsidRPr="008C761D" w14:paraId="02DEBF55" w14:textId="77777777" w:rsidTr="003F623B">
        <w:trPr>
          <w:gridBefore w:val="1"/>
          <w:gridAfter w:val="1"/>
          <w:wBefore w:w="17" w:type="dxa"/>
          <w:wAfter w:w="180" w:type="dxa"/>
          <w:trHeight w:val="356"/>
          <w:jc w:val="center"/>
        </w:trPr>
        <w:tc>
          <w:tcPr>
            <w:tcW w:w="1288" w:type="dxa"/>
            <w:gridSpan w:val="3"/>
            <w:tcBorders>
              <w:top w:val="nil"/>
              <w:left w:val="nil"/>
              <w:bottom w:val="nil"/>
              <w:right w:val="nil"/>
            </w:tcBorders>
            <w:shd w:val="clear" w:color="000000" w:fill="FFFFFF"/>
            <w:vAlign w:val="center"/>
          </w:tcPr>
          <w:p w14:paraId="5DEE568D"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tcPr>
          <w:p w14:paraId="1B7B4C65"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642E8B1E" w14:textId="77777777" w:rsidR="000E1208" w:rsidRPr="008C761D" w:rsidRDefault="000E1208"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Improving Debt Reporting</w:t>
            </w:r>
          </w:p>
        </w:tc>
        <w:tc>
          <w:tcPr>
            <w:tcW w:w="1194" w:type="dxa"/>
            <w:gridSpan w:val="3"/>
            <w:shd w:val="clear" w:color="000000" w:fill="FFFF99"/>
            <w:vAlign w:val="center"/>
          </w:tcPr>
          <w:p w14:paraId="689BE23A" w14:textId="77777777" w:rsidR="000E1208" w:rsidRPr="008C761D" w:rsidRDefault="000E120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2026-2027</w:t>
            </w:r>
          </w:p>
        </w:tc>
        <w:tc>
          <w:tcPr>
            <w:tcW w:w="1418" w:type="dxa"/>
            <w:gridSpan w:val="2"/>
            <w:shd w:val="clear" w:color="000000" w:fill="FFFF99"/>
            <w:vAlign w:val="center"/>
          </w:tcPr>
          <w:p w14:paraId="3F42AD3A" w14:textId="09C8448C" w:rsidR="000E1208" w:rsidRPr="008C761D" w:rsidRDefault="00270F3C" w:rsidP="008208F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tcPr>
          <w:p w14:paraId="7BFC61F5" w14:textId="77777777" w:rsidR="000E1208" w:rsidRPr="008C761D" w:rsidRDefault="000E1208"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 World bank</w:t>
            </w:r>
          </w:p>
        </w:tc>
        <w:tc>
          <w:tcPr>
            <w:tcW w:w="1758" w:type="dxa"/>
            <w:gridSpan w:val="2"/>
            <w:shd w:val="clear" w:color="000000" w:fill="FFFF99"/>
            <w:vAlign w:val="center"/>
          </w:tcPr>
          <w:p w14:paraId="1C46F6AE" w14:textId="77777777" w:rsidR="003C20E4" w:rsidRPr="008C761D" w:rsidRDefault="00AE7926"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697242A8" w14:textId="114E6B76" w:rsidR="000E1208"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tcPr>
          <w:p w14:paraId="5F7411E1" w14:textId="3B7493C1" w:rsidR="000E1208" w:rsidRPr="008C761D" w:rsidRDefault="000E1208" w:rsidP="00FC63A0">
            <w:pPr>
              <w:spacing w:after="0" w:line="240" w:lineRule="auto"/>
              <w:rPr>
                <w:rFonts w:ascii="Arial" w:eastAsia="Times New Roman" w:hAnsi="Arial" w:cs="Arial"/>
                <w:sz w:val="12"/>
                <w:szCs w:val="12"/>
                <w:lang w:val="en-US" w:eastAsia="mk-MK"/>
              </w:rPr>
            </w:pPr>
          </w:p>
        </w:tc>
      </w:tr>
      <w:tr w:rsidR="00485BAA" w:rsidRPr="008C761D" w14:paraId="6C9795FC" w14:textId="77777777" w:rsidTr="003F623B">
        <w:trPr>
          <w:gridBefore w:val="1"/>
          <w:gridAfter w:val="1"/>
          <w:wBefore w:w="17" w:type="dxa"/>
          <w:wAfter w:w="180" w:type="dxa"/>
          <w:trHeight w:val="232"/>
          <w:jc w:val="center"/>
        </w:trPr>
        <w:tc>
          <w:tcPr>
            <w:tcW w:w="13501" w:type="dxa"/>
            <w:gridSpan w:val="25"/>
            <w:shd w:val="clear" w:color="000000" w:fill="9BD2ED"/>
            <w:vAlign w:val="center"/>
            <w:hideMark/>
          </w:tcPr>
          <w:p w14:paraId="365EC425" w14:textId="40C65706"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Introduction</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new</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debt</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instruments</w:t>
            </w:r>
          </w:p>
        </w:tc>
      </w:tr>
      <w:tr w:rsidR="00485BAA" w:rsidRPr="008C761D" w14:paraId="24305100" w14:textId="77777777" w:rsidTr="003F623B">
        <w:trPr>
          <w:gridBefore w:val="1"/>
          <w:gridAfter w:val="1"/>
          <w:wBefore w:w="17" w:type="dxa"/>
          <w:wAfter w:w="180" w:type="dxa"/>
          <w:trHeight w:val="315"/>
          <w:jc w:val="center"/>
        </w:trPr>
        <w:tc>
          <w:tcPr>
            <w:tcW w:w="1288" w:type="dxa"/>
            <w:gridSpan w:val="3"/>
            <w:tcBorders>
              <w:top w:val="nil"/>
              <w:left w:val="nil"/>
              <w:bottom w:val="nil"/>
              <w:right w:val="nil"/>
            </w:tcBorders>
            <w:shd w:val="clear" w:color="000000" w:fill="FFFFFF"/>
            <w:vAlign w:val="center"/>
            <w:hideMark/>
          </w:tcPr>
          <w:p w14:paraId="0E61CD8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5916539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48918D64" w14:textId="42D243C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2E9FE63" w14:textId="177E438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5D0D34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E1208"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7458D2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3243F20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3A88B2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3EF08C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E1208" w:rsidRPr="008C761D">
              <w:rPr>
                <w:rFonts w:ascii="Arial" w:eastAsia="Times New Roman" w:hAnsi="Arial" w:cs="Arial"/>
                <w:b/>
                <w:bCs/>
                <w:sz w:val="12"/>
                <w:szCs w:val="12"/>
                <w:lang w:val="en-US" w:eastAsia="mk-MK"/>
              </w:rPr>
              <w:t>6</w:t>
            </w:r>
          </w:p>
        </w:tc>
      </w:tr>
      <w:tr w:rsidR="00485BAA" w:rsidRPr="008C761D" w14:paraId="52C35FDB" w14:textId="77777777" w:rsidTr="003F623B">
        <w:trPr>
          <w:gridBefore w:val="1"/>
          <w:gridAfter w:val="1"/>
          <w:wBefore w:w="17" w:type="dxa"/>
          <w:wAfter w:w="180" w:type="dxa"/>
          <w:trHeight w:val="547"/>
          <w:jc w:val="center"/>
        </w:trPr>
        <w:tc>
          <w:tcPr>
            <w:tcW w:w="1288" w:type="dxa"/>
            <w:gridSpan w:val="3"/>
            <w:tcBorders>
              <w:top w:val="nil"/>
              <w:left w:val="nil"/>
              <w:bottom w:val="nil"/>
              <w:right w:val="nil"/>
            </w:tcBorders>
            <w:shd w:val="clear" w:color="000000" w:fill="FFFFFF"/>
            <w:vAlign w:val="center"/>
            <w:hideMark/>
          </w:tcPr>
          <w:p w14:paraId="6CA021E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5641578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3C7FAAA" w14:textId="5A0160EF" w:rsidR="00485BAA" w:rsidRPr="008C761D" w:rsidRDefault="00B25CB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Diversification of debt instruments</w:t>
            </w:r>
          </w:p>
        </w:tc>
        <w:tc>
          <w:tcPr>
            <w:tcW w:w="1194" w:type="dxa"/>
            <w:gridSpan w:val="3"/>
            <w:shd w:val="clear" w:color="000000" w:fill="FFFF99"/>
            <w:vAlign w:val="center"/>
            <w:hideMark/>
          </w:tcPr>
          <w:p w14:paraId="49E801B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418" w:type="dxa"/>
            <w:gridSpan w:val="2"/>
            <w:shd w:val="clear" w:color="000000" w:fill="FFFF99"/>
            <w:vAlign w:val="center"/>
            <w:hideMark/>
          </w:tcPr>
          <w:p w14:paraId="64964E33" w14:textId="77777777" w:rsidR="000E1208" w:rsidRPr="008C761D" w:rsidRDefault="000E1208" w:rsidP="003A338C">
            <w:pPr>
              <w:pStyle w:val="ListParagraph"/>
              <w:numPr>
                <w:ilvl w:val="0"/>
                <w:numId w:val="81"/>
              </w:numPr>
              <w:spacing w:before="120" w:line="240" w:lineRule="auto"/>
              <w:ind w:left="62" w:hanging="62"/>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Structural bond for financing the municipalities is issued</w:t>
            </w:r>
          </w:p>
          <w:p w14:paraId="7542E55F" w14:textId="77777777" w:rsidR="000E1208" w:rsidRPr="008C761D" w:rsidRDefault="000E1208" w:rsidP="003A338C">
            <w:pPr>
              <w:pStyle w:val="ListParagraph"/>
              <w:numPr>
                <w:ilvl w:val="0"/>
                <w:numId w:val="81"/>
              </w:numPr>
              <w:spacing w:before="120" w:line="240" w:lineRule="auto"/>
              <w:ind w:left="62" w:hanging="62"/>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Development Bond for citizens is issued</w:t>
            </w:r>
          </w:p>
          <w:p w14:paraId="22666E77" w14:textId="77777777" w:rsidR="00485BAA" w:rsidRPr="008C761D" w:rsidRDefault="000E1208" w:rsidP="000E120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Green Bond is issued</w:t>
            </w:r>
          </w:p>
        </w:tc>
        <w:tc>
          <w:tcPr>
            <w:tcW w:w="1644" w:type="dxa"/>
            <w:gridSpan w:val="3"/>
            <w:shd w:val="clear" w:color="000000" w:fill="FFFF99"/>
            <w:vAlign w:val="center"/>
            <w:hideMark/>
          </w:tcPr>
          <w:p w14:paraId="4EA895EF" w14:textId="4FDE0B82" w:rsidR="00485BAA" w:rsidRPr="008C761D" w:rsidRDefault="00912BB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Issuances of the Development Bond for citizens and the Green Bond will be defined during the monitoring process</w:t>
            </w:r>
          </w:p>
        </w:tc>
        <w:tc>
          <w:tcPr>
            <w:tcW w:w="1758" w:type="dxa"/>
            <w:gridSpan w:val="2"/>
            <w:shd w:val="clear" w:color="000000" w:fill="FFFF99"/>
            <w:vAlign w:val="center"/>
            <w:hideMark/>
          </w:tcPr>
          <w:p w14:paraId="348CCF56" w14:textId="146C654D" w:rsidR="00485BAA" w:rsidRPr="008C761D" w:rsidRDefault="00912BB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Issuances of the Development Bond for citizens and the Green Bond will be defined during the monitoring process </w:t>
            </w:r>
            <w:r w:rsidR="000E1208" w:rsidRPr="008C761D">
              <w:rPr>
                <w:rFonts w:ascii="Arial" w:eastAsia="Times New Roman" w:hAnsi="Arial" w:cs="Arial"/>
                <w:sz w:val="12"/>
                <w:szCs w:val="12"/>
                <w:lang w:val="en-US" w:eastAsia="mk-MK"/>
              </w:rPr>
              <w:t>monitoring process</w:t>
            </w:r>
          </w:p>
        </w:tc>
        <w:tc>
          <w:tcPr>
            <w:tcW w:w="1842" w:type="dxa"/>
            <w:gridSpan w:val="3"/>
            <w:shd w:val="clear" w:color="000000" w:fill="FFFF99"/>
            <w:vAlign w:val="center"/>
            <w:hideMark/>
          </w:tcPr>
          <w:p w14:paraId="18FAE418" w14:textId="77777777" w:rsidR="00485BAA" w:rsidRPr="008C761D" w:rsidRDefault="000E1208"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Issuances of the Development Bond for citizens and the Green Bond will be defined during the monitoring process</w:t>
            </w:r>
          </w:p>
        </w:tc>
        <w:tc>
          <w:tcPr>
            <w:tcW w:w="1506" w:type="dxa"/>
            <w:gridSpan w:val="3"/>
            <w:shd w:val="clear" w:color="000000" w:fill="FFFF99"/>
            <w:vAlign w:val="center"/>
            <w:hideMark/>
          </w:tcPr>
          <w:p w14:paraId="6C0D3BFE" w14:textId="77777777" w:rsidR="00485BAA" w:rsidRPr="008C761D" w:rsidRDefault="000E120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Issuances of the Development Bond for citizens and the Green Bond will be defined during the monitoring process</w:t>
            </w:r>
          </w:p>
        </w:tc>
      </w:tr>
      <w:tr w:rsidR="00485BAA" w:rsidRPr="008C761D" w14:paraId="4B8D6576" w14:textId="77777777" w:rsidTr="003F623B">
        <w:trPr>
          <w:gridBefore w:val="1"/>
          <w:gridAfter w:val="1"/>
          <w:wBefore w:w="17" w:type="dxa"/>
          <w:wAfter w:w="180" w:type="dxa"/>
          <w:trHeight w:val="261"/>
          <w:jc w:val="center"/>
        </w:trPr>
        <w:tc>
          <w:tcPr>
            <w:tcW w:w="1288" w:type="dxa"/>
            <w:gridSpan w:val="3"/>
            <w:tcBorders>
              <w:top w:val="nil"/>
              <w:left w:val="nil"/>
              <w:bottom w:val="nil"/>
              <w:right w:val="nil"/>
            </w:tcBorders>
            <w:shd w:val="clear" w:color="000000" w:fill="FFFFFF"/>
            <w:vAlign w:val="center"/>
            <w:hideMark/>
          </w:tcPr>
          <w:p w14:paraId="2C4133A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5C6707A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79E3D4E" w14:textId="3DACEE8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0CA2C1CA" w14:textId="77FDCCE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5AF11DF3" w14:textId="3C7F3AC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F16DCA0" w14:textId="01F08BB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B1ACEC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2E7C5EDF" w14:textId="40C0B8D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450670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BA6AC28" w14:textId="77777777" w:rsidTr="003F623B">
        <w:trPr>
          <w:gridBefore w:val="1"/>
          <w:gridAfter w:val="1"/>
          <w:wBefore w:w="17" w:type="dxa"/>
          <w:wAfter w:w="180" w:type="dxa"/>
          <w:trHeight w:val="492"/>
          <w:jc w:val="center"/>
        </w:trPr>
        <w:tc>
          <w:tcPr>
            <w:tcW w:w="1288" w:type="dxa"/>
            <w:gridSpan w:val="3"/>
            <w:tcBorders>
              <w:top w:val="nil"/>
              <w:left w:val="nil"/>
              <w:bottom w:val="nil"/>
              <w:right w:val="nil"/>
            </w:tcBorders>
            <w:shd w:val="clear" w:color="000000" w:fill="FFFFFF"/>
            <w:vAlign w:val="center"/>
            <w:hideMark/>
          </w:tcPr>
          <w:p w14:paraId="0A7A4BB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vAlign w:val="center"/>
            <w:hideMark/>
          </w:tcPr>
          <w:p w14:paraId="10B6876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574C2BF" w14:textId="5CF3B131" w:rsidR="00485BAA" w:rsidRPr="008C761D" w:rsidRDefault="003D28D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w:t>
            </w:r>
            <w:r w:rsidR="001733BE" w:rsidRPr="008208F0">
              <w:rPr>
                <w:rFonts w:ascii="Arial" w:eastAsia="Times New Roman" w:hAnsi="Arial" w:cs="Arial"/>
                <w:sz w:val="12"/>
                <w:szCs w:val="12"/>
                <w:lang w:val="en-US" w:eastAsia="mk-MK"/>
              </w:rPr>
              <w:t>Issuing of Development bond for citizens</w:t>
            </w:r>
            <w:r w:rsidR="001733BE">
              <w:rPr>
                <w:rFonts w:ascii="Arial" w:eastAsia="Times New Roman" w:hAnsi="Arial" w:cs="Arial"/>
                <w:sz w:val="12"/>
                <w:szCs w:val="12"/>
                <w:lang w:val="en-US" w:eastAsia="mk-MK"/>
              </w:rPr>
              <w:t xml:space="preserve"> </w:t>
            </w:r>
          </w:p>
        </w:tc>
        <w:tc>
          <w:tcPr>
            <w:tcW w:w="1194" w:type="dxa"/>
            <w:gridSpan w:val="3"/>
            <w:shd w:val="clear" w:color="000000" w:fill="FFFF99"/>
            <w:vAlign w:val="center"/>
            <w:hideMark/>
          </w:tcPr>
          <w:p w14:paraId="2B5FF4CD" w14:textId="77777777" w:rsidR="00485BAA" w:rsidRPr="008C761D" w:rsidRDefault="003D28D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1B3F2707" w14:textId="0BE186F6" w:rsidR="00485BAA" w:rsidRPr="008C761D" w:rsidRDefault="00270F3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hideMark/>
          </w:tcPr>
          <w:p w14:paraId="60C9071D" w14:textId="77777777" w:rsidR="00485BAA" w:rsidRPr="008C761D" w:rsidRDefault="003D28D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Citizens</w:t>
            </w:r>
          </w:p>
        </w:tc>
        <w:tc>
          <w:tcPr>
            <w:tcW w:w="1758" w:type="dxa"/>
            <w:gridSpan w:val="2"/>
            <w:shd w:val="clear" w:color="000000" w:fill="FFFF99"/>
            <w:vAlign w:val="center"/>
            <w:hideMark/>
          </w:tcPr>
          <w:p w14:paraId="1B22DFF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F01E25"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3F7E1CD" w14:textId="4A74874D"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779E36BB" w14:textId="23562921"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3D28D1" w:rsidRPr="008C761D" w14:paraId="75BFA2DF" w14:textId="77777777" w:rsidTr="003F623B">
        <w:trPr>
          <w:gridBefore w:val="1"/>
          <w:gridAfter w:val="1"/>
          <w:wBefore w:w="17" w:type="dxa"/>
          <w:wAfter w:w="180" w:type="dxa"/>
          <w:trHeight w:val="492"/>
          <w:jc w:val="center"/>
        </w:trPr>
        <w:tc>
          <w:tcPr>
            <w:tcW w:w="1288" w:type="dxa"/>
            <w:gridSpan w:val="3"/>
            <w:tcBorders>
              <w:top w:val="nil"/>
              <w:left w:val="nil"/>
              <w:bottom w:val="nil"/>
              <w:right w:val="nil"/>
            </w:tcBorders>
            <w:shd w:val="clear" w:color="000000" w:fill="FFFFFF"/>
            <w:vAlign w:val="center"/>
          </w:tcPr>
          <w:p w14:paraId="142736B4" w14:textId="77777777" w:rsidR="003D28D1" w:rsidRPr="008C761D" w:rsidRDefault="003D28D1"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tcPr>
          <w:p w14:paraId="3F6A4566" w14:textId="77777777" w:rsidR="003D28D1" w:rsidRPr="008C761D" w:rsidRDefault="003D28D1"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6AF521C2" w14:textId="77777777" w:rsidR="003D28D1" w:rsidRPr="008C761D" w:rsidRDefault="003D28D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Issuing of Green bonds on domestic market</w:t>
            </w:r>
          </w:p>
        </w:tc>
        <w:tc>
          <w:tcPr>
            <w:tcW w:w="1194" w:type="dxa"/>
            <w:gridSpan w:val="3"/>
            <w:shd w:val="clear" w:color="000000" w:fill="FFFF99"/>
            <w:vAlign w:val="center"/>
          </w:tcPr>
          <w:p w14:paraId="591D0929" w14:textId="77777777" w:rsidR="003D28D1" w:rsidRPr="008C761D" w:rsidRDefault="003D28D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49F54322" w14:textId="66033CE5" w:rsidR="003D28D1" w:rsidRPr="008C761D" w:rsidRDefault="00270F3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Public Debt Menagement Department</w:t>
            </w:r>
          </w:p>
        </w:tc>
        <w:tc>
          <w:tcPr>
            <w:tcW w:w="1644" w:type="dxa"/>
            <w:gridSpan w:val="3"/>
            <w:shd w:val="clear" w:color="000000" w:fill="FFFF99"/>
            <w:vAlign w:val="center"/>
          </w:tcPr>
          <w:p w14:paraId="611D5600" w14:textId="77777777" w:rsidR="003D28D1" w:rsidRPr="008C761D" w:rsidRDefault="003D28D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Development Bank</w:t>
            </w:r>
          </w:p>
        </w:tc>
        <w:tc>
          <w:tcPr>
            <w:tcW w:w="1758" w:type="dxa"/>
            <w:gridSpan w:val="2"/>
            <w:shd w:val="clear" w:color="000000" w:fill="FFFF99"/>
            <w:vAlign w:val="center"/>
          </w:tcPr>
          <w:p w14:paraId="3D79385C" w14:textId="77777777" w:rsidR="003D28D1"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6E73ECA6" w14:textId="476A38AA" w:rsidR="003D28D1"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tcPr>
          <w:p w14:paraId="704A843A" w14:textId="514D061C" w:rsidR="003D28D1" w:rsidRPr="008C761D" w:rsidRDefault="003D28D1" w:rsidP="00485BAA">
            <w:pPr>
              <w:spacing w:after="0" w:line="240" w:lineRule="auto"/>
              <w:jc w:val="center"/>
              <w:rPr>
                <w:rFonts w:ascii="Arial" w:eastAsia="Times New Roman" w:hAnsi="Arial" w:cs="Arial"/>
                <w:sz w:val="12"/>
                <w:szCs w:val="12"/>
                <w:lang w:val="en-US" w:eastAsia="mk-MK"/>
              </w:rPr>
            </w:pPr>
          </w:p>
        </w:tc>
      </w:tr>
      <w:tr w:rsidR="00485BAA" w:rsidRPr="008C761D" w14:paraId="2AC1A248" w14:textId="77777777" w:rsidTr="003F623B">
        <w:trPr>
          <w:gridBefore w:val="1"/>
          <w:gridAfter w:val="1"/>
          <w:wBefore w:w="17" w:type="dxa"/>
          <w:wAfter w:w="180" w:type="dxa"/>
          <w:trHeight w:val="241"/>
          <w:jc w:val="center"/>
        </w:trPr>
        <w:tc>
          <w:tcPr>
            <w:tcW w:w="13501" w:type="dxa"/>
            <w:gridSpan w:val="25"/>
            <w:shd w:val="clear" w:color="000000" w:fill="1F3864"/>
            <w:vAlign w:val="center"/>
            <w:hideMark/>
          </w:tcPr>
          <w:p w14:paraId="53D84450" w14:textId="0A5FF6DB"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 Revenue</w:t>
            </w:r>
            <w:r w:rsidR="00B25CB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mobilization</w:t>
            </w:r>
          </w:p>
        </w:tc>
      </w:tr>
      <w:tr w:rsidR="00485BAA" w:rsidRPr="008C761D" w14:paraId="56813521" w14:textId="77777777" w:rsidTr="003F623B">
        <w:trPr>
          <w:gridBefore w:val="1"/>
          <w:gridAfter w:val="1"/>
          <w:wBefore w:w="17" w:type="dxa"/>
          <w:wAfter w:w="180" w:type="dxa"/>
          <w:trHeight w:val="241"/>
          <w:jc w:val="center"/>
        </w:trPr>
        <w:tc>
          <w:tcPr>
            <w:tcW w:w="13501" w:type="dxa"/>
            <w:gridSpan w:val="25"/>
            <w:shd w:val="clear" w:color="000000" w:fill="1F3864"/>
            <w:vAlign w:val="center"/>
            <w:hideMark/>
          </w:tcPr>
          <w:p w14:paraId="617B693D" w14:textId="29F8D67C"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 Tax</w:t>
            </w:r>
            <w:r w:rsidR="00B25CB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B25CB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customs</w:t>
            </w:r>
            <w:r w:rsidR="00B25CB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policy</w:t>
            </w:r>
          </w:p>
        </w:tc>
      </w:tr>
      <w:tr w:rsidR="00485BAA" w:rsidRPr="008C761D" w14:paraId="52FD94B4" w14:textId="77777777" w:rsidTr="003F623B">
        <w:trPr>
          <w:gridBefore w:val="1"/>
          <w:gridAfter w:val="1"/>
          <w:wBefore w:w="17" w:type="dxa"/>
          <w:wAfter w:w="180" w:type="dxa"/>
          <w:trHeight w:val="238"/>
          <w:jc w:val="center"/>
        </w:trPr>
        <w:tc>
          <w:tcPr>
            <w:tcW w:w="2368" w:type="dxa"/>
            <w:gridSpan w:val="6"/>
            <w:shd w:val="clear" w:color="000000" w:fill="9BD2ED"/>
            <w:vAlign w:val="center"/>
            <w:hideMark/>
          </w:tcPr>
          <w:p w14:paraId="35E0296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73A02169" w14:textId="4A491EB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12EBBAB" w14:textId="722C8A9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25CB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8E2792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7069F5"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034E5B1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E06BA"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7009EC6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E06BA"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47BF243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E06BA"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ADCC85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E06BA" w:rsidRPr="008C761D">
              <w:rPr>
                <w:rFonts w:ascii="Arial" w:eastAsia="Times New Roman" w:hAnsi="Arial" w:cs="Arial"/>
                <w:b/>
                <w:bCs/>
                <w:sz w:val="12"/>
                <w:szCs w:val="12"/>
                <w:lang w:val="en-US" w:eastAsia="mk-MK"/>
              </w:rPr>
              <w:t>7</w:t>
            </w:r>
          </w:p>
        </w:tc>
      </w:tr>
      <w:tr w:rsidR="00485BAA" w:rsidRPr="008C761D" w14:paraId="0A44E1D1" w14:textId="77777777" w:rsidTr="003F623B">
        <w:trPr>
          <w:gridBefore w:val="1"/>
          <w:gridAfter w:val="1"/>
          <w:wBefore w:w="17" w:type="dxa"/>
          <w:wAfter w:w="180" w:type="dxa"/>
          <w:trHeight w:val="1139"/>
          <w:jc w:val="center"/>
        </w:trPr>
        <w:tc>
          <w:tcPr>
            <w:tcW w:w="2368" w:type="dxa"/>
            <w:gridSpan w:val="6"/>
            <w:shd w:val="clear" w:color="000000" w:fill="FFFF99"/>
            <w:vAlign w:val="center"/>
            <w:hideMark/>
          </w:tcPr>
          <w:p w14:paraId="653EAFF4" w14:textId="11DBD1D8" w:rsidR="00485BAA" w:rsidRPr="008C761D" w:rsidRDefault="00B25CB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Legislation in the area of taxation and customs harmonized with the Union acquis, standards and best practices</w:t>
            </w:r>
          </w:p>
        </w:tc>
        <w:tc>
          <w:tcPr>
            <w:tcW w:w="1771" w:type="dxa"/>
            <w:gridSpan w:val="3"/>
            <w:shd w:val="clear" w:color="000000" w:fill="FFFF99"/>
            <w:vAlign w:val="center"/>
            <w:hideMark/>
          </w:tcPr>
          <w:p w14:paraId="30F1196E" w14:textId="59A68C3A" w:rsidR="00485BAA" w:rsidRPr="008C761D" w:rsidRDefault="0043103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Progress made toward fulfillment of EU accession criteria (steady progress in related Chapters 16 and 29)</w:t>
            </w:r>
          </w:p>
        </w:tc>
        <w:tc>
          <w:tcPr>
            <w:tcW w:w="1194" w:type="dxa"/>
            <w:gridSpan w:val="3"/>
            <w:shd w:val="clear" w:color="000000" w:fill="FFFF99"/>
            <w:vAlign w:val="center"/>
            <w:hideMark/>
          </w:tcPr>
          <w:p w14:paraId="2C69591E" w14:textId="3DF5655F"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EC progress</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w:t>
            </w:r>
          </w:p>
        </w:tc>
        <w:tc>
          <w:tcPr>
            <w:tcW w:w="1418" w:type="dxa"/>
            <w:gridSpan w:val="2"/>
            <w:shd w:val="clear" w:color="000000" w:fill="FFFF99"/>
            <w:vAlign w:val="center"/>
            <w:hideMark/>
          </w:tcPr>
          <w:p w14:paraId="608CAAAA" w14:textId="12CB1637" w:rsidR="00485BAA" w:rsidRPr="008C761D" w:rsidRDefault="00485BAA"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Ch.29:</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r w:rsidRPr="008C761D">
              <w:rPr>
                <w:rFonts w:ascii="Arial" w:eastAsia="Times New Roman" w:hAnsi="Arial" w:cs="Arial"/>
                <w:sz w:val="12"/>
                <w:szCs w:val="12"/>
                <w:lang w:val="en-US" w:eastAsia="mk-MK"/>
              </w:rPr>
              <w:br/>
              <w:t>Ch.16:</w:t>
            </w:r>
            <w:r w:rsidRPr="008C761D">
              <w:rPr>
                <w:rFonts w:ascii="Arial" w:eastAsia="Times New Roman" w:hAnsi="Arial" w:cs="Arial"/>
                <w:sz w:val="12"/>
                <w:szCs w:val="12"/>
                <w:lang w:val="en-US" w:eastAsia="mk-MK"/>
              </w:rPr>
              <w:br/>
              <w:t>Moderately</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Pr="008C761D">
              <w:rPr>
                <w:rFonts w:ascii="Arial" w:eastAsia="Times New Roman" w:hAnsi="Arial" w:cs="Arial"/>
                <w:sz w:val="12"/>
                <w:szCs w:val="12"/>
                <w:lang w:val="en-US" w:eastAsia="mk-MK"/>
              </w:rPr>
              <w:br/>
              <w:t>Limited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p>
        </w:tc>
        <w:tc>
          <w:tcPr>
            <w:tcW w:w="1644" w:type="dxa"/>
            <w:gridSpan w:val="3"/>
            <w:shd w:val="clear" w:color="000000" w:fill="FFFF99"/>
            <w:vAlign w:val="center"/>
            <w:hideMark/>
          </w:tcPr>
          <w:p w14:paraId="0F7C22A3" w14:textId="313EB2F7" w:rsidR="00485BAA" w:rsidRPr="008C761D" w:rsidRDefault="00485BAA"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Ch.29:</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r w:rsidRPr="008C761D">
              <w:rPr>
                <w:rFonts w:ascii="Arial" w:eastAsia="Times New Roman" w:hAnsi="Arial" w:cs="Arial"/>
                <w:sz w:val="12"/>
                <w:szCs w:val="12"/>
                <w:lang w:val="en-US" w:eastAsia="mk-MK"/>
              </w:rPr>
              <w:br/>
              <w:t>Ch.16:</w:t>
            </w:r>
            <w:r w:rsidRPr="008C761D">
              <w:rPr>
                <w:rFonts w:ascii="Arial" w:eastAsia="Times New Roman" w:hAnsi="Arial" w:cs="Arial"/>
                <w:sz w:val="12"/>
                <w:szCs w:val="12"/>
                <w:lang w:val="en-US" w:eastAsia="mk-MK"/>
              </w:rPr>
              <w:br/>
              <w:t>Moderately</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Pr="008C761D">
              <w:rPr>
                <w:rFonts w:ascii="Arial" w:eastAsia="Times New Roman" w:hAnsi="Arial" w:cs="Arial"/>
                <w:sz w:val="12"/>
                <w:szCs w:val="12"/>
                <w:lang w:val="en-US" w:eastAsia="mk-MK"/>
              </w:rPr>
              <w:br/>
              <w:t>Some</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p>
        </w:tc>
        <w:tc>
          <w:tcPr>
            <w:tcW w:w="1758" w:type="dxa"/>
            <w:gridSpan w:val="2"/>
            <w:shd w:val="clear" w:color="000000" w:fill="FFFF99"/>
            <w:vAlign w:val="center"/>
            <w:hideMark/>
          </w:tcPr>
          <w:p w14:paraId="284989C1" w14:textId="2BD351BB" w:rsidR="00485BAA" w:rsidRPr="008C761D" w:rsidRDefault="00CE7B39"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Ch.29:</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r w:rsidRPr="008C761D">
              <w:rPr>
                <w:rFonts w:ascii="Arial" w:eastAsia="Times New Roman" w:hAnsi="Arial" w:cs="Arial"/>
                <w:sz w:val="12"/>
                <w:szCs w:val="12"/>
                <w:lang w:val="en-US" w:eastAsia="mk-MK"/>
              </w:rPr>
              <w:br/>
              <w:t>Ch.16:</w:t>
            </w:r>
            <w:r w:rsidRPr="008C761D">
              <w:rPr>
                <w:rFonts w:ascii="Arial" w:eastAsia="Times New Roman" w:hAnsi="Arial" w:cs="Arial"/>
                <w:sz w:val="12"/>
                <w:szCs w:val="12"/>
                <w:lang w:val="en-US" w:eastAsia="mk-MK"/>
              </w:rPr>
              <w:br/>
              <w:t>Moderately</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p>
        </w:tc>
        <w:tc>
          <w:tcPr>
            <w:tcW w:w="1842" w:type="dxa"/>
            <w:gridSpan w:val="3"/>
            <w:shd w:val="clear" w:color="000000" w:fill="FFFF99"/>
            <w:vAlign w:val="center"/>
            <w:hideMark/>
          </w:tcPr>
          <w:p w14:paraId="28366FFB" w14:textId="37A9C829" w:rsidR="00485BAA" w:rsidRPr="008C761D" w:rsidRDefault="00CE7B39"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Ch.29:</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Very</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r w:rsidRPr="008C761D">
              <w:rPr>
                <w:rFonts w:ascii="Arial" w:eastAsia="Times New Roman" w:hAnsi="Arial" w:cs="Arial"/>
                <w:sz w:val="12"/>
                <w:szCs w:val="12"/>
                <w:lang w:val="en-US" w:eastAsia="mk-MK"/>
              </w:rPr>
              <w:br/>
              <w:t>Ch.16:</w:t>
            </w:r>
            <w:r w:rsidRPr="008C761D">
              <w:rPr>
                <w:rFonts w:ascii="Arial" w:eastAsia="Times New Roman" w:hAnsi="Arial" w:cs="Arial"/>
                <w:sz w:val="12"/>
                <w:szCs w:val="12"/>
                <w:lang w:val="en-US" w:eastAsia="mk-MK"/>
              </w:rPr>
              <w:br/>
              <w:t>Good level of preparation</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p>
        </w:tc>
        <w:tc>
          <w:tcPr>
            <w:tcW w:w="1506" w:type="dxa"/>
            <w:gridSpan w:val="3"/>
            <w:shd w:val="clear" w:color="000000" w:fill="FFFF99"/>
            <w:vAlign w:val="center"/>
            <w:hideMark/>
          </w:tcPr>
          <w:p w14:paraId="4B72B2DF" w14:textId="2C42A5A3" w:rsidR="00485BAA" w:rsidRPr="008C761D" w:rsidRDefault="00485BAA" w:rsidP="00482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Ch.29:</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Very</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r w:rsidRPr="008C761D">
              <w:rPr>
                <w:rFonts w:ascii="Arial" w:eastAsia="Times New Roman" w:hAnsi="Arial" w:cs="Arial"/>
                <w:sz w:val="12"/>
                <w:szCs w:val="12"/>
                <w:lang w:val="en-US" w:eastAsia="mk-MK"/>
              </w:rPr>
              <w:br/>
              <w:t>Ch.16:</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Pr="008C761D">
              <w:rPr>
                <w:rFonts w:ascii="Arial" w:eastAsia="Times New Roman" w:hAnsi="Arial" w:cs="Arial"/>
                <w:sz w:val="12"/>
                <w:szCs w:val="12"/>
                <w:lang w:val="en-US" w:eastAsia="mk-MK"/>
              </w:rPr>
              <w:br/>
              <w:t>Good</w:t>
            </w:r>
            <w:r w:rsidR="00D652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progress</w:t>
            </w:r>
          </w:p>
        </w:tc>
      </w:tr>
      <w:tr w:rsidR="00485BAA" w:rsidRPr="008C761D" w14:paraId="4D150F10" w14:textId="77777777" w:rsidTr="003F623B">
        <w:trPr>
          <w:gridBefore w:val="1"/>
          <w:gridAfter w:val="1"/>
          <w:wBefore w:w="17" w:type="dxa"/>
          <w:wAfter w:w="180" w:type="dxa"/>
          <w:trHeight w:val="268"/>
          <w:jc w:val="center"/>
        </w:trPr>
        <w:tc>
          <w:tcPr>
            <w:tcW w:w="13501" w:type="dxa"/>
            <w:gridSpan w:val="25"/>
            <w:shd w:val="clear" w:color="000000" w:fill="9BD2ED"/>
            <w:vAlign w:val="center"/>
            <w:hideMark/>
          </w:tcPr>
          <w:p w14:paraId="0F97C960" w14:textId="5A14544F"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Improved</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revenue</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legislation</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framework, harmonized</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with</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 EU acquis</w:t>
            </w:r>
            <w:r w:rsidR="00A051FF" w:rsidRPr="008C761D">
              <w:rPr>
                <w:rFonts w:ascii="Arial" w:eastAsia="Times New Roman" w:hAnsi="Arial" w:cs="Arial"/>
                <w:b/>
                <w:bCs/>
                <w:sz w:val="12"/>
                <w:szCs w:val="12"/>
                <w:lang w:val="en-US" w:eastAsia="mk-MK"/>
              </w:rPr>
              <w:t xml:space="preserve"> and best practices</w:t>
            </w:r>
          </w:p>
        </w:tc>
      </w:tr>
      <w:tr w:rsidR="00485BAA" w:rsidRPr="008C761D" w14:paraId="21DCD8E5" w14:textId="77777777" w:rsidTr="003F623B">
        <w:trPr>
          <w:gridBefore w:val="1"/>
          <w:gridAfter w:val="1"/>
          <w:wBefore w:w="17" w:type="dxa"/>
          <w:wAfter w:w="180" w:type="dxa"/>
          <w:trHeight w:val="217"/>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3BEFB29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75A2A277" w14:textId="084E974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B3FB31A" w14:textId="4A0F6A3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D652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5C6E0A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7069F5"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9A582B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BC6397"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D959A9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BC6397"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F57D44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BC6397"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778017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BC6397" w:rsidRPr="008C761D">
              <w:rPr>
                <w:rFonts w:ascii="Arial" w:eastAsia="Times New Roman" w:hAnsi="Arial" w:cs="Arial"/>
                <w:b/>
                <w:bCs/>
                <w:sz w:val="12"/>
                <w:szCs w:val="12"/>
                <w:lang w:val="en-US" w:eastAsia="mk-MK"/>
              </w:rPr>
              <w:t>7</w:t>
            </w:r>
          </w:p>
        </w:tc>
      </w:tr>
      <w:tr w:rsidR="00485BAA" w:rsidRPr="008C761D" w14:paraId="5F1360C2" w14:textId="77777777" w:rsidTr="003F623B">
        <w:trPr>
          <w:gridBefore w:val="1"/>
          <w:gridAfter w:val="1"/>
          <w:wBefore w:w="17" w:type="dxa"/>
          <w:wAfter w:w="180" w:type="dxa"/>
          <w:trHeight w:val="1255"/>
          <w:jc w:val="center"/>
        </w:trPr>
        <w:tc>
          <w:tcPr>
            <w:tcW w:w="2368" w:type="dxa"/>
            <w:gridSpan w:val="6"/>
            <w:vMerge/>
            <w:tcBorders>
              <w:top w:val="nil"/>
              <w:left w:val="nil"/>
              <w:bottom w:val="nil"/>
              <w:right w:val="single" w:sz="8" w:space="0" w:color="000000"/>
            </w:tcBorders>
            <w:vAlign w:val="center"/>
            <w:hideMark/>
          </w:tcPr>
          <w:p w14:paraId="3079988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3DDCDAF" w14:textId="78D36128" w:rsidR="00485BAA" w:rsidRPr="008C761D" w:rsidRDefault="00D652D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legislative acts (regarding Ch.16 And Ch.29)</w:t>
            </w:r>
          </w:p>
        </w:tc>
        <w:tc>
          <w:tcPr>
            <w:tcW w:w="1194" w:type="dxa"/>
            <w:gridSpan w:val="3"/>
            <w:shd w:val="clear" w:color="000000" w:fill="FFFF99"/>
            <w:vAlign w:val="center"/>
            <w:hideMark/>
          </w:tcPr>
          <w:p w14:paraId="2F288D77" w14:textId="6D52EC11" w:rsidR="00485BAA" w:rsidRPr="008C761D" w:rsidRDefault="00D652D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Public Revenues and Tax and customs policy department</w:t>
            </w:r>
            <w:r w:rsidR="00485BAA" w:rsidRPr="008C761D">
              <w:rPr>
                <w:rFonts w:ascii="Arial" w:eastAsia="Times New Roman" w:hAnsi="Arial" w:cs="Arial"/>
                <w:sz w:val="12"/>
                <w:szCs w:val="12"/>
                <w:lang w:val="en-US" w:eastAsia="mk-MK"/>
              </w:rPr>
              <w:br/>
            </w:r>
          </w:p>
        </w:tc>
        <w:tc>
          <w:tcPr>
            <w:tcW w:w="1418" w:type="dxa"/>
            <w:gridSpan w:val="2"/>
            <w:shd w:val="clear" w:color="000000" w:fill="FFFF99"/>
            <w:vAlign w:val="center"/>
            <w:hideMark/>
          </w:tcPr>
          <w:p w14:paraId="41C7CE5F" w14:textId="1F9E6F74" w:rsidR="00485BAA" w:rsidRPr="008C761D" w:rsidRDefault="00D652D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22 gap analysis, 9 written recommendations and new legal acts and/or amendments to the existing national tax and customs legislation</w:t>
            </w:r>
          </w:p>
        </w:tc>
        <w:tc>
          <w:tcPr>
            <w:tcW w:w="1644" w:type="dxa"/>
            <w:gridSpan w:val="3"/>
            <w:shd w:val="clear" w:color="000000" w:fill="FFFF99"/>
            <w:vAlign w:val="center"/>
            <w:hideMark/>
          </w:tcPr>
          <w:p w14:paraId="2944D892" w14:textId="3773F072" w:rsidR="00485BAA" w:rsidRPr="008C761D" w:rsidRDefault="00404D96"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Not less tha</w:t>
            </w:r>
            <w:r w:rsidR="00D652D0" w:rsidRPr="008C761D">
              <w:rPr>
                <w:rFonts w:ascii="Arial" w:eastAsia="Times New Roman" w:hAnsi="Arial" w:cs="Arial"/>
                <w:sz w:val="12"/>
                <w:szCs w:val="12"/>
                <w:lang w:val="en-US" w:eastAsia="mk-MK"/>
              </w:rPr>
              <w:t>n 3 legislative acts</w:t>
            </w:r>
          </w:p>
        </w:tc>
        <w:tc>
          <w:tcPr>
            <w:tcW w:w="1758" w:type="dxa"/>
            <w:gridSpan w:val="2"/>
            <w:shd w:val="clear" w:color="000000" w:fill="FFFF99"/>
            <w:vAlign w:val="center"/>
            <w:hideMark/>
          </w:tcPr>
          <w:p w14:paraId="51352C82" w14:textId="178C2675" w:rsidR="00485BAA" w:rsidRPr="008C761D" w:rsidRDefault="00D652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Not less </w:t>
            </w:r>
            <w:r w:rsidR="00404D96" w:rsidRPr="008C761D">
              <w:rPr>
                <w:rFonts w:ascii="Arial" w:eastAsia="Times New Roman" w:hAnsi="Arial" w:cs="Arial"/>
                <w:sz w:val="12"/>
                <w:szCs w:val="12"/>
                <w:lang w:val="en-US" w:eastAsia="mk-MK"/>
              </w:rPr>
              <w:t>than</w:t>
            </w:r>
            <w:r w:rsidRPr="008C761D">
              <w:rPr>
                <w:rFonts w:ascii="Arial" w:eastAsia="Times New Roman" w:hAnsi="Arial" w:cs="Arial"/>
                <w:sz w:val="12"/>
                <w:szCs w:val="12"/>
                <w:lang w:val="en-US" w:eastAsia="mk-MK"/>
              </w:rPr>
              <w:t xml:space="preserve"> 3 legislative acts</w:t>
            </w:r>
          </w:p>
        </w:tc>
        <w:tc>
          <w:tcPr>
            <w:tcW w:w="1842" w:type="dxa"/>
            <w:gridSpan w:val="3"/>
            <w:shd w:val="clear" w:color="000000" w:fill="FFFF99"/>
            <w:vAlign w:val="center"/>
            <w:hideMark/>
          </w:tcPr>
          <w:p w14:paraId="7FF95E66" w14:textId="5F0DE0D9" w:rsidR="00485BAA" w:rsidRPr="008C761D" w:rsidRDefault="00D652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Not less </w:t>
            </w:r>
            <w:r w:rsidR="00404D96" w:rsidRPr="008C761D">
              <w:rPr>
                <w:rFonts w:ascii="Arial" w:eastAsia="Times New Roman" w:hAnsi="Arial" w:cs="Arial"/>
                <w:sz w:val="12"/>
                <w:szCs w:val="12"/>
                <w:lang w:val="en-US" w:eastAsia="mk-MK"/>
              </w:rPr>
              <w:t>than</w:t>
            </w:r>
            <w:r w:rsidRPr="008C761D">
              <w:rPr>
                <w:rFonts w:ascii="Arial" w:eastAsia="Times New Roman" w:hAnsi="Arial" w:cs="Arial"/>
                <w:sz w:val="12"/>
                <w:szCs w:val="12"/>
                <w:lang w:val="en-US" w:eastAsia="mk-MK"/>
              </w:rPr>
              <w:t xml:space="preserve"> 4 legislative acts</w:t>
            </w:r>
          </w:p>
        </w:tc>
        <w:tc>
          <w:tcPr>
            <w:tcW w:w="1506" w:type="dxa"/>
            <w:gridSpan w:val="3"/>
            <w:shd w:val="clear" w:color="000000" w:fill="FFFF99"/>
            <w:vAlign w:val="center"/>
            <w:hideMark/>
          </w:tcPr>
          <w:p w14:paraId="1CA773D5" w14:textId="3AEE465F" w:rsidR="00485BAA" w:rsidRPr="008C761D" w:rsidRDefault="00D652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Not less </w:t>
            </w:r>
            <w:r w:rsidR="00404D96" w:rsidRPr="008C761D">
              <w:rPr>
                <w:rFonts w:ascii="Arial" w:eastAsia="Times New Roman" w:hAnsi="Arial" w:cs="Arial"/>
                <w:sz w:val="12"/>
                <w:szCs w:val="12"/>
                <w:lang w:val="en-US" w:eastAsia="mk-MK"/>
              </w:rPr>
              <w:t>than</w:t>
            </w:r>
            <w:r w:rsidRPr="008C761D">
              <w:rPr>
                <w:rFonts w:ascii="Arial" w:eastAsia="Times New Roman" w:hAnsi="Arial" w:cs="Arial"/>
                <w:sz w:val="12"/>
                <w:szCs w:val="12"/>
                <w:lang w:val="en-US" w:eastAsia="mk-MK"/>
              </w:rPr>
              <w:t xml:space="preserve"> 5 legislative acts</w:t>
            </w:r>
          </w:p>
        </w:tc>
      </w:tr>
      <w:tr w:rsidR="00485BAA" w:rsidRPr="008C761D" w14:paraId="26F6286E" w14:textId="77777777" w:rsidTr="003F623B">
        <w:trPr>
          <w:gridBefore w:val="1"/>
          <w:gridAfter w:val="1"/>
          <w:wBefore w:w="17" w:type="dxa"/>
          <w:wAfter w:w="180" w:type="dxa"/>
          <w:trHeight w:val="267"/>
          <w:jc w:val="center"/>
        </w:trPr>
        <w:tc>
          <w:tcPr>
            <w:tcW w:w="2368" w:type="dxa"/>
            <w:gridSpan w:val="6"/>
            <w:vMerge/>
            <w:tcBorders>
              <w:top w:val="nil"/>
              <w:left w:val="nil"/>
              <w:bottom w:val="nil"/>
              <w:right w:val="single" w:sz="8" w:space="0" w:color="000000"/>
            </w:tcBorders>
            <w:vAlign w:val="center"/>
            <w:hideMark/>
          </w:tcPr>
          <w:p w14:paraId="0573DD0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48F31442" w14:textId="08C48D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05D0317" w14:textId="6F1C788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EF36B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7B4C5E65" w14:textId="34BDC43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EF36B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3BCE4F1D" w14:textId="0DDEBB2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EF36B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4BDE04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351EE58" w14:textId="4BB9AEB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3526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3526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93164D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AB0EB0" w:rsidRPr="008C761D" w14:paraId="70A1B653" w14:textId="77777777" w:rsidTr="003F623B">
        <w:trPr>
          <w:gridBefore w:val="1"/>
          <w:gridAfter w:val="1"/>
          <w:wBefore w:w="17" w:type="dxa"/>
          <w:wAfter w:w="180" w:type="dxa"/>
          <w:trHeight w:val="968"/>
          <w:jc w:val="center"/>
        </w:trPr>
        <w:tc>
          <w:tcPr>
            <w:tcW w:w="2368" w:type="dxa"/>
            <w:gridSpan w:val="6"/>
            <w:vMerge/>
            <w:tcBorders>
              <w:top w:val="nil"/>
              <w:left w:val="nil"/>
              <w:bottom w:val="nil"/>
              <w:right w:val="single" w:sz="8" w:space="0" w:color="000000"/>
            </w:tcBorders>
            <w:vAlign w:val="center"/>
            <w:hideMark/>
          </w:tcPr>
          <w:p w14:paraId="4C79D0C3" w14:textId="77777777" w:rsidR="00AB0EB0" w:rsidRPr="008C761D" w:rsidRDefault="00AB0EB0"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84AA9A5" w14:textId="4347F323" w:rsidR="00AB0EB0" w:rsidRPr="008C761D" w:rsidRDefault="00AB0EB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bCs/>
                <w:sz w:val="12"/>
                <w:szCs w:val="12"/>
                <w:lang w:val="en-US" w:eastAsia="mk-MK"/>
              </w:rPr>
              <w:t xml:space="preserve">1. Gap analysis of the national tax and customs legislation (laws and by-laws) compared to </w:t>
            </w:r>
            <w:proofErr w:type="gramStart"/>
            <w:r w:rsidRPr="008C761D">
              <w:rPr>
                <w:rFonts w:ascii="Arial" w:eastAsia="Times New Roman" w:hAnsi="Arial" w:cs="Arial"/>
                <w:bCs/>
                <w:sz w:val="12"/>
                <w:szCs w:val="12"/>
                <w:lang w:val="en-US" w:eastAsia="mk-MK"/>
              </w:rPr>
              <w:t>the  EU</w:t>
            </w:r>
            <w:proofErr w:type="gramEnd"/>
            <w:r w:rsidRPr="008C761D">
              <w:rPr>
                <w:rFonts w:ascii="Arial" w:eastAsia="Times New Roman" w:hAnsi="Arial" w:cs="Arial"/>
                <w:bCs/>
                <w:sz w:val="12"/>
                <w:szCs w:val="12"/>
                <w:lang w:val="en-US" w:eastAsia="mk-MK"/>
              </w:rPr>
              <w:t xml:space="preserve"> legislation and best practices.</w:t>
            </w:r>
          </w:p>
        </w:tc>
        <w:tc>
          <w:tcPr>
            <w:tcW w:w="1194" w:type="dxa"/>
            <w:gridSpan w:val="3"/>
            <w:shd w:val="clear" w:color="000000" w:fill="FFFF99"/>
            <w:vAlign w:val="center"/>
            <w:hideMark/>
          </w:tcPr>
          <w:p w14:paraId="635B12DB" w14:textId="77777777" w:rsidR="00AB0EB0" w:rsidRPr="008C761D" w:rsidRDefault="00AB0EB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37EF3566" w14:textId="2543F981" w:rsidR="00AB0EB0" w:rsidRPr="008C761D" w:rsidRDefault="00270F3C" w:rsidP="00485BAA">
            <w:pPr>
              <w:spacing w:after="0" w:line="240" w:lineRule="auto"/>
              <w:jc w:val="center"/>
              <w:rPr>
                <w:rFonts w:ascii="Arial" w:eastAsia="Times New Roman" w:hAnsi="Arial" w:cs="Arial"/>
                <w:sz w:val="12"/>
                <w:szCs w:val="12"/>
                <w:lang w:val="en-US" w:eastAsia="mk-MK"/>
              </w:rPr>
            </w:pPr>
            <w:r w:rsidRPr="00431364">
              <w:rPr>
                <w:rFonts w:ascii="Arial" w:eastAsia="Times New Roman" w:hAnsi="Arial" w:cs="Arial"/>
                <w:sz w:val="12"/>
                <w:szCs w:val="12"/>
                <w:lang w:val="en-US" w:eastAsia="mk-MK"/>
              </w:rPr>
              <w:t>MoF – Public revenues and Tax and Customs Policy Department</w:t>
            </w:r>
          </w:p>
        </w:tc>
        <w:tc>
          <w:tcPr>
            <w:tcW w:w="1644" w:type="dxa"/>
            <w:gridSpan w:val="3"/>
            <w:shd w:val="clear" w:color="000000" w:fill="FFFF99"/>
            <w:vAlign w:val="center"/>
            <w:hideMark/>
          </w:tcPr>
          <w:p w14:paraId="6EE05BB9" w14:textId="77777777" w:rsidR="00AB0EB0" w:rsidRPr="008C761D" w:rsidRDefault="00AB0EB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CA and PRO</w:t>
            </w:r>
          </w:p>
        </w:tc>
        <w:tc>
          <w:tcPr>
            <w:tcW w:w="1758" w:type="dxa"/>
            <w:gridSpan w:val="2"/>
            <w:vMerge w:val="restart"/>
            <w:shd w:val="clear" w:color="000000" w:fill="FFFF99"/>
            <w:vAlign w:val="center"/>
            <w:hideMark/>
          </w:tcPr>
          <w:p w14:paraId="302BC7F6" w14:textId="3A47548A" w:rsidR="003C20E4" w:rsidRPr="008C761D" w:rsidRDefault="00AB0EB0"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bCs/>
                <w:sz w:val="12"/>
                <w:szCs w:val="12"/>
                <w:lang w:val="en-US" w:eastAsia="mk-MK"/>
              </w:rPr>
              <w:t>EUR 250.000</w:t>
            </w:r>
          </w:p>
        </w:tc>
        <w:tc>
          <w:tcPr>
            <w:tcW w:w="1842" w:type="dxa"/>
            <w:gridSpan w:val="3"/>
            <w:shd w:val="clear" w:color="000000" w:fill="FFFF99"/>
            <w:vAlign w:val="center"/>
            <w:hideMark/>
          </w:tcPr>
          <w:p w14:paraId="1AA2F6AB" w14:textId="5D830F44" w:rsidR="00AB0EB0" w:rsidRPr="008C761D" w:rsidRDefault="00CE7B3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Twinning Light Project Further harmonization of the tax legislation with the EU Acquis</w:t>
            </w:r>
          </w:p>
        </w:tc>
        <w:tc>
          <w:tcPr>
            <w:tcW w:w="1506" w:type="dxa"/>
            <w:gridSpan w:val="3"/>
            <w:shd w:val="clear" w:color="000000" w:fill="FFFF99"/>
            <w:vAlign w:val="center"/>
            <w:hideMark/>
          </w:tcPr>
          <w:p w14:paraId="78DDD0D7" w14:textId="10DEE03C" w:rsidR="00AB0EB0" w:rsidRPr="008C761D" w:rsidRDefault="00AB0EB0" w:rsidP="00FC63A0">
            <w:pPr>
              <w:spacing w:after="0" w:line="240" w:lineRule="auto"/>
              <w:rPr>
                <w:rFonts w:ascii="Arial" w:eastAsia="Times New Roman" w:hAnsi="Arial" w:cs="Arial"/>
                <w:sz w:val="12"/>
                <w:szCs w:val="12"/>
                <w:lang w:val="en-US" w:eastAsia="mk-MK"/>
              </w:rPr>
            </w:pPr>
          </w:p>
        </w:tc>
      </w:tr>
      <w:tr w:rsidR="00AB0EB0" w:rsidRPr="008C761D" w14:paraId="23DD56E2" w14:textId="77777777" w:rsidTr="003F623B">
        <w:trPr>
          <w:gridBefore w:val="1"/>
          <w:gridAfter w:val="1"/>
          <w:wBefore w:w="17" w:type="dxa"/>
          <w:wAfter w:w="180" w:type="dxa"/>
          <w:trHeight w:val="968"/>
          <w:jc w:val="center"/>
        </w:trPr>
        <w:tc>
          <w:tcPr>
            <w:tcW w:w="2368" w:type="dxa"/>
            <w:gridSpan w:val="6"/>
            <w:tcBorders>
              <w:top w:val="nil"/>
              <w:left w:val="nil"/>
              <w:bottom w:val="nil"/>
              <w:right w:val="single" w:sz="8" w:space="0" w:color="000000"/>
            </w:tcBorders>
            <w:vAlign w:val="center"/>
          </w:tcPr>
          <w:p w14:paraId="06DC6F7D" w14:textId="77777777" w:rsidR="00AB0EB0" w:rsidRPr="008C761D" w:rsidRDefault="00AB0EB0"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51ADC016" w14:textId="0CC91A5C" w:rsidR="00AB0EB0" w:rsidRPr="008C761D" w:rsidRDefault="00EF36B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New legal acts and/or amendments to the existing national tax and customs legislation (laws and by-laws) drafted in line with the EU legislation and best practices.</w:t>
            </w:r>
          </w:p>
        </w:tc>
        <w:tc>
          <w:tcPr>
            <w:tcW w:w="1194" w:type="dxa"/>
            <w:gridSpan w:val="3"/>
            <w:shd w:val="clear" w:color="000000" w:fill="FFFF99"/>
            <w:vAlign w:val="center"/>
          </w:tcPr>
          <w:p w14:paraId="11AEF63E" w14:textId="77777777" w:rsidR="00AB0EB0" w:rsidRPr="008C761D" w:rsidRDefault="00AB0EB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002971BC" w14:textId="3BC79B50" w:rsidR="00AB0EB0" w:rsidRPr="008C761D" w:rsidRDefault="00270F3C" w:rsidP="00485BAA">
            <w:pPr>
              <w:spacing w:after="0" w:line="240" w:lineRule="auto"/>
              <w:jc w:val="center"/>
              <w:rPr>
                <w:rFonts w:ascii="Arial" w:eastAsia="Times New Roman" w:hAnsi="Arial" w:cs="Arial"/>
                <w:sz w:val="12"/>
                <w:szCs w:val="12"/>
                <w:lang w:val="en-US" w:eastAsia="mk-MK"/>
              </w:rPr>
            </w:pPr>
            <w:r w:rsidRPr="00431364">
              <w:rPr>
                <w:rFonts w:ascii="Arial" w:eastAsia="Times New Roman" w:hAnsi="Arial" w:cs="Arial"/>
                <w:sz w:val="12"/>
                <w:szCs w:val="12"/>
                <w:lang w:val="en-US" w:eastAsia="mk-MK"/>
              </w:rPr>
              <w:t>MoF – Public revenues and Tax and Customs Policy Department</w:t>
            </w:r>
          </w:p>
        </w:tc>
        <w:tc>
          <w:tcPr>
            <w:tcW w:w="1644" w:type="dxa"/>
            <w:gridSpan w:val="3"/>
            <w:shd w:val="clear" w:color="000000" w:fill="FFFF99"/>
            <w:vAlign w:val="center"/>
          </w:tcPr>
          <w:p w14:paraId="50FCD82B" w14:textId="77777777" w:rsidR="00AB0EB0" w:rsidRPr="008C761D" w:rsidRDefault="00AB0EB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CA and PRO</w:t>
            </w:r>
          </w:p>
        </w:tc>
        <w:tc>
          <w:tcPr>
            <w:tcW w:w="1758" w:type="dxa"/>
            <w:gridSpan w:val="2"/>
            <w:vMerge/>
            <w:shd w:val="clear" w:color="000000" w:fill="FFFF99"/>
            <w:vAlign w:val="center"/>
          </w:tcPr>
          <w:p w14:paraId="0EFDBD2C" w14:textId="77777777" w:rsidR="00AB0EB0" w:rsidRPr="008C761D" w:rsidRDefault="00AB0EB0" w:rsidP="00485BAA">
            <w:pPr>
              <w:spacing w:after="0" w:line="240" w:lineRule="auto"/>
              <w:jc w:val="center"/>
              <w:rPr>
                <w:rFonts w:ascii="Arial" w:eastAsia="Times New Roman" w:hAnsi="Arial" w:cs="Arial"/>
                <w:sz w:val="12"/>
                <w:szCs w:val="12"/>
                <w:lang w:val="en-US" w:eastAsia="mk-MK"/>
              </w:rPr>
            </w:pPr>
          </w:p>
        </w:tc>
        <w:tc>
          <w:tcPr>
            <w:tcW w:w="1842" w:type="dxa"/>
            <w:gridSpan w:val="3"/>
            <w:shd w:val="clear" w:color="000000" w:fill="FFFF99"/>
            <w:vAlign w:val="center"/>
          </w:tcPr>
          <w:p w14:paraId="374EF0CA" w14:textId="77777777" w:rsidR="00AB0EB0" w:rsidRPr="008C761D" w:rsidRDefault="00CE7B3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Twinning Light Project Further harmonization of the tax legislation with the EU Acquis</w:t>
            </w:r>
          </w:p>
        </w:tc>
        <w:tc>
          <w:tcPr>
            <w:tcW w:w="1506" w:type="dxa"/>
            <w:gridSpan w:val="3"/>
            <w:shd w:val="clear" w:color="000000" w:fill="FFFF99"/>
            <w:vAlign w:val="center"/>
          </w:tcPr>
          <w:p w14:paraId="6A784AE0" w14:textId="1CDACC5D" w:rsidR="00AB0EB0" w:rsidRPr="008C761D" w:rsidRDefault="00AB0EB0" w:rsidP="00FC63A0">
            <w:pPr>
              <w:spacing w:after="0" w:line="240" w:lineRule="auto"/>
              <w:rPr>
                <w:rFonts w:ascii="Arial" w:eastAsia="Times New Roman" w:hAnsi="Arial" w:cs="Arial"/>
                <w:sz w:val="12"/>
                <w:szCs w:val="12"/>
                <w:lang w:val="en-US" w:eastAsia="mk-MK"/>
              </w:rPr>
            </w:pPr>
          </w:p>
        </w:tc>
      </w:tr>
      <w:tr w:rsidR="00485BAA" w:rsidRPr="008C761D" w14:paraId="211C23F5"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7D5AD7F7" w14:textId="3366FBF2"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 Revenue</w:t>
            </w:r>
            <w:r w:rsidR="00EF36B9"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mobilization</w:t>
            </w:r>
          </w:p>
        </w:tc>
      </w:tr>
      <w:tr w:rsidR="00485BAA" w:rsidRPr="008C761D" w14:paraId="3383BFF1" w14:textId="77777777" w:rsidTr="003F623B">
        <w:trPr>
          <w:gridBefore w:val="1"/>
          <w:gridAfter w:val="1"/>
          <w:wBefore w:w="17" w:type="dxa"/>
          <w:wAfter w:w="180" w:type="dxa"/>
          <w:trHeight w:val="268"/>
          <w:jc w:val="center"/>
        </w:trPr>
        <w:tc>
          <w:tcPr>
            <w:tcW w:w="13501" w:type="dxa"/>
            <w:gridSpan w:val="25"/>
            <w:shd w:val="clear" w:color="000000" w:fill="1F3864"/>
            <w:vAlign w:val="center"/>
            <w:hideMark/>
          </w:tcPr>
          <w:p w14:paraId="4F9C1FFB" w14:textId="0AF2E78B"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bookmarkStart w:id="90" w:name="RANGE!A88"/>
            <w:r w:rsidRPr="008C761D">
              <w:rPr>
                <w:rFonts w:ascii="Arial" w:eastAsia="Times New Roman" w:hAnsi="Arial" w:cs="Arial"/>
                <w:b/>
                <w:bCs/>
                <w:color w:val="FFFFFF"/>
                <w:sz w:val="12"/>
                <w:szCs w:val="12"/>
                <w:lang w:val="en-US" w:eastAsia="mk-MK"/>
              </w:rPr>
              <w:t>PRIORITY 2. Tax</w:t>
            </w:r>
            <w:r w:rsidR="00EF36B9"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Administration</w:t>
            </w:r>
            <w:bookmarkEnd w:id="90"/>
          </w:p>
        </w:tc>
      </w:tr>
      <w:tr w:rsidR="00485BAA" w:rsidRPr="008C761D" w14:paraId="3DE01612" w14:textId="77777777" w:rsidTr="003F623B">
        <w:trPr>
          <w:gridBefore w:val="1"/>
          <w:gridAfter w:val="1"/>
          <w:wBefore w:w="17" w:type="dxa"/>
          <w:wAfter w:w="180" w:type="dxa"/>
          <w:trHeight w:val="251"/>
          <w:jc w:val="center"/>
        </w:trPr>
        <w:tc>
          <w:tcPr>
            <w:tcW w:w="2368" w:type="dxa"/>
            <w:gridSpan w:val="6"/>
            <w:shd w:val="clear" w:color="000000" w:fill="9BD2ED"/>
            <w:vAlign w:val="center"/>
            <w:hideMark/>
          </w:tcPr>
          <w:p w14:paraId="60675FA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78CCB6F2" w14:textId="6DE6C06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EF36B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0934DBC" w14:textId="486F34F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EF36B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E1A0DD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13906"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18911A0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1A0C8E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048F70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6A39939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7</w:t>
            </w:r>
          </w:p>
        </w:tc>
      </w:tr>
      <w:tr w:rsidR="00485BAA" w:rsidRPr="008C761D" w14:paraId="55BE88E7" w14:textId="77777777" w:rsidTr="003F623B">
        <w:trPr>
          <w:gridBefore w:val="1"/>
          <w:gridAfter w:val="1"/>
          <w:wBefore w:w="17" w:type="dxa"/>
          <w:wAfter w:w="180" w:type="dxa"/>
          <w:trHeight w:val="327"/>
          <w:jc w:val="center"/>
        </w:trPr>
        <w:tc>
          <w:tcPr>
            <w:tcW w:w="2368" w:type="dxa"/>
            <w:gridSpan w:val="6"/>
            <w:shd w:val="clear" w:color="000000" w:fill="FFFF99"/>
            <w:vAlign w:val="center"/>
            <w:hideMark/>
          </w:tcPr>
          <w:p w14:paraId="58BB80F0" w14:textId="7D746F5C" w:rsidR="00485BAA" w:rsidRPr="008C761D" w:rsidRDefault="00EF36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Improved stability, efficiency and quality of the revenue collection </w:t>
            </w:r>
            <w:proofErr w:type="gramStart"/>
            <w:r w:rsidRPr="008C761D">
              <w:rPr>
                <w:rFonts w:ascii="Arial" w:eastAsia="Times New Roman" w:hAnsi="Arial" w:cs="Arial"/>
                <w:sz w:val="12"/>
                <w:szCs w:val="12"/>
                <w:lang w:val="en-US" w:eastAsia="mk-MK"/>
              </w:rPr>
              <w:t>system  (</w:t>
            </w:r>
            <w:proofErr w:type="gramEnd"/>
            <w:r w:rsidRPr="008C761D">
              <w:rPr>
                <w:rFonts w:ascii="Arial" w:eastAsia="Times New Roman" w:hAnsi="Arial" w:cs="Arial"/>
                <w:sz w:val="12"/>
                <w:szCs w:val="12"/>
                <w:lang w:val="en-US" w:eastAsia="mk-MK"/>
              </w:rPr>
              <w:t>IT system)</w:t>
            </w:r>
          </w:p>
        </w:tc>
        <w:tc>
          <w:tcPr>
            <w:tcW w:w="1771" w:type="dxa"/>
            <w:gridSpan w:val="3"/>
            <w:shd w:val="clear" w:color="000000" w:fill="FFFF99"/>
            <w:vAlign w:val="center"/>
            <w:hideMark/>
          </w:tcPr>
          <w:p w14:paraId="2C4E4D35" w14:textId="336C671B" w:rsidR="00485BAA" w:rsidRPr="008C761D" w:rsidRDefault="00EF36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percentage of digitized tax services</w:t>
            </w:r>
          </w:p>
        </w:tc>
        <w:tc>
          <w:tcPr>
            <w:tcW w:w="1194" w:type="dxa"/>
            <w:gridSpan w:val="3"/>
            <w:shd w:val="clear" w:color="000000" w:fill="FFFF99"/>
            <w:vAlign w:val="center"/>
            <w:hideMark/>
          </w:tcPr>
          <w:p w14:paraId="52F4B1C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10563DF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83%</w:t>
            </w:r>
          </w:p>
        </w:tc>
        <w:tc>
          <w:tcPr>
            <w:tcW w:w="1644" w:type="dxa"/>
            <w:gridSpan w:val="3"/>
            <w:shd w:val="clear" w:color="000000" w:fill="FFFF99"/>
            <w:vAlign w:val="center"/>
            <w:hideMark/>
          </w:tcPr>
          <w:p w14:paraId="57934E65" w14:textId="77777777" w:rsidR="00485BAA" w:rsidRPr="008C761D" w:rsidRDefault="00C742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90</w:t>
            </w:r>
            <w:r w:rsidR="00485BAA"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9335E98" w14:textId="77777777" w:rsidR="00485BAA" w:rsidRPr="008C761D" w:rsidRDefault="00C742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92</w:t>
            </w:r>
            <w:r w:rsidR="00485BAA"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52C0C84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w:t>
            </w:r>
            <w:r w:rsidR="00C742B4"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48CF5A0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w:t>
            </w:r>
          </w:p>
        </w:tc>
      </w:tr>
      <w:tr w:rsidR="00485BAA" w:rsidRPr="008C761D" w14:paraId="7F5900D0" w14:textId="77777777" w:rsidTr="003F623B">
        <w:trPr>
          <w:gridBefore w:val="1"/>
          <w:gridAfter w:val="1"/>
          <w:wBefore w:w="17" w:type="dxa"/>
          <w:wAfter w:w="180" w:type="dxa"/>
          <w:trHeight w:val="973"/>
          <w:jc w:val="center"/>
        </w:trPr>
        <w:tc>
          <w:tcPr>
            <w:tcW w:w="2368" w:type="dxa"/>
            <w:gridSpan w:val="6"/>
            <w:vMerge w:val="restart"/>
            <w:shd w:val="clear" w:color="000000" w:fill="FFFF99"/>
            <w:vAlign w:val="center"/>
            <w:hideMark/>
          </w:tcPr>
          <w:p w14:paraId="0996DA24" w14:textId="4D228846" w:rsidR="00485BAA" w:rsidRPr="008C761D" w:rsidRDefault="00EF36B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More effective and efficient management of the overdue tax debt</w:t>
            </w:r>
          </w:p>
        </w:tc>
        <w:tc>
          <w:tcPr>
            <w:tcW w:w="1771" w:type="dxa"/>
            <w:gridSpan w:val="3"/>
            <w:vMerge w:val="restart"/>
            <w:shd w:val="clear" w:color="000000" w:fill="FFFF99"/>
            <w:vAlign w:val="center"/>
            <w:hideMark/>
          </w:tcPr>
          <w:p w14:paraId="7B3B50D8" w14:textId="5FAE60A9"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rate of tax payment on time (VAT)</w:t>
            </w:r>
          </w:p>
        </w:tc>
        <w:tc>
          <w:tcPr>
            <w:tcW w:w="1194" w:type="dxa"/>
            <w:gridSpan w:val="3"/>
            <w:vMerge w:val="restart"/>
            <w:shd w:val="clear" w:color="000000" w:fill="FFFF99"/>
            <w:vAlign w:val="center"/>
            <w:hideMark/>
          </w:tcPr>
          <w:p w14:paraId="2D99706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vMerge w:val="restart"/>
            <w:shd w:val="clear" w:color="000000" w:fill="FFFF99"/>
            <w:vAlign w:val="center"/>
            <w:hideMark/>
          </w:tcPr>
          <w:p w14:paraId="7279AB54" w14:textId="467E16E4"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Rate on number of timely payments - 60%</w:t>
            </w:r>
            <w:r w:rsidRPr="008C761D">
              <w:rPr>
                <w:rFonts w:ascii="Arial" w:eastAsia="Times New Roman" w:hAnsi="Arial" w:cs="Arial"/>
                <w:sz w:val="12"/>
                <w:szCs w:val="12"/>
                <w:lang w:val="en-US" w:eastAsia="mk-MK"/>
              </w:rPr>
              <w:br/>
              <w:t>Rate on amount of timely payments - 70%</w:t>
            </w:r>
          </w:p>
        </w:tc>
        <w:tc>
          <w:tcPr>
            <w:tcW w:w="1644" w:type="dxa"/>
            <w:gridSpan w:val="3"/>
            <w:vMerge w:val="restart"/>
            <w:shd w:val="clear" w:color="000000" w:fill="FFFF99"/>
            <w:vAlign w:val="center"/>
            <w:hideMark/>
          </w:tcPr>
          <w:p w14:paraId="40AEB126" w14:textId="38416FB5"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Rate on number of timely payments – 65%</w:t>
            </w:r>
            <w:r w:rsidRPr="008C761D">
              <w:rPr>
                <w:rFonts w:ascii="Arial" w:eastAsia="Times New Roman" w:hAnsi="Arial" w:cs="Arial"/>
                <w:sz w:val="12"/>
                <w:szCs w:val="12"/>
                <w:lang w:val="en-US" w:eastAsia="mk-MK"/>
              </w:rPr>
              <w:br/>
              <w:t>Rate on amount of timely payments - 75%</w:t>
            </w:r>
          </w:p>
        </w:tc>
        <w:tc>
          <w:tcPr>
            <w:tcW w:w="1758" w:type="dxa"/>
            <w:gridSpan w:val="2"/>
            <w:vMerge w:val="restart"/>
            <w:shd w:val="clear" w:color="000000" w:fill="FFFF99"/>
            <w:vAlign w:val="center"/>
            <w:hideMark/>
          </w:tcPr>
          <w:p w14:paraId="08CECD8F" w14:textId="69510FA8"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Rate on number of timely payments – 70%</w:t>
            </w:r>
            <w:r w:rsidRPr="008C761D">
              <w:rPr>
                <w:rFonts w:ascii="Arial" w:eastAsia="Times New Roman" w:hAnsi="Arial" w:cs="Arial"/>
                <w:sz w:val="12"/>
                <w:szCs w:val="12"/>
                <w:lang w:val="en-US" w:eastAsia="mk-MK"/>
              </w:rPr>
              <w:br/>
              <w:t>Rate on amount of timely payments - - 80%</w:t>
            </w:r>
          </w:p>
        </w:tc>
        <w:tc>
          <w:tcPr>
            <w:tcW w:w="1842" w:type="dxa"/>
            <w:gridSpan w:val="3"/>
            <w:vMerge w:val="restart"/>
            <w:shd w:val="clear" w:color="000000" w:fill="FFFF99"/>
            <w:vAlign w:val="center"/>
            <w:hideMark/>
          </w:tcPr>
          <w:p w14:paraId="00B096C2" w14:textId="3A6A9DE1"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Rate on number of timely payments – 80%</w:t>
            </w:r>
            <w:r w:rsidRPr="008C761D">
              <w:rPr>
                <w:rFonts w:ascii="Arial" w:eastAsia="Times New Roman" w:hAnsi="Arial" w:cs="Arial"/>
                <w:sz w:val="12"/>
                <w:szCs w:val="12"/>
                <w:lang w:val="en-US" w:eastAsia="mk-MK"/>
              </w:rPr>
              <w:br/>
              <w:t>Rate on amount of timely payments - 85%</w:t>
            </w:r>
          </w:p>
        </w:tc>
        <w:tc>
          <w:tcPr>
            <w:tcW w:w="1506" w:type="dxa"/>
            <w:gridSpan w:val="3"/>
            <w:vMerge w:val="restart"/>
            <w:shd w:val="clear" w:color="000000" w:fill="FFFF99"/>
            <w:vAlign w:val="center"/>
            <w:hideMark/>
          </w:tcPr>
          <w:p w14:paraId="11943F9C" w14:textId="3501B651"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Rate on number of timely payments </w:t>
            </w:r>
            <w:proofErr w:type="gramStart"/>
            <w:r w:rsidRPr="008C761D">
              <w:rPr>
                <w:rFonts w:ascii="Arial" w:eastAsia="Times New Roman" w:hAnsi="Arial" w:cs="Arial"/>
                <w:sz w:val="12"/>
                <w:szCs w:val="12"/>
                <w:lang w:val="en-US" w:eastAsia="mk-MK"/>
              </w:rPr>
              <w:t>–  90</w:t>
            </w:r>
            <w:proofErr w:type="gramEnd"/>
            <w:r w:rsidRPr="008C761D">
              <w:rPr>
                <w:rFonts w:ascii="Arial" w:eastAsia="Times New Roman" w:hAnsi="Arial" w:cs="Arial"/>
                <w:sz w:val="12"/>
                <w:szCs w:val="12"/>
                <w:lang w:val="en-US" w:eastAsia="mk-MK"/>
              </w:rPr>
              <w:t>%</w:t>
            </w:r>
            <w:r w:rsidRPr="008C761D">
              <w:rPr>
                <w:rFonts w:ascii="Arial" w:eastAsia="Times New Roman" w:hAnsi="Arial" w:cs="Arial"/>
                <w:sz w:val="12"/>
                <w:szCs w:val="12"/>
                <w:lang w:val="en-US" w:eastAsia="mk-MK"/>
              </w:rPr>
              <w:br/>
              <w:t>Rate on amount of timely payments - - 90%</w:t>
            </w:r>
          </w:p>
        </w:tc>
      </w:tr>
      <w:tr w:rsidR="00031ACD" w:rsidRPr="008C761D" w14:paraId="6CC352F3" w14:textId="77777777" w:rsidTr="003F623B">
        <w:trPr>
          <w:gridBefore w:val="1"/>
          <w:gridAfter w:val="1"/>
          <w:wBefore w:w="17" w:type="dxa"/>
          <w:wAfter w:w="180" w:type="dxa"/>
          <w:trHeight w:val="269"/>
          <w:jc w:val="center"/>
        </w:trPr>
        <w:tc>
          <w:tcPr>
            <w:tcW w:w="2368" w:type="dxa"/>
            <w:gridSpan w:val="6"/>
            <w:vMerge/>
            <w:vAlign w:val="center"/>
            <w:hideMark/>
          </w:tcPr>
          <w:p w14:paraId="1481194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ign w:val="center"/>
            <w:hideMark/>
          </w:tcPr>
          <w:p w14:paraId="37B43FD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1902F78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21DE9B4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73F7FD8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vMerge/>
            <w:vAlign w:val="center"/>
            <w:hideMark/>
          </w:tcPr>
          <w:p w14:paraId="0BC7401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vMerge/>
            <w:vAlign w:val="center"/>
            <w:hideMark/>
          </w:tcPr>
          <w:p w14:paraId="75F1ECB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vMerge/>
            <w:vAlign w:val="center"/>
            <w:hideMark/>
          </w:tcPr>
          <w:p w14:paraId="5D143F0A" w14:textId="77777777" w:rsidR="00485BAA" w:rsidRPr="008C761D" w:rsidRDefault="00485BAA" w:rsidP="00485BAA">
            <w:pPr>
              <w:spacing w:after="0" w:line="240" w:lineRule="auto"/>
              <w:rPr>
                <w:rFonts w:ascii="Arial" w:eastAsia="Times New Roman" w:hAnsi="Arial" w:cs="Arial"/>
                <w:sz w:val="12"/>
                <w:szCs w:val="12"/>
                <w:lang w:val="en-US" w:eastAsia="mk-MK"/>
              </w:rPr>
            </w:pPr>
          </w:p>
        </w:tc>
      </w:tr>
      <w:tr w:rsidR="00485BAA" w:rsidRPr="008C761D" w14:paraId="3600AC3A" w14:textId="77777777" w:rsidTr="003F623B">
        <w:trPr>
          <w:gridBefore w:val="1"/>
          <w:gridAfter w:val="1"/>
          <w:wBefore w:w="17" w:type="dxa"/>
          <w:wAfter w:w="180" w:type="dxa"/>
          <w:trHeight w:val="961"/>
          <w:jc w:val="center"/>
        </w:trPr>
        <w:tc>
          <w:tcPr>
            <w:tcW w:w="2368" w:type="dxa"/>
            <w:gridSpan w:val="6"/>
            <w:vMerge/>
            <w:vAlign w:val="center"/>
            <w:hideMark/>
          </w:tcPr>
          <w:p w14:paraId="1C5218D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148F743B" w14:textId="4C4FEEAE"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age structure of the tax debt (VAT) - reduced share of the debt older than 12 months in the total tax debt</w:t>
            </w:r>
          </w:p>
        </w:tc>
        <w:tc>
          <w:tcPr>
            <w:tcW w:w="1194" w:type="dxa"/>
            <w:gridSpan w:val="3"/>
            <w:shd w:val="clear" w:color="000000" w:fill="FFFF99"/>
            <w:vAlign w:val="center"/>
            <w:hideMark/>
          </w:tcPr>
          <w:p w14:paraId="5E6AAE8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3DB692F7" w14:textId="354CA471" w:rsidR="00485BAA" w:rsidRPr="008C761D" w:rsidRDefault="00410554"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VAT debt (principal debt) over 12 months old in the total VAT debt at the end of FP - 77%</w:t>
            </w:r>
          </w:p>
        </w:tc>
        <w:tc>
          <w:tcPr>
            <w:tcW w:w="1644" w:type="dxa"/>
            <w:gridSpan w:val="3"/>
            <w:shd w:val="clear" w:color="000000" w:fill="FFFF99"/>
            <w:vAlign w:val="center"/>
            <w:hideMark/>
          </w:tcPr>
          <w:p w14:paraId="2030D55D" w14:textId="100DED9E"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VAT debt (principal debt) over 12 months old in the total VAT debt at the end of FP - 70%</w:t>
            </w:r>
          </w:p>
        </w:tc>
        <w:tc>
          <w:tcPr>
            <w:tcW w:w="1758" w:type="dxa"/>
            <w:gridSpan w:val="2"/>
            <w:shd w:val="clear" w:color="000000" w:fill="FFFF99"/>
            <w:vAlign w:val="center"/>
            <w:hideMark/>
          </w:tcPr>
          <w:p w14:paraId="0C761D24" w14:textId="16DAEA1F" w:rsidR="00485BAA" w:rsidRPr="008C761D" w:rsidRDefault="00410554"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VAT debt (principal debt) over 12 months old in the total VAT debt at the end of FP - 63%</w:t>
            </w:r>
          </w:p>
        </w:tc>
        <w:tc>
          <w:tcPr>
            <w:tcW w:w="1842" w:type="dxa"/>
            <w:gridSpan w:val="3"/>
            <w:shd w:val="clear" w:color="000000" w:fill="FFFF99"/>
            <w:vAlign w:val="center"/>
            <w:hideMark/>
          </w:tcPr>
          <w:p w14:paraId="2A48A514" w14:textId="6AE71448"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VAT debt (principal debt) over 12 months old in the total VAT debt at the end of FP - 56%</w:t>
            </w:r>
          </w:p>
        </w:tc>
        <w:tc>
          <w:tcPr>
            <w:tcW w:w="1506" w:type="dxa"/>
            <w:gridSpan w:val="3"/>
            <w:shd w:val="clear" w:color="000000" w:fill="FFFF99"/>
            <w:vAlign w:val="center"/>
            <w:hideMark/>
          </w:tcPr>
          <w:p w14:paraId="3FF1B02E" w14:textId="3B77078B"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VAT debt (principal debt) over 12 months old in the total VAT debt at the end of FP - 50%</w:t>
            </w:r>
          </w:p>
        </w:tc>
      </w:tr>
      <w:tr w:rsidR="00C742B4" w:rsidRPr="008C761D" w14:paraId="6A7D1436" w14:textId="77777777" w:rsidTr="003F623B">
        <w:trPr>
          <w:gridBefore w:val="1"/>
          <w:gridAfter w:val="1"/>
          <w:wBefore w:w="17" w:type="dxa"/>
          <w:wAfter w:w="180" w:type="dxa"/>
          <w:trHeight w:val="961"/>
          <w:jc w:val="center"/>
        </w:trPr>
        <w:tc>
          <w:tcPr>
            <w:tcW w:w="2368" w:type="dxa"/>
            <w:gridSpan w:val="6"/>
            <w:shd w:val="clear" w:color="auto" w:fill="FFFF99"/>
            <w:vAlign w:val="center"/>
          </w:tcPr>
          <w:p w14:paraId="52DC0CE7" w14:textId="4C4CB9EC" w:rsidR="00C742B4" w:rsidRPr="008C761D" w:rsidRDefault="00EF36B9" w:rsidP="00C742B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fully established systematic process for managing tax compliance risks</w:t>
            </w:r>
          </w:p>
        </w:tc>
        <w:tc>
          <w:tcPr>
            <w:tcW w:w="1771" w:type="dxa"/>
            <w:gridSpan w:val="3"/>
            <w:shd w:val="clear" w:color="000000" w:fill="FFFF99"/>
            <w:vAlign w:val="center"/>
          </w:tcPr>
          <w:p w14:paraId="5EE7DFF8" w14:textId="63F540F3" w:rsidR="00C742B4"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Increased number of taxpayers who voluntarily comply</w:t>
            </w:r>
          </w:p>
        </w:tc>
        <w:tc>
          <w:tcPr>
            <w:tcW w:w="1194" w:type="dxa"/>
            <w:gridSpan w:val="3"/>
            <w:shd w:val="clear" w:color="000000" w:fill="FFFF99"/>
            <w:vAlign w:val="center"/>
          </w:tcPr>
          <w:p w14:paraId="00881613" w14:textId="77777777" w:rsidR="00C742B4" w:rsidRPr="008C761D" w:rsidRDefault="00C742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tcPr>
          <w:p w14:paraId="7FC3765E" w14:textId="2BDD8D14" w:rsidR="00C742B4" w:rsidRPr="008C761D" w:rsidRDefault="00410554"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timely submitted tax returns and tax payments</w:t>
            </w:r>
          </w:p>
        </w:tc>
        <w:tc>
          <w:tcPr>
            <w:tcW w:w="1644" w:type="dxa"/>
            <w:gridSpan w:val="3"/>
            <w:shd w:val="clear" w:color="000000" w:fill="FFFF99"/>
            <w:vAlign w:val="center"/>
          </w:tcPr>
          <w:p w14:paraId="08A0FF72" w14:textId="5E118628" w:rsidR="00C742B4"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timely submitted returns and taxes payment compared to the previous year</w:t>
            </w:r>
          </w:p>
        </w:tc>
        <w:tc>
          <w:tcPr>
            <w:tcW w:w="1758" w:type="dxa"/>
            <w:gridSpan w:val="2"/>
            <w:shd w:val="clear" w:color="000000" w:fill="FFFF99"/>
            <w:vAlign w:val="center"/>
          </w:tcPr>
          <w:p w14:paraId="23746AD8" w14:textId="441917C3" w:rsidR="00C742B4" w:rsidRPr="008C761D" w:rsidRDefault="00410554"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timely submitted returns and taxes payment compared to the previous year</w:t>
            </w:r>
          </w:p>
        </w:tc>
        <w:tc>
          <w:tcPr>
            <w:tcW w:w="1842" w:type="dxa"/>
            <w:gridSpan w:val="3"/>
            <w:shd w:val="clear" w:color="000000" w:fill="FFFF99"/>
            <w:vAlign w:val="center"/>
          </w:tcPr>
          <w:p w14:paraId="44339D50" w14:textId="09E03253" w:rsidR="00C742B4"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timely submitted returns and taxes payment compared to the previous year</w:t>
            </w:r>
          </w:p>
        </w:tc>
        <w:tc>
          <w:tcPr>
            <w:tcW w:w="1506" w:type="dxa"/>
            <w:gridSpan w:val="3"/>
            <w:shd w:val="clear" w:color="000000" w:fill="FFFF99"/>
            <w:vAlign w:val="center"/>
          </w:tcPr>
          <w:p w14:paraId="0B26CC6C" w14:textId="5035D4C0" w:rsidR="00C742B4"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timely submitted returns and taxes payment compared to the previous year</w:t>
            </w:r>
          </w:p>
        </w:tc>
      </w:tr>
      <w:tr w:rsidR="00485BAA" w:rsidRPr="008C761D" w14:paraId="72BF9E64" w14:textId="77777777" w:rsidTr="003F623B">
        <w:trPr>
          <w:gridBefore w:val="1"/>
          <w:gridAfter w:val="1"/>
          <w:wBefore w:w="17" w:type="dxa"/>
          <w:wAfter w:w="180" w:type="dxa"/>
          <w:trHeight w:val="250"/>
          <w:jc w:val="center"/>
        </w:trPr>
        <w:tc>
          <w:tcPr>
            <w:tcW w:w="13501" w:type="dxa"/>
            <w:gridSpan w:val="25"/>
            <w:shd w:val="clear" w:color="000000" w:fill="9BD2ED"/>
            <w:vAlign w:val="center"/>
            <w:hideMark/>
          </w:tcPr>
          <w:p w14:paraId="5B7D58AC" w14:textId="0558C221"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 1</w:t>
            </w:r>
            <w:r w:rsidR="00577A56">
              <w:rPr>
                <w:rFonts w:ascii="Arial" w:eastAsia="Times New Roman" w:hAnsi="Arial" w:cs="Arial"/>
                <w:b/>
                <w:bCs/>
                <w:sz w:val="12"/>
                <w:szCs w:val="12"/>
                <w:lang w:val="en-US" w:eastAsia="mk-MK"/>
              </w:rPr>
              <w:t>.</w:t>
            </w:r>
            <w:r w:rsidR="002D232A">
              <w:rPr>
                <w:rFonts w:ascii="Arial" w:eastAsia="Times New Roman" w:hAnsi="Arial" w:cs="Arial"/>
                <w:b/>
                <w:bCs/>
                <w:sz w:val="12"/>
                <w:szCs w:val="12"/>
                <w:lang w:eastAsia="mk-MK"/>
              </w:rPr>
              <w:t xml:space="preserve"> </w:t>
            </w:r>
            <w:r w:rsidRPr="008C761D">
              <w:rPr>
                <w:rFonts w:ascii="Arial" w:eastAsia="Times New Roman" w:hAnsi="Arial" w:cs="Arial"/>
                <w:b/>
                <w:bCs/>
                <w:sz w:val="12"/>
                <w:szCs w:val="12"/>
                <w:lang w:val="en-US" w:eastAsia="mk-MK"/>
              </w:rPr>
              <w:t>Strengthen</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administrative</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capacity</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for</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better</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revenue</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collection</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tax</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compliance</w:t>
            </w:r>
          </w:p>
        </w:tc>
      </w:tr>
      <w:tr w:rsidR="00485BAA" w:rsidRPr="008C761D" w14:paraId="60895CA2" w14:textId="77777777" w:rsidTr="003F623B">
        <w:trPr>
          <w:gridBefore w:val="1"/>
          <w:gridAfter w:val="1"/>
          <w:wBefore w:w="17" w:type="dxa"/>
          <w:wAfter w:w="180" w:type="dxa"/>
          <w:trHeight w:val="268"/>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3C2C4F5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0AECEE44" w14:textId="47AD85D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3E7D4D84" w14:textId="66F48E5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41055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8139E3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C742B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3AA697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B9CFC3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08542E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3640E6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C742B4" w:rsidRPr="008C761D">
              <w:rPr>
                <w:rFonts w:ascii="Arial" w:eastAsia="Times New Roman" w:hAnsi="Arial" w:cs="Arial"/>
                <w:b/>
                <w:bCs/>
                <w:sz w:val="12"/>
                <w:szCs w:val="12"/>
                <w:lang w:val="en-US" w:eastAsia="mk-MK"/>
              </w:rPr>
              <w:t>7</w:t>
            </w:r>
          </w:p>
        </w:tc>
      </w:tr>
      <w:tr w:rsidR="00485BAA" w:rsidRPr="008C761D" w14:paraId="360CF322" w14:textId="77777777" w:rsidTr="003F623B">
        <w:trPr>
          <w:gridBefore w:val="1"/>
          <w:gridAfter w:val="1"/>
          <w:wBefore w:w="17" w:type="dxa"/>
          <w:wAfter w:w="180" w:type="dxa"/>
          <w:trHeight w:val="853"/>
          <w:jc w:val="center"/>
        </w:trPr>
        <w:tc>
          <w:tcPr>
            <w:tcW w:w="2368" w:type="dxa"/>
            <w:gridSpan w:val="6"/>
            <w:vMerge/>
            <w:tcBorders>
              <w:top w:val="nil"/>
              <w:left w:val="nil"/>
              <w:bottom w:val="nil"/>
              <w:right w:val="single" w:sz="8" w:space="0" w:color="000000"/>
            </w:tcBorders>
            <w:vAlign w:val="center"/>
            <w:hideMark/>
          </w:tcPr>
          <w:p w14:paraId="10B39D2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5A19785" w14:textId="69BDEB4F"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Increasing the amount of the established tax guarantee</w:t>
            </w:r>
          </w:p>
        </w:tc>
        <w:tc>
          <w:tcPr>
            <w:tcW w:w="1194" w:type="dxa"/>
            <w:gridSpan w:val="3"/>
            <w:shd w:val="clear" w:color="000000" w:fill="FFFF99"/>
            <w:vAlign w:val="center"/>
            <w:hideMark/>
          </w:tcPr>
          <w:p w14:paraId="333EB0C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07112FAB" w14:textId="779DE4A6"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amount of established tax guarantee for 2022 is 463,310,827 denars.</w:t>
            </w:r>
          </w:p>
        </w:tc>
        <w:tc>
          <w:tcPr>
            <w:tcW w:w="1644" w:type="dxa"/>
            <w:gridSpan w:val="3"/>
            <w:shd w:val="clear" w:color="000000" w:fill="FFFF99"/>
            <w:vAlign w:val="center"/>
            <w:hideMark/>
          </w:tcPr>
          <w:p w14:paraId="395E7762" w14:textId="10B09231"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the amount of the established tax guarantee by 10% compared to 2023.</w:t>
            </w:r>
          </w:p>
        </w:tc>
        <w:tc>
          <w:tcPr>
            <w:tcW w:w="1758" w:type="dxa"/>
            <w:gridSpan w:val="2"/>
            <w:shd w:val="clear" w:color="000000" w:fill="FFFF99"/>
            <w:vAlign w:val="center"/>
            <w:hideMark/>
          </w:tcPr>
          <w:p w14:paraId="7816B048" w14:textId="651F9AC7"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the amount of the established tax guarantee by 10% compared to 2024.</w:t>
            </w:r>
          </w:p>
        </w:tc>
        <w:tc>
          <w:tcPr>
            <w:tcW w:w="1842" w:type="dxa"/>
            <w:gridSpan w:val="3"/>
            <w:shd w:val="clear" w:color="000000" w:fill="FFFF99"/>
            <w:vAlign w:val="center"/>
            <w:hideMark/>
          </w:tcPr>
          <w:p w14:paraId="1975B784" w14:textId="2A1660CB"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the amount of the established tax guarantee by 5% compared to 2025.</w:t>
            </w:r>
          </w:p>
        </w:tc>
        <w:tc>
          <w:tcPr>
            <w:tcW w:w="1506" w:type="dxa"/>
            <w:gridSpan w:val="3"/>
            <w:shd w:val="clear" w:color="000000" w:fill="FFFF99"/>
            <w:vAlign w:val="center"/>
            <w:hideMark/>
          </w:tcPr>
          <w:p w14:paraId="540DF215" w14:textId="64DB87E1"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the amount of the established tax guarantee by 5% compared to 2026.</w:t>
            </w:r>
          </w:p>
        </w:tc>
      </w:tr>
      <w:tr w:rsidR="00485BAA" w:rsidRPr="008C761D" w14:paraId="2C41EDCD" w14:textId="77777777" w:rsidTr="003F623B">
        <w:trPr>
          <w:gridBefore w:val="1"/>
          <w:gridAfter w:val="1"/>
          <w:wBefore w:w="17" w:type="dxa"/>
          <w:wAfter w:w="180" w:type="dxa"/>
          <w:trHeight w:val="880"/>
          <w:jc w:val="center"/>
        </w:trPr>
        <w:tc>
          <w:tcPr>
            <w:tcW w:w="2368" w:type="dxa"/>
            <w:gridSpan w:val="6"/>
            <w:vMerge/>
            <w:tcBorders>
              <w:top w:val="nil"/>
              <w:left w:val="nil"/>
              <w:bottom w:val="nil"/>
              <w:right w:val="single" w:sz="8" w:space="0" w:color="000000"/>
            </w:tcBorders>
            <w:vAlign w:val="center"/>
            <w:hideMark/>
          </w:tcPr>
          <w:p w14:paraId="29D8419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858CFFC" w14:textId="11A4CFC9"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Increasing the collection of tax debt based on an established tax guarantee</w:t>
            </w:r>
          </w:p>
        </w:tc>
        <w:tc>
          <w:tcPr>
            <w:tcW w:w="1194" w:type="dxa"/>
            <w:gridSpan w:val="3"/>
            <w:shd w:val="clear" w:color="000000" w:fill="FFFF99"/>
            <w:vAlign w:val="center"/>
            <w:hideMark/>
          </w:tcPr>
          <w:p w14:paraId="322FF51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74DAB844" w14:textId="65DBE14C"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amount of debt collected based on the established tax guarantee is 40,077,892 denars</w:t>
            </w:r>
          </w:p>
        </w:tc>
        <w:tc>
          <w:tcPr>
            <w:tcW w:w="1644" w:type="dxa"/>
            <w:gridSpan w:val="3"/>
            <w:shd w:val="clear" w:color="000000" w:fill="FFFF99"/>
            <w:vAlign w:val="center"/>
            <w:hideMark/>
          </w:tcPr>
          <w:p w14:paraId="05DBF008" w14:textId="083DD6A7"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in the amount of debt collected based on the established tax guarantee by 5% compared to 2023.</w:t>
            </w:r>
          </w:p>
        </w:tc>
        <w:tc>
          <w:tcPr>
            <w:tcW w:w="1758" w:type="dxa"/>
            <w:gridSpan w:val="2"/>
            <w:shd w:val="clear" w:color="000000" w:fill="FFFF99"/>
            <w:vAlign w:val="center"/>
            <w:hideMark/>
          </w:tcPr>
          <w:p w14:paraId="619428F6" w14:textId="3648CF48"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in the amount of debt collected based on the established tax guarantee by 10% compared to 2024.</w:t>
            </w:r>
          </w:p>
        </w:tc>
        <w:tc>
          <w:tcPr>
            <w:tcW w:w="1842" w:type="dxa"/>
            <w:gridSpan w:val="3"/>
            <w:shd w:val="clear" w:color="000000" w:fill="FFFF99"/>
            <w:vAlign w:val="center"/>
            <w:hideMark/>
          </w:tcPr>
          <w:p w14:paraId="0BF45F34" w14:textId="14857056"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in the amount of debt collected based on the established tax guarantee by 10% compared to 2025.</w:t>
            </w:r>
          </w:p>
        </w:tc>
        <w:tc>
          <w:tcPr>
            <w:tcW w:w="1506" w:type="dxa"/>
            <w:gridSpan w:val="3"/>
            <w:shd w:val="clear" w:color="000000" w:fill="FFFF99"/>
            <w:vAlign w:val="center"/>
            <w:hideMark/>
          </w:tcPr>
          <w:p w14:paraId="38F50EB4" w14:textId="7B354A8E"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 in the amount of debt collected based on the established tax guarantee by 5% compared to 2025.</w:t>
            </w:r>
          </w:p>
        </w:tc>
      </w:tr>
      <w:tr w:rsidR="00485BAA" w:rsidRPr="008C761D" w14:paraId="105C2689" w14:textId="77777777" w:rsidTr="003F623B">
        <w:trPr>
          <w:gridBefore w:val="1"/>
          <w:gridAfter w:val="1"/>
          <w:wBefore w:w="17" w:type="dxa"/>
          <w:wAfter w:w="180" w:type="dxa"/>
          <w:trHeight w:val="696"/>
          <w:jc w:val="center"/>
        </w:trPr>
        <w:tc>
          <w:tcPr>
            <w:tcW w:w="2368" w:type="dxa"/>
            <w:gridSpan w:val="6"/>
            <w:vMerge/>
            <w:tcBorders>
              <w:top w:val="nil"/>
              <w:left w:val="nil"/>
              <w:bottom w:val="nil"/>
              <w:right w:val="single" w:sz="8" w:space="0" w:color="000000"/>
            </w:tcBorders>
            <w:vAlign w:val="center"/>
            <w:hideMark/>
          </w:tcPr>
          <w:p w14:paraId="784CA63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F917688" w14:textId="52177E58"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Value of collectible core tax arrears in FY end in percent of total core tax revenue collection for FY</w:t>
            </w:r>
          </w:p>
        </w:tc>
        <w:tc>
          <w:tcPr>
            <w:tcW w:w="1194" w:type="dxa"/>
            <w:gridSpan w:val="3"/>
            <w:shd w:val="clear" w:color="000000" w:fill="FFFF99"/>
            <w:vAlign w:val="center"/>
            <w:hideMark/>
          </w:tcPr>
          <w:p w14:paraId="7A7CFE4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2833861E" w14:textId="60B50350" w:rsidR="00485BAA" w:rsidRPr="008C761D" w:rsidRDefault="0041055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VAT debt / VAT income ratio 18%%</w:t>
            </w:r>
          </w:p>
        </w:tc>
        <w:tc>
          <w:tcPr>
            <w:tcW w:w="1644" w:type="dxa"/>
            <w:gridSpan w:val="3"/>
            <w:shd w:val="clear" w:color="000000" w:fill="FFFF99"/>
            <w:vAlign w:val="center"/>
            <w:hideMark/>
          </w:tcPr>
          <w:p w14:paraId="5BACF9D9" w14:textId="4760758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VAT debt / VAT income</w:t>
            </w:r>
            <w:r w:rsidR="0041055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ratio 16%</w:t>
            </w:r>
          </w:p>
        </w:tc>
        <w:tc>
          <w:tcPr>
            <w:tcW w:w="1758" w:type="dxa"/>
            <w:gridSpan w:val="2"/>
            <w:shd w:val="clear" w:color="000000" w:fill="FFFF99"/>
            <w:vAlign w:val="center"/>
            <w:hideMark/>
          </w:tcPr>
          <w:p w14:paraId="15F9E894" w14:textId="5A8959A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VAT debt / VAT income</w:t>
            </w:r>
            <w:r w:rsidR="0041055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ratio 14%</w:t>
            </w:r>
          </w:p>
        </w:tc>
        <w:tc>
          <w:tcPr>
            <w:tcW w:w="1842" w:type="dxa"/>
            <w:gridSpan w:val="3"/>
            <w:shd w:val="clear" w:color="000000" w:fill="FFFF99"/>
            <w:vAlign w:val="center"/>
            <w:hideMark/>
          </w:tcPr>
          <w:p w14:paraId="2F5C3B13" w14:textId="6240B8C0"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VAT debt / VAT income</w:t>
            </w:r>
            <w:r w:rsidR="0041055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ratio 12%</w:t>
            </w:r>
          </w:p>
        </w:tc>
        <w:tc>
          <w:tcPr>
            <w:tcW w:w="1506" w:type="dxa"/>
            <w:gridSpan w:val="3"/>
            <w:shd w:val="clear" w:color="000000" w:fill="FFFF99"/>
            <w:vAlign w:val="center"/>
            <w:hideMark/>
          </w:tcPr>
          <w:p w14:paraId="0053226C" w14:textId="67FC853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VAT debt / VAT income</w:t>
            </w:r>
            <w:r w:rsidR="0041055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ratio 10%</w:t>
            </w:r>
          </w:p>
        </w:tc>
      </w:tr>
      <w:tr w:rsidR="00485BAA" w:rsidRPr="008C761D" w14:paraId="77B166A5" w14:textId="77777777" w:rsidTr="003F623B">
        <w:trPr>
          <w:gridBefore w:val="1"/>
          <w:gridAfter w:val="1"/>
          <w:wBefore w:w="17" w:type="dxa"/>
          <w:wAfter w:w="180" w:type="dxa"/>
          <w:trHeight w:val="961"/>
          <w:jc w:val="center"/>
        </w:trPr>
        <w:tc>
          <w:tcPr>
            <w:tcW w:w="2368" w:type="dxa"/>
            <w:gridSpan w:val="6"/>
            <w:vMerge/>
            <w:tcBorders>
              <w:top w:val="nil"/>
              <w:left w:val="nil"/>
              <w:bottom w:val="nil"/>
              <w:right w:val="single" w:sz="8" w:space="0" w:color="000000"/>
            </w:tcBorders>
            <w:vAlign w:val="center"/>
            <w:hideMark/>
          </w:tcPr>
          <w:p w14:paraId="3A3F0A1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F723481" w14:textId="676E0DF5"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Improving compliance with the personal services activity through a better ratio Number of performed controls per year / total registered taxpayers</w:t>
            </w:r>
          </w:p>
        </w:tc>
        <w:tc>
          <w:tcPr>
            <w:tcW w:w="1194" w:type="dxa"/>
            <w:gridSpan w:val="3"/>
            <w:shd w:val="clear" w:color="000000" w:fill="FFFF99"/>
            <w:vAlign w:val="center"/>
            <w:hideMark/>
          </w:tcPr>
          <w:p w14:paraId="7B550E5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09149C91" w14:textId="0371343C"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Additional tax assessed per audit program increased per 3% compared to the results from the previous year</w:t>
            </w:r>
          </w:p>
        </w:tc>
        <w:tc>
          <w:tcPr>
            <w:tcW w:w="1644" w:type="dxa"/>
            <w:gridSpan w:val="3"/>
            <w:shd w:val="clear" w:color="000000" w:fill="FFFF99"/>
            <w:vAlign w:val="center"/>
            <w:hideMark/>
          </w:tcPr>
          <w:p w14:paraId="76C7228A" w14:textId="47B8CE48"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Additional tax assessed per audit program increased per 3% compared to the results from the previous year</w:t>
            </w:r>
          </w:p>
        </w:tc>
        <w:tc>
          <w:tcPr>
            <w:tcW w:w="1758" w:type="dxa"/>
            <w:gridSpan w:val="2"/>
            <w:shd w:val="clear" w:color="000000" w:fill="FFFF99"/>
            <w:vAlign w:val="center"/>
            <w:hideMark/>
          </w:tcPr>
          <w:p w14:paraId="50850D5B" w14:textId="71915320"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Additional tax assessed per audit program increased per 3% compared to the results from the previous year</w:t>
            </w:r>
          </w:p>
        </w:tc>
        <w:tc>
          <w:tcPr>
            <w:tcW w:w="1842" w:type="dxa"/>
            <w:gridSpan w:val="3"/>
            <w:shd w:val="clear" w:color="000000" w:fill="FFFF99"/>
            <w:vAlign w:val="center"/>
            <w:hideMark/>
          </w:tcPr>
          <w:p w14:paraId="1B5E3467" w14:textId="2D764845"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Additional tax assessed per audit program increased per 3% compared to the results from the previous year</w:t>
            </w:r>
          </w:p>
        </w:tc>
        <w:tc>
          <w:tcPr>
            <w:tcW w:w="1506" w:type="dxa"/>
            <w:gridSpan w:val="3"/>
            <w:shd w:val="clear" w:color="000000" w:fill="FFFF99"/>
            <w:vAlign w:val="center"/>
            <w:hideMark/>
          </w:tcPr>
          <w:p w14:paraId="080D0CD1" w14:textId="1552E49D" w:rsidR="00485BAA" w:rsidRPr="008C761D" w:rsidRDefault="0041055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Additional tax assessed per audit program increased per 3% compared to the results from the previous year</w:t>
            </w:r>
          </w:p>
        </w:tc>
      </w:tr>
      <w:tr w:rsidR="00485BAA" w:rsidRPr="008C761D" w14:paraId="666BB566" w14:textId="77777777" w:rsidTr="003F623B">
        <w:trPr>
          <w:gridBefore w:val="1"/>
          <w:gridAfter w:val="1"/>
          <w:wBefore w:w="17" w:type="dxa"/>
          <w:wAfter w:w="180" w:type="dxa"/>
          <w:trHeight w:val="267"/>
          <w:jc w:val="center"/>
        </w:trPr>
        <w:tc>
          <w:tcPr>
            <w:tcW w:w="2368" w:type="dxa"/>
            <w:gridSpan w:val="6"/>
            <w:vMerge/>
            <w:tcBorders>
              <w:top w:val="nil"/>
              <w:left w:val="nil"/>
              <w:bottom w:val="nil"/>
              <w:right w:val="single" w:sz="8" w:space="0" w:color="000000"/>
            </w:tcBorders>
            <w:vAlign w:val="center"/>
            <w:hideMark/>
          </w:tcPr>
          <w:p w14:paraId="6BBBB50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B1D061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37F88E1" w14:textId="09BBF3B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8F22F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0EB3087E" w14:textId="3990F96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8F22F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5597AB5" w14:textId="62462F4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8F22F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4C5165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27F613D8" w14:textId="6CCBD20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8F22F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8F22FA"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66406F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F01E25" w:rsidRPr="008C761D" w14:paraId="1D6C6AAC" w14:textId="77777777" w:rsidTr="003F623B">
        <w:trPr>
          <w:gridBefore w:val="1"/>
          <w:gridAfter w:val="1"/>
          <w:wBefore w:w="17" w:type="dxa"/>
          <w:wAfter w:w="180" w:type="dxa"/>
          <w:trHeight w:val="592"/>
          <w:jc w:val="center"/>
        </w:trPr>
        <w:tc>
          <w:tcPr>
            <w:tcW w:w="2368" w:type="dxa"/>
            <w:gridSpan w:val="6"/>
            <w:vMerge/>
            <w:tcBorders>
              <w:top w:val="nil"/>
              <w:left w:val="nil"/>
              <w:bottom w:val="nil"/>
              <w:right w:val="single" w:sz="8" w:space="0" w:color="000000"/>
            </w:tcBorders>
            <w:vAlign w:val="center"/>
            <w:hideMark/>
          </w:tcPr>
          <w:p w14:paraId="4D1B066F" w14:textId="77777777" w:rsidR="00F01E25" w:rsidRPr="008C761D" w:rsidRDefault="00F01E25"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0D2BE3F" w14:textId="17E69FBE" w:rsidR="00F01E25" w:rsidRPr="008C761D" w:rsidRDefault="00F01E2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w:t>
            </w:r>
            <w:r w:rsidR="006A55CA" w:rsidRPr="008C761D">
              <w:rPr>
                <w:rFonts w:ascii="Arial" w:eastAsia="Times New Roman" w:hAnsi="Arial" w:cs="Arial"/>
                <w:sz w:val="12"/>
                <w:szCs w:val="12"/>
                <w:lang w:val="en-US" w:eastAsia="mk-MK"/>
              </w:rPr>
              <w:t>More</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effective</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and</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efficient</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management</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of</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overdue</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tax</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debt</w:t>
            </w:r>
          </w:p>
        </w:tc>
        <w:tc>
          <w:tcPr>
            <w:tcW w:w="1194" w:type="dxa"/>
            <w:gridSpan w:val="3"/>
            <w:shd w:val="clear" w:color="000000" w:fill="FFFF99"/>
            <w:vAlign w:val="center"/>
            <w:hideMark/>
          </w:tcPr>
          <w:p w14:paraId="4FD93C45"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5BEA048C"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644" w:type="dxa"/>
            <w:gridSpan w:val="3"/>
            <w:shd w:val="clear" w:color="000000" w:fill="FFFF99"/>
            <w:vAlign w:val="center"/>
            <w:hideMark/>
          </w:tcPr>
          <w:p w14:paraId="3BBD54C3"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vMerge w:val="restart"/>
            <w:shd w:val="clear" w:color="000000" w:fill="FFFF99"/>
            <w:vAlign w:val="center"/>
            <w:hideMark/>
          </w:tcPr>
          <w:p w14:paraId="696997E0" w14:textId="7A511221"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212,000</w:t>
            </w:r>
          </w:p>
          <w:p w14:paraId="12F460D1" w14:textId="13317CF1"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4432EFBE" w14:textId="36A6AFCF" w:rsidR="00F01E25"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p w14:paraId="7124203D" w14:textId="6C92F440"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11F5CAA9" w14:textId="334C9AC8" w:rsidR="00F01E25" w:rsidRPr="008C761D" w:rsidRDefault="00F01E25" w:rsidP="00407B01">
            <w:pPr>
              <w:spacing w:after="0" w:line="240" w:lineRule="auto"/>
              <w:rPr>
                <w:rFonts w:ascii="Arial" w:eastAsia="Times New Roman" w:hAnsi="Arial" w:cs="Arial"/>
                <w:sz w:val="12"/>
                <w:szCs w:val="12"/>
                <w:lang w:val="en-US" w:eastAsia="mk-MK"/>
              </w:rPr>
            </w:pPr>
          </w:p>
        </w:tc>
      </w:tr>
      <w:tr w:rsidR="00F01E25" w:rsidRPr="008C761D" w14:paraId="16C21CFA" w14:textId="77777777" w:rsidTr="003F623B">
        <w:trPr>
          <w:gridBefore w:val="1"/>
          <w:gridAfter w:val="1"/>
          <w:wBefore w:w="17" w:type="dxa"/>
          <w:wAfter w:w="180" w:type="dxa"/>
          <w:trHeight w:val="520"/>
          <w:jc w:val="center"/>
        </w:trPr>
        <w:tc>
          <w:tcPr>
            <w:tcW w:w="2368" w:type="dxa"/>
            <w:gridSpan w:val="6"/>
            <w:tcBorders>
              <w:top w:val="nil"/>
              <w:left w:val="nil"/>
              <w:bottom w:val="nil"/>
              <w:right w:val="single" w:sz="8" w:space="0" w:color="000000"/>
            </w:tcBorders>
            <w:vAlign w:val="center"/>
            <w:hideMark/>
          </w:tcPr>
          <w:p w14:paraId="63450194" w14:textId="77777777" w:rsidR="00F01E25" w:rsidRPr="008C761D" w:rsidRDefault="00F01E25"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95A7456" w14:textId="3FD05F20" w:rsidR="00F01E25" w:rsidRPr="008C761D" w:rsidRDefault="00F01E25" w:rsidP="002445ED">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6A55CA" w:rsidRPr="008C761D">
              <w:rPr>
                <w:rFonts w:ascii="Arial" w:eastAsia="Times New Roman" w:hAnsi="Arial" w:cs="Arial"/>
                <w:sz w:val="12"/>
                <w:szCs w:val="12"/>
                <w:lang w:val="en-US" w:eastAsia="mk-MK"/>
              </w:rPr>
              <w:t>Improving theCompliance</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risk</w:t>
            </w:r>
            <w:r w:rsidR="002320F5" w:rsidRPr="008C761D">
              <w:rPr>
                <w:rFonts w:ascii="Arial" w:eastAsia="Times New Roman" w:hAnsi="Arial" w:cs="Arial"/>
                <w:sz w:val="12"/>
                <w:szCs w:val="12"/>
                <w:lang w:val="en-US" w:eastAsia="mk-MK"/>
              </w:rPr>
              <w:t xml:space="preserve"> </w:t>
            </w:r>
            <w:r w:rsidR="006A55CA" w:rsidRPr="008C761D">
              <w:rPr>
                <w:rFonts w:ascii="Arial" w:eastAsia="Times New Roman" w:hAnsi="Arial" w:cs="Arial"/>
                <w:sz w:val="12"/>
                <w:szCs w:val="12"/>
                <w:lang w:val="en-US" w:eastAsia="mk-MK"/>
              </w:rPr>
              <w:t>management</w:t>
            </w:r>
          </w:p>
        </w:tc>
        <w:tc>
          <w:tcPr>
            <w:tcW w:w="1194" w:type="dxa"/>
            <w:gridSpan w:val="3"/>
            <w:shd w:val="clear" w:color="000000" w:fill="FFFF99"/>
            <w:vAlign w:val="center"/>
            <w:hideMark/>
          </w:tcPr>
          <w:p w14:paraId="4E2E04D2"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567BD69C"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644" w:type="dxa"/>
            <w:gridSpan w:val="3"/>
            <w:shd w:val="clear" w:color="000000" w:fill="FFFF99"/>
            <w:vAlign w:val="center"/>
            <w:hideMark/>
          </w:tcPr>
          <w:p w14:paraId="67E51535"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vMerge/>
            <w:shd w:val="clear" w:color="000000" w:fill="FFFF99"/>
            <w:vAlign w:val="center"/>
            <w:hideMark/>
          </w:tcPr>
          <w:p w14:paraId="5A6B79BB"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hideMark/>
          </w:tcPr>
          <w:p w14:paraId="6829CEDA"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26F16BD2" w14:textId="613C1EBD" w:rsidR="00F01E25" w:rsidRPr="008C761D" w:rsidRDefault="00F01E25" w:rsidP="00407B01">
            <w:pPr>
              <w:spacing w:after="0" w:line="240" w:lineRule="auto"/>
              <w:rPr>
                <w:rFonts w:ascii="Arial" w:eastAsia="Times New Roman" w:hAnsi="Arial" w:cs="Arial"/>
                <w:sz w:val="12"/>
                <w:szCs w:val="12"/>
                <w:lang w:val="en-US" w:eastAsia="mk-MK"/>
              </w:rPr>
            </w:pPr>
          </w:p>
        </w:tc>
      </w:tr>
      <w:tr w:rsidR="00485BAA" w:rsidRPr="008C761D" w14:paraId="7F343831" w14:textId="77777777" w:rsidTr="003F623B">
        <w:trPr>
          <w:gridBefore w:val="1"/>
          <w:gridAfter w:val="1"/>
          <w:wBefore w:w="17" w:type="dxa"/>
          <w:wAfter w:w="180" w:type="dxa"/>
          <w:trHeight w:val="241"/>
          <w:jc w:val="center"/>
        </w:trPr>
        <w:tc>
          <w:tcPr>
            <w:tcW w:w="13501" w:type="dxa"/>
            <w:gridSpan w:val="25"/>
            <w:shd w:val="clear" w:color="000000" w:fill="9BD2ED"/>
            <w:vAlign w:val="center"/>
            <w:hideMark/>
          </w:tcPr>
          <w:p w14:paraId="2FDE5373" w14:textId="3C8615B6"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 2. Digital</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transformation</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 PRO with</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establishment</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Integrated</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Tax</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InformationSystem (ITIS)</w:t>
            </w:r>
          </w:p>
        </w:tc>
      </w:tr>
      <w:tr w:rsidR="00485BAA" w:rsidRPr="008C761D" w14:paraId="1DF18F95" w14:textId="77777777" w:rsidTr="003F623B">
        <w:trPr>
          <w:gridBefore w:val="1"/>
          <w:gridAfter w:val="1"/>
          <w:wBefore w:w="17" w:type="dxa"/>
          <w:wAfter w:w="180" w:type="dxa"/>
          <w:trHeight w:val="273"/>
          <w:jc w:val="center"/>
        </w:trPr>
        <w:tc>
          <w:tcPr>
            <w:tcW w:w="1288" w:type="dxa"/>
            <w:gridSpan w:val="3"/>
            <w:tcBorders>
              <w:top w:val="nil"/>
              <w:left w:val="nil"/>
              <w:bottom w:val="nil"/>
              <w:right w:val="nil"/>
            </w:tcBorders>
            <w:shd w:val="clear" w:color="auto" w:fill="auto"/>
            <w:vAlign w:val="center"/>
            <w:hideMark/>
          </w:tcPr>
          <w:p w14:paraId="115CB2B4"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2C40637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3D343E98" w14:textId="1AAAAE3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85224D0" w14:textId="7EFBBDB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225B000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FY21</w:t>
            </w:r>
          </w:p>
        </w:tc>
        <w:tc>
          <w:tcPr>
            <w:tcW w:w="1644" w:type="dxa"/>
            <w:gridSpan w:val="3"/>
            <w:shd w:val="clear" w:color="000000" w:fill="9BD2ED"/>
            <w:vAlign w:val="center"/>
            <w:hideMark/>
          </w:tcPr>
          <w:p w14:paraId="181BE1E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FY22</w:t>
            </w:r>
          </w:p>
        </w:tc>
        <w:tc>
          <w:tcPr>
            <w:tcW w:w="1758" w:type="dxa"/>
            <w:gridSpan w:val="2"/>
            <w:shd w:val="clear" w:color="000000" w:fill="9BD2ED"/>
            <w:vAlign w:val="center"/>
            <w:hideMark/>
          </w:tcPr>
          <w:p w14:paraId="00B750D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FY23</w:t>
            </w:r>
          </w:p>
        </w:tc>
        <w:tc>
          <w:tcPr>
            <w:tcW w:w="1842" w:type="dxa"/>
            <w:gridSpan w:val="3"/>
            <w:shd w:val="clear" w:color="000000" w:fill="9BD2ED"/>
            <w:vAlign w:val="center"/>
            <w:hideMark/>
          </w:tcPr>
          <w:p w14:paraId="13A3FDE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506" w:type="dxa"/>
            <w:gridSpan w:val="3"/>
            <w:shd w:val="clear" w:color="000000" w:fill="9BD2ED"/>
            <w:vAlign w:val="center"/>
            <w:hideMark/>
          </w:tcPr>
          <w:p w14:paraId="154F4AB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r>
      <w:tr w:rsidR="00485BAA" w:rsidRPr="008C761D" w14:paraId="4F1341E9" w14:textId="77777777" w:rsidTr="003F623B">
        <w:trPr>
          <w:gridBefore w:val="1"/>
          <w:gridAfter w:val="1"/>
          <w:wBefore w:w="17" w:type="dxa"/>
          <w:wAfter w:w="180" w:type="dxa"/>
          <w:trHeight w:val="682"/>
          <w:jc w:val="center"/>
        </w:trPr>
        <w:tc>
          <w:tcPr>
            <w:tcW w:w="1288" w:type="dxa"/>
            <w:gridSpan w:val="3"/>
            <w:tcBorders>
              <w:top w:val="nil"/>
              <w:left w:val="nil"/>
              <w:bottom w:val="nil"/>
              <w:right w:val="nil"/>
            </w:tcBorders>
            <w:shd w:val="clear" w:color="auto" w:fill="auto"/>
            <w:vAlign w:val="center"/>
            <w:hideMark/>
          </w:tcPr>
          <w:p w14:paraId="571DFB1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34368D2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2BD16FE7" w14:textId="03C69720"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institutions with which the Integrated Tax Information System exchanges information</w:t>
            </w:r>
          </w:p>
        </w:tc>
        <w:tc>
          <w:tcPr>
            <w:tcW w:w="1194" w:type="dxa"/>
            <w:gridSpan w:val="3"/>
            <w:shd w:val="clear" w:color="000000" w:fill="FFFF99"/>
            <w:vAlign w:val="center"/>
            <w:hideMark/>
          </w:tcPr>
          <w:p w14:paraId="1CBEB1E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418" w:type="dxa"/>
            <w:gridSpan w:val="2"/>
            <w:shd w:val="clear" w:color="000000" w:fill="FFFF99"/>
            <w:vAlign w:val="center"/>
            <w:hideMark/>
          </w:tcPr>
          <w:p w14:paraId="5ABAF11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w:t>
            </w:r>
          </w:p>
        </w:tc>
        <w:tc>
          <w:tcPr>
            <w:tcW w:w="1644" w:type="dxa"/>
            <w:gridSpan w:val="3"/>
            <w:shd w:val="clear" w:color="000000" w:fill="FFFF99"/>
            <w:vAlign w:val="center"/>
            <w:hideMark/>
          </w:tcPr>
          <w:p w14:paraId="50BFA57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c>
          <w:tcPr>
            <w:tcW w:w="1758" w:type="dxa"/>
            <w:gridSpan w:val="2"/>
            <w:shd w:val="clear" w:color="000000" w:fill="FFFF99"/>
            <w:vAlign w:val="center"/>
            <w:hideMark/>
          </w:tcPr>
          <w:p w14:paraId="633CBE1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25</w:t>
            </w:r>
          </w:p>
        </w:tc>
        <w:tc>
          <w:tcPr>
            <w:tcW w:w="1842" w:type="dxa"/>
            <w:gridSpan w:val="3"/>
            <w:shd w:val="clear" w:color="000000" w:fill="FFFF99"/>
            <w:vAlign w:val="center"/>
            <w:hideMark/>
          </w:tcPr>
          <w:p w14:paraId="2C54969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28</w:t>
            </w:r>
          </w:p>
        </w:tc>
        <w:tc>
          <w:tcPr>
            <w:tcW w:w="1506" w:type="dxa"/>
            <w:gridSpan w:val="3"/>
            <w:shd w:val="clear" w:color="000000" w:fill="FFFF99"/>
            <w:vAlign w:val="center"/>
            <w:hideMark/>
          </w:tcPr>
          <w:p w14:paraId="44215DAB" w14:textId="4A67B772" w:rsidR="00485BAA" w:rsidRPr="008C761D" w:rsidRDefault="002320F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w:t>
            </w:r>
            <w:r w:rsidR="00485BAA" w:rsidRPr="008C761D">
              <w:rPr>
                <w:rFonts w:ascii="Arial" w:eastAsia="Times New Roman" w:hAnsi="Arial" w:cs="Arial"/>
                <w:sz w:val="12"/>
                <w:szCs w:val="12"/>
                <w:lang w:val="en-US" w:eastAsia="mk-MK"/>
              </w:rPr>
              <w:t>t</w:t>
            </w:r>
            <w:r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least 30</w:t>
            </w:r>
          </w:p>
        </w:tc>
      </w:tr>
      <w:tr w:rsidR="00485BAA" w:rsidRPr="008C761D" w14:paraId="5A645FCB" w14:textId="77777777" w:rsidTr="003F623B">
        <w:trPr>
          <w:gridBefore w:val="1"/>
          <w:gridAfter w:val="1"/>
          <w:wBefore w:w="17" w:type="dxa"/>
          <w:wAfter w:w="180" w:type="dxa"/>
          <w:trHeight w:val="412"/>
          <w:jc w:val="center"/>
        </w:trPr>
        <w:tc>
          <w:tcPr>
            <w:tcW w:w="1288" w:type="dxa"/>
            <w:gridSpan w:val="3"/>
            <w:tcBorders>
              <w:top w:val="nil"/>
              <w:left w:val="nil"/>
              <w:bottom w:val="nil"/>
              <w:right w:val="nil"/>
            </w:tcBorders>
            <w:shd w:val="clear" w:color="auto" w:fill="auto"/>
            <w:vAlign w:val="center"/>
            <w:hideMark/>
          </w:tcPr>
          <w:p w14:paraId="30D46AD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6013F38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78735790" w14:textId="39AB2E1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r w:rsidR="00577A56">
              <w:rPr>
                <w:rFonts w:ascii="Arial" w:eastAsia="Times New Roman" w:hAnsi="Arial" w:cs="Arial"/>
                <w:b/>
                <w:bCs/>
                <w:sz w:val="12"/>
                <w:szCs w:val="12"/>
                <w:lang w:val="en-US" w:eastAsia="mk-MK"/>
              </w:rPr>
              <w:t>.</w:t>
            </w:r>
          </w:p>
        </w:tc>
        <w:tc>
          <w:tcPr>
            <w:tcW w:w="1194" w:type="dxa"/>
            <w:gridSpan w:val="3"/>
            <w:shd w:val="clear" w:color="000000" w:fill="9BD2ED"/>
            <w:vAlign w:val="center"/>
            <w:hideMark/>
          </w:tcPr>
          <w:p w14:paraId="7BF32C5D" w14:textId="07F5805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3AF9F222" w14:textId="704A0B2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1CAD00E" w14:textId="6399FCA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C9C6A6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7AB9A10" w14:textId="0168629F"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D420FC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F01E25" w:rsidRPr="008C761D" w14:paraId="7CE19A10" w14:textId="77777777" w:rsidTr="003F623B">
        <w:trPr>
          <w:gridBefore w:val="1"/>
          <w:gridAfter w:val="1"/>
          <w:wBefore w:w="17" w:type="dxa"/>
          <w:wAfter w:w="180" w:type="dxa"/>
          <w:trHeight w:val="727"/>
          <w:jc w:val="center"/>
        </w:trPr>
        <w:tc>
          <w:tcPr>
            <w:tcW w:w="1288" w:type="dxa"/>
            <w:gridSpan w:val="3"/>
            <w:tcBorders>
              <w:top w:val="nil"/>
              <w:left w:val="nil"/>
              <w:bottom w:val="nil"/>
              <w:right w:val="nil"/>
            </w:tcBorders>
            <w:shd w:val="clear" w:color="auto" w:fill="auto"/>
            <w:vAlign w:val="center"/>
            <w:hideMark/>
          </w:tcPr>
          <w:p w14:paraId="57BBDD6A" w14:textId="77777777" w:rsidR="00F01E25" w:rsidRPr="008C761D" w:rsidRDefault="00F01E25"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5D2A1036"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31BCC641" w14:textId="698BC6D2" w:rsidR="00F01E25" w:rsidRPr="008C761D" w:rsidRDefault="00F01E2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2D005D" w:rsidRPr="008C761D">
              <w:rPr>
                <w:rFonts w:ascii="Arial" w:eastAsia="Times New Roman" w:hAnsi="Arial" w:cs="Arial"/>
                <w:sz w:val="12"/>
                <w:szCs w:val="12"/>
                <w:lang w:val="en-US" w:eastAsia="mk-MK"/>
              </w:rPr>
              <w:t>Completion</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of</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the</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remaining</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modules</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of</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the</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Integrated</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Tax</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Information</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System</w:t>
            </w:r>
          </w:p>
        </w:tc>
        <w:tc>
          <w:tcPr>
            <w:tcW w:w="1194" w:type="dxa"/>
            <w:gridSpan w:val="3"/>
            <w:shd w:val="clear" w:color="000000" w:fill="FFFF99"/>
            <w:vAlign w:val="center"/>
            <w:hideMark/>
          </w:tcPr>
          <w:p w14:paraId="320E6EE6"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6EC14BBD"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644" w:type="dxa"/>
            <w:gridSpan w:val="3"/>
            <w:shd w:val="clear" w:color="000000" w:fill="FFFF99"/>
            <w:vAlign w:val="center"/>
            <w:hideMark/>
          </w:tcPr>
          <w:p w14:paraId="088377DE"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vMerge w:val="restart"/>
            <w:shd w:val="clear" w:color="000000" w:fill="FFFF99"/>
            <w:vAlign w:val="center"/>
            <w:hideMark/>
          </w:tcPr>
          <w:p w14:paraId="369A29D5" w14:textId="30E72398"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13,145,000</w:t>
            </w:r>
          </w:p>
          <w:p w14:paraId="5343B455" w14:textId="2E4D5ECD"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676A068E" w14:textId="32575EA0"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shd w:val="clear" w:color="000000" w:fill="FFFF99"/>
            <w:vAlign w:val="center"/>
            <w:hideMark/>
          </w:tcPr>
          <w:p w14:paraId="698A6214" w14:textId="67271421" w:rsidR="00F01E25" w:rsidRPr="008C761D" w:rsidRDefault="00F01E25" w:rsidP="00407B01">
            <w:pPr>
              <w:spacing w:after="0" w:line="240" w:lineRule="auto"/>
              <w:jc w:val="center"/>
              <w:rPr>
                <w:rFonts w:ascii="Arial" w:eastAsia="Times New Roman" w:hAnsi="Arial" w:cs="Arial"/>
                <w:sz w:val="12"/>
                <w:szCs w:val="12"/>
                <w:lang w:val="en-US" w:eastAsia="mk-MK"/>
              </w:rPr>
            </w:pPr>
          </w:p>
        </w:tc>
      </w:tr>
      <w:tr w:rsidR="00F01E25" w:rsidRPr="008C761D" w14:paraId="009FC330" w14:textId="77777777" w:rsidTr="003F623B">
        <w:trPr>
          <w:gridBefore w:val="1"/>
          <w:gridAfter w:val="1"/>
          <w:wBefore w:w="17" w:type="dxa"/>
          <w:wAfter w:w="180" w:type="dxa"/>
          <w:trHeight w:val="781"/>
          <w:jc w:val="center"/>
        </w:trPr>
        <w:tc>
          <w:tcPr>
            <w:tcW w:w="1288" w:type="dxa"/>
            <w:gridSpan w:val="3"/>
            <w:tcBorders>
              <w:top w:val="nil"/>
              <w:left w:val="nil"/>
              <w:bottom w:val="nil"/>
              <w:right w:val="nil"/>
            </w:tcBorders>
            <w:shd w:val="clear" w:color="auto" w:fill="auto"/>
            <w:vAlign w:val="center"/>
            <w:hideMark/>
          </w:tcPr>
          <w:p w14:paraId="75E0613A" w14:textId="77777777" w:rsidR="00F01E25" w:rsidRPr="008C761D" w:rsidRDefault="00F01E25"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3BFEF35E"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5D85046" w14:textId="1048B7AF" w:rsidR="00F01E25" w:rsidRPr="008C761D" w:rsidRDefault="00F01E25" w:rsidP="00407B01">
            <w:pPr>
              <w:spacing w:before="100" w:beforeAutospacing="1" w:after="100" w:afterAutospacing="1" w:line="60" w:lineRule="atLeast"/>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2D005D" w:rsidRPr="008C761D">
              <w:rPr>
                <w:rFonts w:ascii="Arial" w:eastAsia="Times New Roman" w:hAnsi="Arial" w:cs="Arial"/>
                <w:sz w:val="12"/>
                <w:szCs w:val="12"/>
                <w:lang w:val="en-US" w:eastAsia="mk-MK"/>
              </w:rPr>
              <w:t>Ensuring IS security (Information</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System) and</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smooth</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functioning</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of</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the</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integrated</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tax</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information</w:t>
            </w:r>
            <w:r w:rsidR="002320F5" w:rsidRPr="008C761D">
              <w:rPr>
                <w:rFonts w:ascii="Arial" w:eastAsia="Times New Roman" w:hAnsi="Arial" w:cs="Arial"/>
                <w:sz w:val="12"/>
                <w:szCs w:val="12"/>
                <w:lang w:val="en-US" w:eastAsia="mk-MK"/>
              </w:rPr>
              <w:t xml:space="preserve"> </w:t>
            </w:r>
            <w:r w:rsidR="002D005D" w:rsidRPr="008C761D">
              <w:rPr>
                <w:rFonts w:ascii="Arial" w:eastAsia="Times New Roman" w:hAnsi="Arial" w:cs="Arial"/>
                <w:sz w:val="12"/>
                <w:szCs w:val="12"/>
                <w:lang w:val="en-US" w:eastAsia="mk-MK"/>
              </w:rPr>
              <w:t>system</w:t>
            </w:r>
          </w:p>
        </w:tc>
        <w:tc>
          <w:tcPr>
            <w:tcW w:w="1194" w:type="dxa"/>
            <w:gridSpan w:val="3"/>
            <w:shd w:val="clear" w:color="000000" w:fill="FFFF99"/>
            <w:vAlign w:val="center"/>
            <w:hideMark/>
          </w:tcPr>
          <w:p w14:paraId="268C4AA6"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6F188523"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w:t>
            </w:r>
          </w:p>
        </w:tc>
        <w:tc>
          <w:tcPr>
            <w:tcW w:w="1644" w:type="dxa"/>
            <w:gridSpan w:val="3"/>
            <w:shd w:val="clear" w:color="000000" w:fill="FFFF99"/>
            <w:vAlign w:val="center"/>
            <w:hideMark/>
          </w:tcPr>
          <w:p w14:paraId="1AB890D2"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vMerge/>
            <w:shd w:val="clear" w:color="000000" w:fill="FFFF99"/>
            <w:vAlign w:val="center"/>
            <w:hideMark/>
          </w:tcPr>
          <w:p w14:paraId="35987A91"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hideMark/>
          </w:tcPr>
          <w:p w14:paraId="35A2E1F2" w14:textId="77777777" w:rsidR="00F01E25" w:rsidRPr="008C761D" w:rsidRDefault="00F01E25"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44C2CF84" w14:textId="00EB8A58" w:rsidR="00F01E25" w:rsidRPr="008C761D" w:rsidRDefault="00F01E25" w:rsidP="00407B01">
            <w:pPr>
              <w:spacing w:after="0" w:line="240" w:lineRule="auto"/>
              <w:jc w:val="center"/>
              <w:rPr>
                <w:rFonts w:ascii="Arial" w:eastAsia="Times New Roman" w:hAnsi="Arial" w:cs="Arial"/>
                <w:sz w:val="12"/>
                <w:szCs w:val="12"/>
                <w:lang w:val="en-US" w:eastAsia="mk-MK"/>
              </w:rPr>
            </w:pPr>
          </w:p>
        </w:tc>
      </w:tr>
      <w:tr w:rsidR="00485BAA" w:rsidRPr="008C761D" w14:paraId="533E4AF4" w14:textId="77777777" w:rsidTr="003F623B">
        <w:trPr>
          <w:gridBefore w:val="1"/>
          <w:gridAfter w:val="1"/>
          <w:wBefore w:w="17" w:type="dxa"/>
          <w:wAfter w:w="180" w:type="dxa"/>
          <w:trHeight w:val="223"/>
          <w:jc w:val="center"/>
        </w:trPr>
        <w:tc>
          <w:tcPr>
            <w:tcW w:w="13501" w:type="dxa"/>
            <w:gridSpan w:val="25"/>
            <w:shd w:val="clear" w:color="000000" w:fill="1F3864"/>
            <w:vAlign w:val="center"/>
            <w:hideMark/>
          </w:tcPr>
          <w:p w14:paraId="0C0FBFD0" w14:textId="7E96B3D4"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 Revenue</w:t>
            </w:r>
            <w:r w:rsidR="002320F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mobilization</w:t>
            </w:r>
          </w:p>
        </w:tc>
      </w:tr>
      <w:tr w:rsidR="00485BAA" w:rsidRPr="008C761D" w14:paraId="64623DE6"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17CE676B" w14:textId="77777777"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3. Customs</w:t>
            </w:r>
          </w:p>
        </w:tc>
      </w:tr>
      <w:tr w:rsidR="00485BAA" w:rsidRPr="008C761D" w14:paraId="276ACE3C" w14:textId="77777777" w:rsidTr="003F623B">
        <w:trPr>
          <w:gridBefore w:val="1"/>
          <w:gridAfter w:val="1"/>
          <w:wBefore w:w="17" w:type="dxa"/>
          <w:wAfter w:w="180" w:type="dxa"/>
          <w:trHeight w:val="253"/>
          <w:jc w:val="center"/>
        </w:trPr>
        <w:tc>
          <w:tcPr>
            <w:tcW w:w="2368" w:type="dxa"/>
            <w:gridSpan w:val="6"/>
            <w:shd w:val="clear" w:color="000000" w:fill="9BD2ED"/>
            <w:vAlign w:val="center"/>
            <w:hideMark/>
          </w:tcPr>
          <w:p w14:paraId="27ED8C1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5F23A7D7" w14:textId="7B9F000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5EAD55E" w14:textId="1DD228C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D08776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339C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8DA693D" w14:textId="77777777" w:rsidR="00485BAA" w:rsidRPr="008C761D" w:rsidRDefault="00485BAA" w:rsidP="003339C4">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E041E6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0F10309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B23CC8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7</w:t>
            </w:r>
          </w:p>
        </w:tc>
      </w:tr>
      <w:tr w:rsidR="00485BAA" w:rsidRPr="008C761D" w14:paraId="4E9A9F30" w14:textId="77777777" w:rsidTr="003F623B">
        <w:trPr>
          <w:gridBefore w:val="1"/>
          <w:gridAfter w:val="1"/>
          <w:wBefore w:w="17" w:type="dxa"/>
          <w:wAfter w:w="180" w:type="dxa"/>
          <w:trHeight w:val="965"/>
          <w:jc w:val="center"/>
        </w:trPr>
        <w:tc>
          <w:tcPr>
            <w:tcW w:w="2368" w:type="dxa"/>
            <w:gridSpan w:val="6"/>
            <w:shd w:val="clear" w:color="000000" w:fill="FFFF99"/>
            <w:vAlign w:val="center"/>
            <w:hideMark/>
          </w:tcPr>
          <w:p w14:paraId="47769044" w14:textId="21EE7FE7"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Availability of innovative equipment and training of staff for detection and control for the purpose of: control without disturbance, detection of hidden objects on persons, radiation detection, sampling and analysis of samples, manual search;</w:t>
            </w:r>
          </w:p>
        </w:tc>
        <w:tc>
          <w:tcPr>
            <w:tcW w:w="1771" w:type="dxa"/>
            <w:gridSpan w:val="3"/>
            <w:shd w:val="clear" w:color="000000" w:fill="FFFF99"/>
            <w:vAlign w:val="center"/>
            <w:hideMark/>
          </w:tcPr>
          <w:p w14:paraId="2A894A96" w14:textId="5AC94D4B"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physical controls that resulted in the detection of irregularities in relation to the total number of physical controls performed using the new equipment</w:t>
            </w:r>
          </w:p>
        </w:tc>
        <w:tc>
          <w:tcPr>
            <w:tcW w:w="1194" w:type="dxa"/>
            <w:gridSpan w:val="3"/>
            <w:shd w:val="clear" w:color="000000" w:fill="FFFF99"/>
            <w:vAlign w:val="center"/>
            <w:hideMark/>
          </w:tcPr>
          <w:p w14:paraId="6FFF13B6" w14:textId="127A12C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27A4284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5FAADD20" w14:textId="4E15EB77" w:rsidR="00485BAA" w:rsidRPr="008C761D" w:rsidRDefault="002320F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 of the total number of performed physical controls using the new equipment /</w:t>
            </w:r>
            <w:r w:rsidR="003339C4"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38F1F595" w14:textId="01AA538F" w:rsidR="00485BAA" w:rsidRPr="008C761D" w:rsidRDefault="002320F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 of the total number of performed physical controls using the new equipment /</w:t>
            </w:r>
            <w:r w:rsidR="003339C4"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3567309E" w14:textId="249B7F1B"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 of the total number of performed physical controls using the new equipment</w:t>
            </w:r>
          </w:p>
        </w:tc>
        <w:tc>
          <w:tcPr>
            <w:tcW w:w="1506" w:type="dxa"/>
            <w:gridSpan w:val="3"/>
            <w:shd w:val="clear" w:color="000000" w:fill="FFFF99"/>
            <w:vAlign w:val="center"/>
            <w:hideMark/>
          </w:tcPr>
          <w:p w14:paraId="52C0EEEB" w14:textId="619BD682"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 of the total number of performed physical controls using the new equipment</w:t>
            </w:r>
          </w:p>
        </w:tc>
      </w:tr>
      <w:tr w:rsidR="00485BAA" w:rsidRPr="008C761D" w14:paraId="606C022C" w14:textId="77777777" w:rsidTr="003F623B">
        <w:trPr>
          <w:gridBefore w:val="1"/>
          <w:gridAfter w:val="1"/>
          <w:wBefore w:w="17" w:type="dxa"/>
          <w:wAfter w:w="180" w:type="dxa"/>
          <w:trHeight w:val="2129"/>
          <w:jc w:val="center"/>
        </w:trPr>
        <w:tc>
          <w:tcPr>
            <w:tcW w:w="2368" w:type="dxa"/>
            <w:gridSpan w:val="6"/>
            <w:shd w:val="clear" w:color="000000" w:fill="FFFF99"/>
            <w:vAlign w:val="center"/>
            <w:hideMark/>
          </w:tcPr>
          <w:p w14:paraId="1CD9CAE8" w14:textId="7E7A4608"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lastRenderedPageBreak/>
              <w:t>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staffing with appropriate hardware for those systems.</w:t>
            </w:r>
          </w:p>
        </w:tc>
        <w:tc>
          <w:tcPr>
            <w:tcW w:w="1771" w:type="dxa"/>
            <w:gridSpan w:val="3"/>
            <w:shd w:val="clear" w:color="000000" w:fill="FFFF99"/>
            <w:vAlign w:val="center"/>
            <w:hideMark/>
          </w:tcPr>
          <w:p w14:paraId="6A49F148" w14:textId="7B972F22"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Implemented at least two (2) new IT systems / modules from the EU Multiannual Strategic Plan (MASP) at national level on appropriate hardware (ICS2 and e-commerce)</w:t>
            </w:r>
          </w:p>
        </w:tc>
        <w:tc>
          <w:tcPr>
            <w:tcW w:w="1194" w:type="dxa"/>
            <w:gridSpan w:val="3"/>
            <w:shd w:val="clear" w:color="000000" w:fill="FFFF99"/>
            <w:vAlign w:val="center"/>
            <w:hideMark/>
          </w:tcPr>
          <w:p w14:paraId="31BA508B" w14:textId="702EC29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53B0A1D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hideMark/>
          </w:tcPr>
          <w:p w14:paraId="3A3E6C0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07C44DF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10EF163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3F349CB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r>
      <w:tr w:rsidR="00485BAA" w:rsidRPr="008C761D" w14:paraId="47E7A5AE" w14:textId="77777777" w:rsidTr="003F623B">
        <w:trPr>
          <w:gridBefore w:val="1"/>
          <w:gridAfter w:val="1"/>
          <w:wBefore w:w="17" w:type="dxa"/>
          <w:wAfter w:w="180" w:type="dxa"/>
          <w:trHeight w:val="349"/>
          <w:jc w:val="center"/>
        </w:trPr>
        <w:tc>
          <w:tcPr>
            <w:tcW w:w="13501" w:type="dxa"/>
            <w:gridSpan w:val="25"/>
            <w:shd w:val="clear" w:color="000000" w:fill="9BD2ED"/>
            <w:vAlign w:val="center"/>
            <w:hideMark/>
          </w:tcPr>
          <w:p w14:paraId="2A9C43F4" w14:textId="4BDE3759"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 1. Strengthening</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joint</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control</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mechanisms</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capacities</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order</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to</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combat</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illegal</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trade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organized</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crime</w:t>
            </w:r>
          </w:p>
        </w:tc>
      </w:tr>
      <w:tr w:rsidR="00485BAA" w:rsidRPr="008C761D" w14:paraId="2EBB3B9A" w14:textId="77777777" w:rsidTr="003F623B">
        <w:trPr>
          <w:gridBefore w:val="1"/>
          <w:gridAfter w:val="1"/>
          <w:wBefore w:w="17" w:type="dxa"/>
          <w:wAfter w:w="180" w:type="dxa"/>
          <w:trHeight w:val="239"/>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1CCBED5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565CD003" w14:textId="26FE307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1A4DFC7" w14:textId="00971F7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D29A33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339C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167719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87D640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D7346F8" w14:textId="77777777" w:rsidR="00485BAA" w:rsidRPr="008C761D" w:rsidRDefault="00485BAA" w:rsidP="003339C4">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A767D8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7</w:t>
            </w:r>
          </w:p>
        </w:tc>
      </w:tr>
      <w:tr w:rsidR="00485BAA" w:rsidRPr="008C761D" w14:paraId="20714591" w14:textId="77777777" w:rsidTr="003F623B">
        <w:trPr>
          <w:gridBefore w:val="1"/>
          <w:gridAfter w:val="1"/>
          <w:wBefore w:w="17" w:type="dxa"/>
          <w:wAfter w:w="180" w:type="dxa"/>
          <w:trHeight w:val="694"/>
          <w:jc w:val="center"/>
        </w:trPr>
        <w:tc>
          <w:tcPr>
            <w:tcW w:w="2368" w:type="dxa"/>
            <w:gridSpan w:val="6"/>
            <w:vMerge/>
            <w:tcBorders>
              <w:top w:val="nil"/>
              <w:left w:val="nil"/>
              <w:bottom w:val="nil"/>
              <w:right w:val="single" w:sz="8" w:space="0" w:color="000000"/>
            </w:tcBorders>
            <w:vAlign w:val="center"/>
            <w:hideMark/>
          </w:tcPr>
          <w:p w14:paraId="5FEA516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B417059" w14:textId="385A974F"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Percentage of staff employed in the corresponding units </w:t>
            </w:r>
            <w:proofErr w:type="gramStart"/>
            <w:r w:rsidRPr="008C761D">
              <w:rPr>
                <w:rFonts w:ascii="Arial" w:eastAsia="Times New Roman" w:hAnsi="Arial" w:cs="Arial"/>
                <w:sz w:val="12"/>
                <w:szCs w:val="12"/>
                <w:lang w:val="en-US" w:eastAsia="mk-MK"/>
              </w:rPr>
              <w:t>for  customs</w:t>
            </w:r>
            <w:proofErr w:type="gramEnd"/>
            <w:r w:rsidRPr="008C761D">
              <w:rPr>
                <w:rFonts w:ascii="Arial" w:eastAsia="Times New Roman" w:hAnsi="Arial" w:cs="Arial"/>
                <w:sz w:val="12"/>
                <w:szCs w:val="12"/>
                <w:lang w:val="en-US" w:eastAsia="mk-MK"/>
              </w:rPr>
              <w:t xml:space="preserve"> control actively using the new equipment</w:t>
            </w:r>
          </w:p>
        </w:tc>
        <w:tc>
          <w:tcPr>
            <w:tcW w:w="1194" w:type="dxa"/>
            <w:gridSpan w:val="3"/>
            <w:shd w:val="clear" w:color="000000" w:fill="FFFF99"/>
            <w:vAlign w:val="center"/>
            <w:hideMark/>
          </w:tcPr>
          <w:p w14:paraId="587FEC4F" w14:textId="22A24B1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3E9974B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hideMark/>
          </w:tcPr>
          <w:p w14:paraId="201F0DB6"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c>
          <w:tcPr>
            <w:tcW w:w="1758" w:type="dxa"/>
            <w:gridSpan w:val="2"/>
            <w:shd w:val="clear" w:color="000000" w:fill="FFFF99"/>
            <w:vAlign w:val="center"/>
            <w:hideMark/>
          </w:tcPr>
          <w:p w14:paraId="625DBD4E" w14:textId="0D83FDD0"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842" w:type="dxa"/>
            <w:gridSpan w:val="3"/>
            <w:shd w:val="clear" w:color="000000" w:fill="FFFF99"/>
            <w:vAlign w:val="center"/>
            <w:hideMark/>
          </w:tcPr>
          <w:p w14:paraId="41345066"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506" w:type="dxa"/>
            <w:gridSpan w:val="3"/>
            <w:shd w:val="clear" w:color="000000" w:fill="FFFF99"/>
            <w:vAlign w:val="center"/>
            <w:hideMark/>
          </w:tcPr>
          <w:p w14:paraId="0EFD249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r>
      <w:tr w:rsidR="00485BAA" w:rsidRPr="008C761D" w14:paraId="73BB8B7A" w14:textId="77777777" w:rsidTr="003F623B">
        <w:trPr>
          <w:gridBefore w:val="1"/>
          <w:gridAfter w:val="1"/>
          <w:wBefore w:w="17" w:type="dxa"/>
          <w:wAfter w:w="180" w:type="dxa"/>
          <w:trHeight w:val="1006"/>
          <w:jc w:val="center"/>
        </w:trPr>
        <w:tc>
          <w:tcPr>
            <w:tcW w:w="2368" w:type="dxa"/>
            <w:gridSpan w:val="6"/>
            <w:vMerge/>
            <w:tcBorders>
              <w:top w:val="nil"/>
              <w:left w:val="nil"/>
              <w:bottom w:val="nil"/>
              <w:right w:val="single" w:sz="8" w:space="0" w:color="000000"/>
            </w:tcBorders>
            <w:vAlign w:val="center"/>
            <w:hideMark/>
          </w:tcPr>
          <w:p w14:paraId="3486928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9B14B59" w14:textId="60D33B99"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Conducted appropriate professional trainings for the employees in the operational services for control and prosecution for fight against illicit trade and crime (number of events)</w:t>
            </w:r>
          </w:p>
        </w:tc>
        <w:tc>
          <w:tcPr>
            <w:tcW w:w="1194" w:type="dxa"/>
            <w:gridSpan w:val="3"/>
            <w:shd w:val="clear" w:color="000000" w:fill="FFFF99"/>
            <w:vAlign w:val="center"/>
            <w:hideMark/>
          </w:tcPr>
          <w:p w14:paraId="11A44F2E" w14:textId="4727FB3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2320F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677E53E0" w14:textId="625D4392" w:rsidR="00485BAA" w:rsidRPr="008C761D" w:rsidRDefault="002320F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(part of equipment is in the process of procurement)</w:t>
            </w:r>
            <w:r w:rsidR="003339C4" w:rsidRPr="008C761D">
              <w:rPr>
                <w:rFonts w:ascii="Arial" w:eastAsia="Times New Roman" w:hAnsi="Arial" w:cs="Arial"/>
                <w:sz w:val="12"/>
                <w:szCs w:val="12"/>
                <w:lang w:val="en-US" w:eastAsia="mk-MK"/>
              </w:rPr>
              <w:t>0</w:t>
            </w:r>
          </w:p>
        </w:tc>
        <w:tc>
          <w:tcPr>
            <w:tcW w:w="1644" w:type="dxa"/>
            <w:gridSpan w:val="3"/>
            <w:shd w:val="clear" w:color="000000" w:fill="FFFF99"/>
            <w:vAlign w:val="center"/>
            <w:hideMark/>
          </w:tcPr>
          <w:p w14:paraId="7464B31B" w14:textId="76552656"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r w:rsidR="002320F5" w:rsidRPr="008C761D">
              <w:rPr>
                <w:rFonts w:ascii="Arial" w:eastAsia="Times New Roman" w:hAnsi="Arial" w:cs="Arial"/>
                <w:sz w:val="12"/>
                <w:szCs w:val="12"/>
                <w:lang w:val="en-US" w:eastAsia="mk-MK"/>
              </w:rPr>
              <w:t xml:space="preserve"> additional equipment will be procured</w:t>
            </w:r>
          </w:p>
        </w:tc>
        <w:tc>
          <w:tcPr>
            <w:tcW w:w="1758" w:type="dxa"/>
            <w:gridSpan w:val="2"/>
            <w:shd w:val="clear" w:color="000000" w:fill="FFFF99"/>
            <w:vAlign w:val="center"/>
            <w:hideMark/>
          </w:tcPr>
          <w:p w14:paraId="563800E1"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r w:rsidR="00485BAA" w:rsidRPr="008C761D">
              <w:rPr>
                <w:rFonts w:ascii="Arial" w:eastAsia="Times New Roman" w:hAnsi="Arial" w:cs="Arial"/>
                <w:sz w:val="12"/>
                <w:szCs w:val="12"/>
                <w:lang w:val="en-US" w:eastAsia="mk-MK"/>
              </w:rPr>
              <w:br/>
            </w:r>
          </w:p>
        </w:tc>
        <w:tc>
          <w:tcPr>
            <w:tcW w:w="1842" w:type="dxa"/>
            <w:gridSpan w:val="3"/>
            <w:shd w:val="clear" w:color="000000" w:fill="FFFF99"/>
            <w:vAlign w:val="center"/>
            <w:hideMark/>
          </w:tcPr>
          <w:p w14:paraId="3D868B22"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c>
          <w:tcPr>
            <w:tcW w:w="1506" w:type="dxa"/>
            <w:gridSpan w:val="3"/>
            <w:shd w:val="clear" w:color="000000" w:fill="FFFF99"/>
            <w:vAlign w:val="center"/>
            <w:hideMark/>
          </w:tcPr>
          <w:p w14:paraId="6D94778F"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p>
        </w:tc>
      </w:tr>
      <w:tr w:rsidR="00485BAA" w:rsidRPr="008C761D" w14:paraId="549D1B55" w14:textId="77777777" w:rsidTr="003F623B">
        <w:trPr>
          <w:gridBefore w:val="1"/>
          <w:gridAfter w:val="1"/>
          <w:wBefore w:w="17" w:type="dxa"/>
          <w:wAfter w:w="180" w:type="dxa"/>
          <w:trHeight w:val="285"/>
          <w:jc w:val="center"/>
        </w:trPr>
        <w:tc>
          <w:tcPr>
            <w:tcW w:w="2368" w:type="dxa"/>
            <w:gridSpan w:val="6"/>
            <w:vMerge/>
            <w:tcBorders>
              <w:top w:val="nil"/>
              <w:left w:val="nil"/>
              <w:bottom w:val="nil"/>
              <w:right w:val="single" w:sz="8" w:space="0" w:color="000000"/>
            </w:tcBorders>
            <w:vAlign w:val="center"/>
            <w:hideMark/>
          </w:tcPr>
          <w:p w14:paraId="7CE2C22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23E3AB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8603AE7" w14:textId="3BACA93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2EC08C61" w14:textId="69E4026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BD644A0" w14:textId="6B3C694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6136A5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1E4737C" w14:textId="1525D076"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20F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42F45F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29AD32CD" w14:textId="77777777" w:rsidTr="003F623B">
        <w:trPr>
          <w:gridBefore w:val="1"/>
          <w:gridAfter w:val="1"/>
          <w:wBefore w:w="17" w:type="dxa"/>
          <w:wAfter w:w="180" w:type="dxa"/>
          <w:trHeight w:val="1682"/>
          <w:jc w:val="center"/>
        </w:trPr>
        <w:tc>
          <w:tcPr>
            <w:tcW w:w="2368" w:type="dxa"/>
            <w:gridSpan w:val="6"/>
            <w:vMerge/>
            <w:tcBorders>
              <w:top w:val="nil"/>
              <w:left w:val="nil"/>
              <w:bottom w:val="nil"/>
              <w:right w:val="single" w:sz="8" w:space="0" w:color="000000"/>
            </w:tcBorders>
            <w:vAlign w:val="center"/>
            <w:hideMark/>
          </w:tcPr>
          <w:p w14:paraId="2A2E61A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065DC80" w14:textId="03C653A8" w:rsidR="00485BAA" w:rsidRPr="008C761D" w:rsidRDefault="002320F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Equipping with modern and reliable control equipment and appropriate training for employees, in order to protect financial and economic interests, guarantee the safety and security of citizens, environmental protection and protection from unfair and illicit trade</w:t>
            </w:r>
          </w:p>
        </w:tc>
        <w:tc>
          <w:tcPr>
            <w:tcW w:w="1194" w:type="dxa"/>
            <w:gridSpan w:val="3"/>
            <w:shd w:val="clear" w:color="000000" w:fill="FFFF99"/>
            <w:vAlign w:val="center"/>
            <w:hideMark/>
          </w:tcPr>
          <w:p w14:paraId="6EC8EC3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3339C4"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3339C4"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D1C0D3F" w14:textId="1D1E84EC"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644" w:type="dxa"/>
            <w:gridSpan w:val="3"/>
            <w:shd w:val="clear" w:color="000000" w:fill="FFFF99"/>
            <w:vAlign w:val="center"/>
            <w:hideMark/>
          </w:tcPr>
          <w:p w14:paraId="2834F424" w14:textId="29F3E47F" w:rsidR="00485BAA" w:rsidRPr="008C761D" w:rsidRDefault="00D847E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 - and its institutions, UN, Bilateral Cooperation, relevant domestic institutions</w:t>
            </w:r>
          </w:p>
        </w:tc>
        <w:tc>
          <w:tcPr>
            <w:tcW w:w="1758" w:type="dxa"/>
            <w:gridSpan w:val="2"/>
            <w:shd w:val="clear" w:color="000000" w:fill="FFFF99"/>
            <w:vAlign w:val="center"/>
            <w:hideMark/>
          </w:tcPr>
          <w:p w14:paraId="1286E325" w14:textId="64517CB4"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F50C2B">
              <w:rPr>
                <w:rFonts w:ascii="Arial" w:eastAsia="Times New Roman" w:hAnsi="Arial" w:cs="Arial"/>
                <w:sz w:val="12"/>
                <w:szCs w:val="12"/>
                <w:lang w:val="en-US" w:eastAsia="mk-MK"/>
              </w:rPr>
              <w:t>2</w:t>
            </w:r>
            <w:r w:rsidRPr="008C761D">
              <w:rPr>
                <w:rFonts w:ascii="Arial" w:eastAsia="Times New Roman" w:hAnsi="Arial" w:cs="Arial"/>
                <w:sz w:val="12"/>
                <w:szCs w:val="12"/>
                <w:lang w:val="en-US" w:eastAsia="mk-MK"/>
              </w:rPr>
              <w:t xml:space="preserve">,000,000 </w:t>
            </w:r>
          </w:p>
        </w:tc>
        <w:tc>
          <w:tcPr>
            <w:tcW w:w="1842" w:type="dxa"/>
            <w:gridSpan w:val="3"/>
            <w:shd w:val="clear" w:color="000000" w:fill="FFFF99"/>
            <w:vAlign w:val="center"/>
            <w:hideMark/>
          </w:tcPr>
          <w:p w14:paraId="5BC4C2A7" w14:textId="659804D7" w:rsidR="00485BAA" w:rsidRPr="008C761D" w:rsidRDefault="0025000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(IPA2 and IPA3)</w:t>
            </w:r>
          </w:p>
        </w:tc>
        <w:tc>
          <w:tcPr>
            <w:tcW w:w="1506" w:type="dxa"/>
            <w:gridSpan w:val="3"/>
            <w:shd w:val="clear" w:color="000000" w:fill="FFFF99"/>
            <w:vAlign w:val="center"/>
            <w:hideMark/>
          </w:tcPr>
          <w:p w14:paraId="266C740F" w14:textId="7BA1955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52CD6548" w14:textId="77777777" w:rsidTr="003F623B">
        <w:trPr>
          <w:gridBefore w:val="1"/>
          <w:gridAfter w:val="1"/>
          <w:wBefore w:w="17" w:type="dxa"/>
          <w:wAfter w:w="180" w:type="dxa"/>
          <w:trHeight w:val="295"/>
          <w:jc w:val="center"/>
        </w:trPr>
        <w:tc>
          <w:tcPr>
            <w:tcW w:w="13501" w:type="dxa"/>
            <w:gridSpan w:val="25"/>
            <w:shd w:val="clear" w:color="000000" w:fill="9BD2ED"/>
            <w:vAlign w:val="center"/>
            <w:hideMark/>
          </w:tcPr>
          <w:p w14:paraId="7482A3A8" w14:textId="59C53A4B" w:rsidR="00485BAA" w:rsidRPr="008C761D" w:rsidRDefault="005C29D1"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w:t>
            </w:r>
            <w:r>
              <w:rPr>
                <w:rFonts w:ascii="Arial" w:eastAsia="Times New Roman" w:hAnsi="Arial" w:cs="Arial"/>
                <w:b/>
                <w:bCs/>
                <w:sz w:val="12"/>
                <w:szCs w:val="12"/>
                <w:lang w:eastAsia="mk-MK"/>
              </w:rPr>
              <w:t xml:space="preserve"> </w:t>
            </w:r>
            <w:r w:rsidR="00485BAA" w:rsidRPr="008C761D">
              <w:rPr>
                <w:rFonts w:ascii="Arial" w:eastAsia="Times New Roman" w:hAnsi="Arial" w:cs="Arial"/>
                <w:b/>
                <w:bCs/>
                <w:sz w:val="12"/>
                <w:szCs w:val="12"/>
                <w:lang w:val="en-US" w:eastAsia="mk-MK"/>
              </w:rPr>
              <w:t>2. Modernization</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of</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customs</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services</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and</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their</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digitalization</w:t>
            </w:r>
          </w:p>
        </w:tc>
      </w:tr>
      <w:tr w:rsidR="00485BAA" w:rsidRPr="008C761D" w14:paraId="31503752" w14:textId="77777777" w:rsidTr="003F623B">
        <w:trPr>
          <w:gridBefore w:val="1"/>
          <w:gridAfter w:val="1"/>
          <w:wBefore w:w="17" w:type="dxa"/>
          <w:wAfter w:w="180" w:type="dxa"/>
          <w:trHeight w:val="295"/>
          <w:jc w:val="center"/>
        </w:trPr>
        <w:tc>
          <w:tcPr>
            <w:tcW w:w="1288" w:type="dxa"/>
            <w:gridSpan w:val="3"/>
            <w:tcBorders>
              <w:top w:val="nil"/>
              <w:left w:val="nil"/>
              <w:bottom w:val="nil"/>
              <w:right w:val="nil"/>
            </w:tcBorders>
            <w:shd w:val="clear" w:color="auto" w:fill="auto"/>
            <w:vAlign w:val="center"/>
            <w:hideMark/>
          </w:tcPr>
          <w:p w14:paraId="2CB361BC"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78B93652"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465DD80" w14:textId="700F4E5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2EF5F21" w14:textId="163D7B9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421308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339C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850A0E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83AF08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8294C1F" w14:textId="77777777" w:rsidR="00485BAA" w:rsidRPr="008C761D" w:rsidRDefault="00485BAA" w:rsidP="003339C4">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35A112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339C4" w:rsidRPr="008C761D">
              <w:rPr>
                <w:rFonts w:ascii="Arial" w:eastAsia="Times New Roman" w:hAnsi="Arial" w:cs="Arial"/>
                <w:b/>
                <w:bCs/>
                <w:sz w:val="12"/>
                <w:szCs w:val="12"/>
                <w:lang w:val="en-US" w:eastAsia="mk-MK"/>
              </w:rPr>
              <w:t>7</w:t>
            </w:r>
          </w:p>
        </w:tc>
      </w:tr>
      <w:tr w:rsidR="00485BAA" w:rsidRPr="008C761D" w14:paraId="49D9454C" w14:textId="77777777" w:rsidTr="003F623B">
        <w:trPr>
          <w:gridBefore w:val="1"/>
          <w:gridAfter w:val="1"/>
          <w:wBefore w:w="17" w:type="dxa"/>
          <w:wAfter w:w="180" w:type="dxa"/>
          <w:trHeight w:val="798"/>
          <w:jc w:val="center"/>
        </w:trPr>
        <w:tc>
          <w:tcPr>
            <w:tcW w:w="1288" w:type="dxa"/>
            <w:gridSpan w:val="3"/>
            <w:tcBorders>
              <w:top w:val="nil"/>
              <w:left w:val="nil"/>
              <w:bottom w:val="nil"/>
              <w:right w:val="nil"/>
            </w:tcBorders>
            <w:shd w:val="clear" w:color="auto" w:fill="auto"/>
            <w:vAlign w:val="center"/>
            <w:hideMark/>
          </w:tcPr>
          <w:p w14:paraId="6D6702D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3E46824"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C7C00ED" w14:textId="650C8E12" w:rsidR="00485BAA" w:rsidRPr="008C761D" w:rsidRDefault="00D847E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Average yearly technical availability of the new customs IT systems for interconnectivity with the EU systems</w:t>
            </w:r>
          </w:p>
        </w:tc>
        <w:tc>
          <w:tcPr>
            <w:tcW w:w="1194" w:type="dxa"/>
            <w:gridSpan w:val="3"/>
            <w:shd w:val="clear" w:color="000000" w:fill="FFFF99"/>
            <w:vAlign w:val="center"/>
            <w:hideMark/>
          </w:tcPr>
          <w:p w14:paraId="0C3C4164" w14:textId="2DB3308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7EA56321"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95%</w:t>
            </w:r>
          </w:p>
        </w:tc>
        <w:tc>
          <w:tcPr>
            <w:tcW w:w="1644" w:type="dxa"/>
            <w:gridSpan w:val="3"/>
            <w:shd w:val="clear" w:color="000000" w:fill="FFFF99"/>
            <w:vAlign w:val="center"/>
            <w:hideMark/>
          </w:tcPr>
          <w:p w14:paraId="29D8E5F8"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95%</w:t>
            </w:r>
          </w:p>
        </w:tc>
        <w:tc>
          <w:tcPr>
            <w:tcW w:w="1758" w:type="dxa"/>
            <w:gridSpan w:val="2"/>
            <w:shd w:val="clear" w:color="000000" w:fill="FFFF99"/>
            <w:vAlign w:val="center"/>
            <w:hideMark/>
          </w:tcPr>
          <w:p w14:paraId="00FB340A" w14:textId="77777777" w:rsidR="00485BAA" w:rsidRPr="008C761D" w:rsidRDefault="003339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95%</w:t>
            </w:r>
          </w:p>
        </w:tc>
        <w:tc>
          <w:tcPr>
            <w:tcW w:w="1842" w:type="dxa"/>
            <w:gridSpan w:val="3"/>
            <w:shd w:val="clear" w:color="000000" w:fill="FFFF99"/>
            <w:vAlign w:val="center"/>
            <w:hideMark/>
          </w:tcPr>
          <w:p w14:paraId="4008080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w:t>
            </w:r>
            <w:r w:rsidR="003339C4"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0F2998D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95%</w:t>
            </w:r>
          </w:p>
        </w:tc>
      </w:tr>
      <w:tr w:rsidR="00485BAA" w:rsidRPr="008C761D" w14:paraId="48A9973A" w14:textId="77777777" w:rsidTr="003F623B">
        <w:trPr>
          <w:gridBefore w:val="1"/>
          <w:gridAfter w:val="1"/>
          <w:wBefore w:w="17" w:type="dxa"/>
          <w:wAfter w:w="180" w:type="dxa"/>
          <w:trHeight w:val="1107"/>
          <w:jc w:val="center"/>
        </w:trPr>
        <w:tc>
          <w:tcPr>
            <w:tcW w:w="1288" w:type="dxa"/>
            <w:gridSpan w:val="3"/>
            <w:tcBorders>
              <w:top w:val="nil"/>
              <w:left w:val="nil"/>
              <w:bottom w:val="nil"/>
              <w:right w:val="nil"/>
            </w:tcBorders>
            <w:shd w:val="clear" w:color="auto" w:fill="auto"/>
            <w:vAlign w:val="center"/>
            <w:hideMark/>
          </w:tcPr>
          <w:p w14:paraId="2F44629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6D87A0A8"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72B50C2" w14:textId="7BC767B3" w:rsidR="00485BAA" w:rsidRPr="008C761D" w:rsidRDefault="00D847E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Conducted appropriate professional trainings for the employees of the Customs Administration and the economic operators for implementation of systems (number of events)</w:t>
            </w:r>
          </w:p>
        </w:tc>
        <w:tc>
          <w:tcPr>
            <w:tcW w:w="1194" w:type="dxa"/>
            <w:gridSpan w:val="3"/>
            <w:shd w:val="clear" w:color="000000" w:fill="FFFF99"/>
            <w:vAlign w:val="center"/>
            <w:hideMark/>
          </w:tcPr>
          <w:p w14:paraId="23C5E28B" w14:textId="2BE24A12"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418" w:type="dxa"/>
            <w:gridSpan w:val="2"/>
            <w:shd w:val="clear" w:color="000000" w:fill="FFFF99"/>
            <w:vAlign w:val="center"/>
            <w:hideMark/>
          </w:tcPr>
          <w:p w14:paraId="7990AD9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w:t>
            </w:r>
          </w:p>
        </w:tc>
        <w:tc>
          <w:tcPr>
            <w:tcW w:w="1644" w:type="dxa"/>
            <w:gridSpan w:val="3"/>
            <w:shd w:val="clear" w:color="000000" w:fill="FFFF99"/>
            <w:vAlign w:val="center"/>
            <w:hideMark/>
          </w:tcPr>
          <w:p w14:paraId="3E602B1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w:t>
            </w:r>
          </w:p>
        </w:tc>
        <w:tc>
          <w:tcPr>
            <w:tcW w:w="1758" w:type="dxa"/>
            <w:gridSpan w:val="2"/>
            <w:shd w:val="clear" w:color="000000" w:fill="FFFF99"/>
            <w:vAlign w:val="center"/>
            <w:hideMark/>
          </w:tcPr>
          <w:p w14:paraId="0A61AB8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12</w:t>
            </w:r>
          </w:p>
        </w:tc>
        <w:tc>
          <w:tcPr>
            <w:tcW w:w="1842" w:type="dxa"/>
            <w:gridSpan w:val="3"/>
            <w:shd w:val="clear" w:color="000000" w:fill="FFFF99"/>
            <w:vAlign w:val="center"/>
            <w:hideMark/>
          </w:tcPr>
          <w:p w14:paraId="5FFD5CC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w:t>
            </w:r>
          </w:p>
        </w:tc>
        <w:tc>
          <w:tcPr>
            <w:tcW w:w="1506" w:type="dxa"/>
            <w:gridSpan w:val="3"/>
            <w:shd w:val="clear" w:color="000000" w:fill="FFFF99"/>
            <w:vAlign w:val="center"/>
            <w:hideMark/>
          </w:tcPr>
          <w:p w14:paraId="15DC8A1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r>
      <w:tr w:rsidR="00485BAA" w:rsidRPr="008C761D" w14:paraId="08D07129" w14:textId="77777777" w:rsidTr="003F623B">
        <w:trPr>
          <w:gridBefore w:val="1"/>
          <w:gridAfter w:val="1"/>
          <w:wBefore w:w="17" w:type="dxa"/>
          <w:wAfter w:w="180" w:type="dxa"/>
          <w:trHeight w:val="269"/>
          <w:jc w:val="center"/>
        </w:trPr>
        <w:tc>
          <w:tcPr>
            <w:tcW w:w="1288" w:type="dxa"/>
            <w:gridSpan w:val="3"/>
            <w:tcBorders>
              <w:top w:val="nil"/>
              <w:left w:val="nil"/>
              <w:bottom w:val="nil"/>
              <w:right w:val="nil"/>
            </w:tcBorders>
            <w:shd w:val="clear" w:color="auto" w:fill="auto"/>
            <w:vAlign w:val="center"/>
            <w:hideMark/>
          </w:tcPr>
          <w:p w14:paraId="2D1B58E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D2D43D3"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C8F9CD8" w14:textId="59FBEB6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C80BDDE" w14:textId="757EDAE5" w:rsidR="00485BAA" w:rsidRPr="008C761D" w:rsidRDefault="00404D96"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 period</w:t>
            </w:r>
          </w:p>
        </w:tc>
        <w:tc>
          <w:tcPr>
            <w:tcW w:w="1418" w:type="dxa"/>
            <w:gridSpan w:val="2"/>
            <w:shd w:val="clear" w:color="000000" w:fill="9BD2ED"/>
            <w:vAlign w:val="center"/>
            <w:hideMark/>
          </w:tcPr>
          <w:p w14:paraId="0200DEB8" w14:textId="76E632C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66CEFFD" w14:textId="783774A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4C3FB12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27AFEE7" w14:textId="205DE829"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0391BB7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7B4D37CD" w14:textId="77777777" w:rsidTr="003F623B">
        <w:trPr>
          <w:gridBefore w:val="1"/>
          <w:gridAfter w:val="1"/>
          <w:wBefore w:w="17" w:type="dxa"/>
          <w:wAfter w:w="180" w:type="dxa"/>
          <w:trHeight w:val="1253"/>
          <w:jc w:val="center"/>
        </w:trPr>
        <w:tc>
          <w:tcPr>
            <w:tcW w:w="1288" w:type="dxa"/>
            <w:gridSpan w:val="3"/>
            <w:tcBorders>
              <w:top w:val="nil"/>
              <w:left w:val="nil"/>
              <w:bottom w:val="nil"/>
              <w:right w:val="nil"/>
            </w:tcBorders>
            <w:shd w:val="clear" w:color="auto" w:fill="auto"/>
            <w:vAlign w:val="center"/>
            <w:hideMark/>
          </w:tcPr>
          <w:p w14:paraId="3F91F19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CEDCA1A"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96F33A5" w14:textId="33CFEF1B" w:rsidR="00485BAA" w:rsidRPr="008C761D" w:rsidRDefault="00D847E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Implementation of modern systems in order to comply with the Multiannual Strategic Plan of the EU (MASP), integration with European systems and procurement of appropriate hardware.</w:t>
            </w:r>
          </w:p>
        </w:tc>
        <w:tc>
          <w:tcPr>
            <w:tcW w:w="1194" w:type="dxa"/>
            <w:gridSpan w:val="3"/>
            <w:shd w:val="clear" w:color="000000" w:fill="FFFF99"/>
            <w:vAlign w:val="center"/>
            <w:hideMark/>
          </w:tcPr>
          <w:p w14:paraId="2A1CFF8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w:t>
            </w:r>
            <w:r w:rsidR="003339C4"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3582EB67" w14:textId="4B14BEC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644" w:type="dxa"/>
            <w:gridSpan w:val="3"/>
            <w:shd w:val="clear" w:color="000000" w:fill="FFFF99"/>
            <w:vAlign w:val="center"/>
            <w:hideMark/>
          </w:tcPr>
          <w:p w14:paraId="7A8DABB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w:t>
            </w:r>
          </w:p>
        </w:tc>
        <w:tc>
          <w:tcPr>
            <w:tcW w:w="1758" w:type="dxa"/>
            <w:gridSpan w:val="2"/>
            <w:shd w:val="clear" w:color="000000" w:fill="FFFF99"/>
            <w:vAlign w:val="center"/>
            <w:hideMark/>
          </w:tcPr>
          <w:p w14:paraId="5A6DD5DE" w14:textId="77777777" w:rsidR="007C6C8C" w:rsidRPr="008C761D" w:rsidRDefault="0023068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485BAA"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0</w:t>
            </w:r>
            <w:r w:rsidR="00485BAA" w:rsidRPr="008C761D">
              <w:rPr>
                <w:rFonts w:ascii="Arial" w:eastAsia="Times New Roman" w:hAnsi="Arial" w:cs="Arial"/>
                <w:sz w:val="12"/>
                <w:szCs w:val="12"/>
                <w:lang w:val="en-US" w:eastAsia="mk-MK"/>
              </w:rPr>
              <w:t>00,000</w:t>
            </w:r>
            <w:r w:rsidR="00D847E0" w:rsidRPr="008C761D">
              <w:rPr>
                <w:rFonts w:ascii="Arial" w:eastAsia="Times New Roman" w:hAnsi="Arial" w:cs="Arial"/>
                <w:sz w:val="12"/>
                <w:szCs w:val="12"/>
                <w:lang w:val="en-US" w:eastAsia="mk-MK"/>
              </w:rPr>
              <w:t xml:space="preserve"> </w:t>
            </w:r>
          </w:p>
          <w:p w14:paraId="2800F7B4" w14:textId="45EFE95A" w:rsidR="00485BAA" w:rsidRPr="008C761D" w:rsidRDefault="007C6C8C" w:rsidP="007C6C8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mil. IPA + 4 mil.</w:t>
            </w:r>
            <w:r w:rsidRPr="008C761D">
              <w:rPr>
                <w:rFonts w:ascii="Arial" w:hAnsi="Arial" w:cs="Arial"/>
                <w:sz w:val="12"/>
                <w:szCs w:val="12"/>
                <w:lang w:val="en-US"/>
              </w:rPr>
              <w:t xml:space="preserve"> Government of Korea + 9 mil. Financing GAP/ Growth Plan for Western Balkan</w:t>
            </w:r>
          </w:p>
        </w:tc>
        <w:tc>
          <w:tcPr>
            <w:tcW w:w="1842" w:type="dxa"/>
            <w:gridSpan w:val="3"/>
            <w:shd w:val="clear" w:color="000000" w:fill="FFFF99"/>
            <w:vAlign w:val="center"/>
            <w:hideMark/>
          </w:tcPr>
          <w:p w14:paraId="482B69AA" w14:textId="2168BF09" w:rsidR="0056463D" w:rsidRPr="008C761D" w:rsidRDefault="0056463D" w:rsidP="0056463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r w:rsidRPr="008C761D">
              <w:rPr>
                <w:rFonts w:ascii="Arial" w:hAnsi="Arial" w:cs="Arial"/>
                <w:sz w:val="12"/>
                <w:szCs w:val="12"/>
                <w:lang w:val="en-US"/>
              </w:rPr>
              <w:t>IPA 3, t, Government</w:t>
            </w:r>
            <w:r w:rsidR="00D847E0" w:rsidRPr="008C761D">
              <w:rPr>
                <w:rFonts w:ascii="Arial" w:hAnsi="Arial" w:cs="Arial"/>
                <w:sz w:val="12"/>
                <w:szCs w:val="12"/>
                <w:lang w:val="en-US"/>
              </w:rPr>
              <w:t xml:space="preserve"> </w:t>
            </w:r>
            <w:r w:rsidRPr="008C761D">
              <w:rPr>
                <w:rFonts w:ascii="Arial" w:hAnsi="Arial" w:cs="Arial"/>
                <w:sz w:val="12"/>
                <w:szCs w:val="12"/>
                <w:lang w:val="en-US"/>
              </w:rPr>
              <w:t>of</w:t>
            </w:r>
            <w:r w:rsidR="00D847E0" w:rsidRPr="008C761D">
              <w:rPr>
                <w:rFonts w:ascii="Arial" w:hAnsi="Arial" w:cs="Arial"/>
                <w:sz w:val="12"/>
                <w:szCs w:val="12"/>
                <w:lang w:val="en-US"/>
              </w:rPr>
              <w:t xml:space="preserve"> </w:t>
            </w:r>
            <w:r w:rsidRPr="008C761D">
              <w:rPr>
                <w:rFonts w:ascii="Arial" w:hAnsi="Arial" w:cs="Arial"/>
                <w:sz w:val="12"/>
                <w:szCs w:val="12"/>
                <w:lang w:val="en-US"/>
              </w:rPr>
              <w:t>Korea</w:t>
            </w:r>
            <w:r w:rsidR="00D847E0" w:rsidRPr="008C761D">
              <w:rPr>
                <w:rFonts w:ascii="Arial" w:hAnsi="Arial" w:cs="Arial"/>
                <w:sz w:val="12"/>
                <w:szCs w:val="12"/>
                <w:lang w:val="en-US"/>
              </w:rPr>
              <w:t xml:space="preserve"> </w:t>
            </w:r>
            <w:r w:rsidRPr="008C761D">
              <w:rPr>
                <w:rFonts w:ascii="Arial" w:hAnsi="Arial" w:cs="Arial"/>
                <w:sz w:val="12"/>
                <w:szCs w:val="12"/>
                <w:lang w:val="en-US"/>
              </w:rPr>
              <w:t>and</w:t>
            </w:r>
            <w:r w:rsidR="00D847E0" w:rsidRPr="008C761D">
              <w:rPr>
                <w:rFonts w:ascii="Arial" w:hAnsi="Arial" w:cs="Arial"/>
                <w:sz w:val="12"/>
                <w:szCs w:val="12"/>
                <w:lang w:val="en-US"/>
              </w:rPr>
              <w:t xml:space="preserve"> </w:t>
            </w:r>
            <w:r w:rsidRPr="008C761D">
              <w:rPr>
                <w:rFonts w:ascii="Arial" w:hAnsi="Arial" w:cs="Arial"/>
                <w:sz w:val="12"/>
                <w:szCs w:val="12"/>
                <w:lang w:val="en-US"/>
              </w:rPr>
              <w:t>Reform</w:t>
            </w:r>
            <w:r w:rsidR="00D847E0" w:rsidRPr="008C761D">
              <w:rPr>
                <w:rFonts w:ascii="Arial" w:hAnsi="Arial" w:cs="Arial"/>
                <w:sz w:val="12"/>
                <w:szCs w:val="12"/>
                <w:lang w:val="en-US"/>
              </w:rPr>
              <w:t xml:space="preserve"> </w:t>
            </w:r>
            <w:r w:rsidRPr="008C761D">
              <w:rPr>
                <w:rFonts w:ascii="Arial" w:hAnsi="Arial" w:cs="Arial"/>
                <w:sz w:val="12"/>
                <w:szCs w:val="12"/>
                <w:lang w:val="en-US"/>
              </w:rPr>
              <w:t>and</w:t>
            </w:r>
            <w:r w:rsidR="00D847E0" w:rsidRPr="008C761D">
              <w:rPr>
                <w:rFonts w:ascii="Arial" w:hAnsi="Arial" w:cs="Arial"/>
                <w:sz w:val="12"/>
                <w:szCs w:val="12"/>
                <w:lang w:val="en-US"/>
              </w:rPr>
              <w:t xml:space="preserve"> </w:t>
            </w:r>
            <w:r w:rsidRPr="008C761D">
              <w:rPr>
                <w:rFonts w:ascii="Arial" w:hAnsi="Arial" w:cs="Arial"/>
                <w:sz w:val="12"/>
                <w:szCs w:val="12"/>
                <w:lang w:val="en-US"/>
              </w:rPr>
              <w:t>Growth</w:t>
            </w:r>
            <w:r w:rsidR="00D847E0" w:rsidRPr="008C761D">
              <w:rPr>
                <w:rFonts w:ascii="Arial" w:hAnsi="Arial" w:cs="Arial"/>
                <w:sz w:val="12"/>
                <w:szCs w:val="12"/>
                <w:lang w:val="en-US"/>
              </w:rPr>
              <w:t xml:space="preserve"> </w:t>
            </w:r>
            <w:r w:rsidRPr="008C761D">
              <w:rPr>
                <w:rFonts w:ascii="Arial" w:hAnsi="Arial" w:cs="Arial"/>
                <w:sz w:val="12"/>
                <w:szCs w:val="12"/>
                <w:lang w:val="en-US"/>
              </w:rPr>
              <w:t>Plan</w:t>
            </w:r>
            <w:r w:rsidR="00D847E0" w:rsidRPr="008C761D">
              <w:rPr>
                <w:rFonts w:ascii="Arial" w:hAnsi="Arial" w:cs="Arial"/>
                <w:sz w:val="12"/>
                <w:szCs w:val="12"/>
                <w:lang w:val="en-US"/>
              </w:rPr>
              <w:t xml:space="preserve"> </w:t>
            </w:r>
            <w:r w:rsidRPr="008C761D">
              <w:rPr>
                <w:rFonts w:ascii="Arial" w:hAnsi="Arial" w:cs="Arial"/>
                <w:sz w:val="12"/>
                <w:szCs w:val="12"/>
                <w:lang w:val="en-US"/>
              </w:rPr>
              <w:t>for</w:t>
            </w:r>
            <w:r w:rsidR="00D847E0" w:rsidRPr="008C761D">
              <w:rPr>
                <w:rFonts w:ascii="Arial" w:hAnsi="Arial" w:cs="Arial"/>
                <w:sz w:val="12"/>
                <w:szCs w:val="12"/>
                <w:lang w:val="en-US"/>
              </w:rPr>
              <w:t xml:space="preserve"> </w:t>
            </w:r>
            <w:r w:rsidRPr="008C761D">
              <w:rPr>
                <w:rFonts w:ascii="Arial" w:hAnsi="Arial" w:cs="Arial"/>
                <w:sz w:val="12"/>
                <w:szCs w:val="12"/>
                <w:lang w:val="en-US"/>
              </w:rPr>
              <w:t>Western</w:t>
            </w:r>
            <w:r w:rsidR="00D847E0" w:rsidRPr="008C761D">
              <w:rPr>
                <w:rFonts w:ascii="Arial" w:hAnsi="Arial" w:cs="Arial"/>
                <w:sz w:val="12"/>
                <w:szCs w:val="12"/>
                <w:lang w:val="en-US"/>
              </w:rPr>
              <w:t xml:space="preserve"> </w:t>
            </w:r>
            <w:r w:rsidRPr="008C761D">
              <w:rPr>
                <w:rFonts w:ascii="Arial" w:hAnsi="Arial" w:cs="Arial"/>
                <w:sz w:val="12"/>
                <w:szCs w:val="12"/>
                <w:lang w:val="en-US"/>
              </w:rPr>
              <w:t>Balkan</w:t>
            </w:r>
            <w:r w:rsidR="001804B8" w:rsidRPr="008C761D">
              <w:rPr>
                <w:rFonts w:ascii="Arial" w:hAnsi="Arial" w:cs="Arial"/>
                <w:sz w:val="12"/>
                <w:szCs w:val="12"/>
                <w:lang w:val="en-US"/>
              </w:rPr>
              <w:t xml:space="preserve"> - financial gap</w:t>
            </w:r>
            <w:r w:rsidRPr="008C761D">
              <w:rPr>
                <w:rFonts w:ascii="Arial" w:hAnsi="Arial" w:cs="Arial"/>
                <w:sz w:val="12"/>
                <w:szCs w:val="12"/>
                <w:lang w:val="en-US"/>
              </w:rPr>
              <w:t>)</w:t>
            </w:r>
          </w:p>
          <w:p w14:paraId="44817E37" w14:textId="299095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36D3ED8E" w14:textId="0E555B7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B6646E" w:rsidRPr="008C761D" w14:paraId="7BCC7ACB" w14:textId="77777777" w:rsidTr="003F623B">
        <w:tblPrEx>
          <w:jc w:val="left"/>
        </w:tblPrEx>
        <w:trPr>
          <w:gridBefore w:val="2"/>
          <w:wBefore w:w="118" w:type="dxa"/>
          <w:trHeight w:val="295"/>
        </w:trPr>
        <w:tc>
          <w:tcPr>
            <w:tcW w:w="13580" w:type="dxa"/>
            <w:gridSpan w:val="25"/>
            <w:shd w:val="clear" w:color="000000" w:fill="9BD2ED"/>
            <w:vAlign w:val="center"/>
            <w:hideMark/>
          </w:tcPr>
          <w:p w14:paraId="00D4B911" w14:textId="77777777" w:rsidR="00B6646E" w:rsidRPr="008C761D" w:rsidRDefault="00B6646E" w:rsidP="00B6646E">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w:t>
            </w:r>
            <w:r>
              <w:rPr>
                <w:rFonts w:ascii="Arial" w:eastAsia="Times New Roman" w:hAnsi="Arial" w:cs="Arial"/>
                <w:b/>
                <w:bCs/>
                <w:sz w:val="12"/>
                <w:szCs w:val="12"/>
                <w:lang w:val="en-US" w:eastAsia="mk-MK"/>
              </w:rPr>
              <w:t xml:space="preserve"> 3</w:t>
            </w:r>
            <w:r w:rsidRPr="008C761D">
              <w:rPr>
                <w:rFonts w:ascii="Arial" w:eastAsia="Times New Roman" w:hAnsi="Arial" w:cs="Arial"/>
                <w:b/>
                <w:bCs/>
                <w:sz w:val="12"/>
                <w:szCs w:val="12"/>
                <w:lang w:val="en-US" w:eastAsia="mk-MK"/>
              </w:rPr>
              <w:t xml:space="preserve">. </w:t>
            </w:r>
            <w:r w:rsidRPr="006B3547">
              <w:rPr>
                <w:rFonts w:ascii="Arial" w:eastAsia="Times New Roman" w:hAnsi="Arial" w:cs="Arial"/>
                <w:b/>
                <w:bCs/>
                <w:sz w:val="12"/>
                <w:szCs w:val="12"/>
                <w:lang w:val="en-US" w:eastAsia="mk-MK"/>
              </w:rPr>
              <w:t>Adequate monitoring of excise good sand collection of excise duties</w:t>
            </w:r>
          </w:p>
        </w:tc>
      </w:tr>
      <w:tr w:rsidR="00B6646E" w:rsidRPr="008C761D" w14:paraId="3EF3BFC7" w14:textId="77777777" w:rsidTr="003F623B">
        <w:tblPrEx>
          <w:jc w:val="left"/>
        </w:tblPrEx>
        <w:trPr>
          <w:gridBefore w:val="2"/>
          <w:wBefore w:w="118" w:type="dxa"/>
          <w:trHeight w:val="295"/>
        </w:trPr>
        <w:tc>
          <w:tcPr>
            <w:tcW w:w="1211" w:type="dxa"/>
            <w:gridSpan w:val="3"/>
            <w:tcBorders>
              <w:top w:val="nil"/>
              <w:left w:val="nil"/>
              <w:bottom w:val="nil"/>
              <w:right w:val="nil"/>
            </w:tcBorders>
            <w:shd w:val="clear" w:color="auto" w:fill="auto"/>
            <w:vAlign w:val="center"/>
            <w:hideMark/>
          </w:tcPr>
          <w:p w14:paraId="6E8FB1BC" w14:textId="77777777" w:rsidR="00B6646E" w:rsidRPr="008C761D" w:rsidRDefault="00B6646E" w:rsidP="00B6646E">
            <w:pPr>
              <w:spacing w:after="0" w:line="240" w:lineRule="auto"/>
              <w:jc w:val="both"/>
              <w:rPr>
                <w:rFonts w:ascii="Arial" w:eastAsia="Times New Roman" w:hAnsi="Arial" w:cs="Arial"/>
                <w:b/>
                <w:bCs/>
                <w:sz w:val="12"/>
                <w:szCs w:val="12"/>
                <w:lang w:val="en-US" w:eastAsia="mk-MK"/>
              </w:rPr>
            </w:pPr>
          </w:p>
        </w:tc>
        <w:tc>
          <w:tcPr>
            <w:tcW w:w="1299" w:type="dxa"/>
            <w:gridSpan w:val="3"/>
            <w:tcBorders>
              <w:top w:val="nil"/>
              <w:left w:val="nil"/>
              <w:bottom w:val="nil"/>
              <w:right w:val="single" w:sz="8" w:space="0" w:color="000000"/>
            </w:tcBorders>
            <w:shd w:val="clear" w:color="auto" w:fill="auto"/>
            <w:noWrap/>
            <w:vAlign w:val="bottom"/>
            <w:hideMark/>
          </w:tcPr>
          <w:p w14:paraId="19A26592" w14:textId="77777777" w:rsidR="00B6646E" w:rsidRPr="008C761D" w:rsidRDefault="00B6646E" w:rsidP="00B6646E">
            <w:pPr>
              <w:spacing w:after="0" w:line="240" w:lineRule="auto"/>
              <w:jc w:val="both"/>
              <w:rPr>
                <w:rFonts w:ascii="Arial" w:eastAsia="Times New Roman" w:hAnsi="Arial" w:cs="Arial"/>
                <w:sz w:val="12"/>
                <w:szCs w:val="12"/>
                <w:lang w:val="en-US" w:eastAsia="mk-MK"/>
              </w:rPr>
            </w:pPr>
          </w:p>
        </w:tc>
        <w:tc>
          <w:tcPr>
            <w:tcW w:w="1800" w:type="dxa"/>
            <w:gridSpan w:val="3"/>
            <w:tcBorders>
              <w:left w:val="single" w:sz="8" w:space="0" w:color="000000"/>
            </w:tcBorders>
            <w:shd w:val="clear" w:color="000000" w:fill="9BD2ED"/>
            <w:vAlign w:val="center"/>
            <w:hideMark/>
          </w:tcPr>
          <w:p w14:paraId="061F57A7"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70" w:type="dxa"/>
            <w:gridSpan w:val="3"/>
            <w:shd w:val="clear" w:color="000000" w:fill="9BD2ED"/>
            <w:vAlign w:val="center"/>
            <w:hideMark/>
          </w:tcPr>
          <w:p w14:paraId="7B724B53"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350" w:type="dxa"/>
            <w:gridSpan w:val="2"/>
            <w:shd w:val="clear" w:color="000000" w:fill="9BD2ED"/>
            <w:vAlign w:val="center"/>
            <w:hideMark/>
          </w:tcPr>
          <w:p w14:paraId="6AC0AF0D"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710" w:type="dxa"/>
            <w:gridSpan w:val="3"/>
            <w:shd w:val="clear" w:color="000000" w:fill="9BD2ED"/>
            <w:vAlign w:val="center"/>
            <w:hideMark/>
          </w:tcPr>
          <w:p w14:paraId="7D088852"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800" w:type="dxa"/>
            <w:gridSpan w:val="3"/>
            <w:shd w:val="clear" w:color="000000" w:fill="9BD2ED"/>
            <w:vAlign w:val="center"/>
            <w:hideMark/>
          </w:tcPr>
          <w:p w14:paraId="4B62A2A1"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00" w:type="dxa"/>
            <w:gridSpan w:val="3"/>
            <w:shd w:val="clear" w:color="000000" w:fill="9BD2ED"/>
            <w:vAlign w:val="center"/>
            <w:hideMark/>
          </w:tcPr>
          <w:p w14:paraId="2205E99C"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440" w:type="dxa"/>
            <w:gridSpan w:val="2"/>
            <w:shd w:val="clear" w:color="000000" w:fill="9BD2ED"/>
            <w:vAlign w:val="center"/>
            <w:hideMark/>
          </w:tcPr>
          <w:p w14:paraId="57DFC775"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B6646E" w:rsidRPr="008C761D" w14:paraId="7BB77370" w14:textId="77777777" w:rsidTr="003F623B">
        <w:tblPrEx>
          <w:jc w:val="left"/>
        </w:tblPrEx>
        <w:trPr>
          <w:gridBefore w:val="2"/>
          <w:wBefore w:w="118" w:type="dxa"/>
          <w:trHeight w:val="798"/>
        </w:trPr>
        <w:tc>
          <w:tcPr>
            <w:tcW w:w="1211" w:type="dxa"/>
            <w:gridSpan w:val="3"/>
            <w:tcBorders>
              <w:top w:val="nil"/>
              <w:left w:val="nil"/>
              <w:bottom w:val="nil"/>
              <w:right w:val="nil"/>
            </w:tcBorders>
            <w:shd w:val="clear" w:color="auto" w:fill="auto"/>
            <w:vAlign w:val="center"/>
            <w:hideMark/>
          </w:tcPr>
          <w:p w14:paraId="2810FAD4"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p>
        </w:tc>
        <w:tc>
          <w:tcPr>
            <w:tcW w:w="1299" w:type="dxa"/>
            <w:gridSpan w:val="3"/>
            <w:tcBorders>
              <w:top w:val="nil"/>
              <w:left w:val="nil"/>
              <w:bottom w:val="nil"/>
              <w:right w:val="single" w:sz="8" w:space="0" w:color="000000"/>
            </w:tcBorders>
            <w:shd w:val="clear" w:color="auto" w:fill="auto"/>
            <w:noWrap/>
            <w:vAlign w:val="bottom"/>
            <w:hideMark/>
          </w:tcPr>
          <w:p w14:paraId="2E736012" w14:textId="77777777" w:rsidR="00B6646E" w:rsidRPr="008C761D" w:rsidRDefault="00B6646E" w:rsidP="00B6646E">
            <w:pPr>
              <w:spacing w:after="0" w:line="240" w:lineRule="auto"/>
              <w:jc w:val="both"/>
              <w:rPr>
                <w:rFonts w:ascii="Arial" w:eastAsia="Times New Roman" w:hAnsi="Arial" w:cs="Arial"/>
                <w:sz w:val="12"/>
                <w:szCs w:val="12"/>
                <w:lang w:val="en-US" w:eastAsia="mk-MK"/>
              </w:rPr>
            </w:pPr>
          </w:p>
        </w:tc>
        <w:tc>
          <w:tcPr>
            <w:tcW w:w="1800" w:type="dxa"/>
            <w:gridSpan w:val="3"/>
            <w:tcBorders>
              <w:left w:val="single" w:sz="8" w:space="0" w:color="000000"/>
            </w:tcBorders>
            <w:shd w:val="clear" w:color="000000" w:fill="FFFF99"/>
            <w:vAlign w:val="center"/>
            <w:hideMark/>
          </w:tcPr>
          <w:p w14:paraId="1B397034" w14:textId="77777777" w:rsidR="00B6646E" w:rsidRPr="008C761D" w:rsidRDefault="00B6646E" w:rsidP="00B6646E">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P</w:t>
            </w:r>
            <w:r w:rsidRPr="00943370">
              <w:rPr>
                <w:rFonts w:ascii="Arial" w:eastAsia="Times New Roman" w:hAnsi="Arial" w:cs="Arial"/>
                <w:sz w:val="12"/>
                <w:szCs w:val="12"/>
                <w:lang w:val="en-US" w:eastAsia="mk-MK"/>
              </w:rPr>
              <w:t xml:space="preserve">reparation of a legal framework for </w:t>
            </w:r>
            <w:r>
              <w:rPr>
                <w:rFonts w:ascii="Arial" w:eastAsia="Times New Roman" w:hAnsi="Arial" w:cs="Arial"/>
                <w:sz w:val="12"/>
                <w:szCs w:val="12"/>
                <w:lang w:val="en-US" w:eastAsia="mk-MK"/>
              </w:rPr>
              <w:t xml:space="preserve">implementing </w:t>
            </w:r>
            <w:r w:rsidRPr="00943370">
              <w:rPr>
                <w:rFonts w:ascii="Arial" w:eastAsia="Times New Roman" w:hAnsi="Arial" w:cs="Arial"/>
                <w:sz w:val="12"/>
                <w:szCs w:val="12"/>
                <w:lang w:val="en-US" w:eastAsia="mk-MK"/>
              </w:rPr>
              <w:t>the</w:t>
            </w:r>
            <w:r>
              <w:rPr>
                <w:rFonts w:ascii="Arial" w:eastAsia="Times New Roman" w:hAnsi="Arial" w:cs="Arial"/>
                <w:sz w:val="12"/>
                <w:szCs w:val="12"/>
                <w:lang w:val="en-US" w:eastAsia="mk-MK"/>
              </w:rPr>
              <w:t xml:space="preserve"> TRACK&amp;TRACE system</w:t>
            </w:r>
            <w:r w:rsidRPr="00943370">
              <w:rPr>
                <w:rFonts w:ascii="Arial" w:eastAsia="Times New Roman" w:hAnsi="Arial" w:cs="Arial"/>
                <w:sz w:val="12"/>
                <w:szCs w:val="12"/>
                <w:lang w:val="en-US" w:eastAsia="mk-MK"/>
              </w:rPr>
              <w:t xml:space="preserve"> </w:t>
            </w:r>
          </w:p>
        </w:tc>
        <w:tc>
          <w:tcPr>
            <w:tcW w:w="1170" w:type="dxa"/>
            <w:gridSpan w:val="3"/>
            <w:shd w:val="clear" w:color="000000" w:fill="FFFF99"/>
            <w:vAlign w:val="center"/>
            <w:hideMark/>
          </w:tcPr>
          <w:p w14:paraId="05923052"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350" w:type="dxa"/>
            <w:gridSpan w:val="2"/>
            <w:shd w:val="clear" w:color="000000" w:fill="FFFF99"/>
            <w:vAlign w:val="center"/>
            <w:hideMark/>
          </w:tcPr>
          <w:p w14:paraId="54545A75"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p>
        </w:tc>
        <w:tc>
          <w:tcPr>
            <w:tcW w:w="1710" w:type="dxa"/>
            <w:gridSpan w:val="3"/>
            <w:shd w:val="clear" w:color="000000" w:fill="FFFF99"/>
            <w:vAlign w:val="center"/>
            <w:hideMark/>
          </w:tcPr>
          <w:p w14:paraId="431F1BD6" w14:textId="77777777" w:rsidR="00B6646E" w:rsidRPr="00943370" w:rsidRDefault="00B6646E" w:rsidP="00B6646E">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S</w:t>
            </w:r>
            <w:r w:rsidRPr="00943370">
              <w:rPr>
                <w:rFonts w:ascii="Arial" w:eastAsia="Times New Roman" w:hAnsi="Arial" w:cs="Arial"/>
                <w:sz w:val="12"/>
                <w:szCs w:val="12"/>
                <w:lang w:val="en-US" w:eastAsia="mk-MK"/>
              </w:rPr>
              <w:t xml:space="preserve">igning the necessary Protocols </w:t>
            </w:r>
            <w:r>
              <w:rPr>
                <w:rFonts w:ascii="Arial" w:eastAsia="Times New Roman" w:hAnsi="Arial" w:cs="Arial"/>
                <w:sz w:val="12"/>
                <w:szCs w:val="12"/>
                <w:lang w:val="en-US" w:eastAsia="mk-MK"/>
              </w:rPr>
              <w:t>between</w:t>
            </w:r>
            <w:r w:rsidRPr="00943370">
              <w:rPr>
                <w:rFonts w:ascii="Arial" w:eastAsia="Times New Roman" w:hAnsi="Arial" w:cs="Arial"/>
                <w:sz w:val="12"/>
                <w:szCs w:val="12"/>
                <w:lang w:val="en-US" w:eastAsia="mk-MK"/>
              </w:rPr>
              <w:t xml:space="preserve"> concerned institutions</w:t>
            </w:r>
          </w:p>
        </w:tc>
        <w:tc>
          <w:tcPr>
            <w:tcW w:w="1800" w:type="dxa"/>
            <w:gridSpan w:val="3"/>
            <w:shd w:val="clear" w:color="000000" w:fill="FFFF99"/>
            <w:vAlign w:val="center"/>
            <w:hideMark/>
          </w:tcPr>
          <w:p w14:paraId="1B7BB8B6"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p>
        </w:tc>
        <w:tc>
          <w:tcPr>
            <w:tcW w:w="1800" w:type="dxa"/>
            <w:gridSpan w:val="3"/>
            <w:shd w:val="clear" w:color="000000" w:fill="FFFF99"/>
            <w:vAlign w:val="center"/>
            <w:hideMark/>
          </w:tcPr>
          <w:p w14:paraId="7469DB08"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p>
        </w:tc>
        <w:tc>
          <w:tcPr>
            <w:tcW w:w="1440" w:type="dxa"/>
            <w:gridSpan w:val="2"/>
            <w:shd w:val="clear" w:color="000000" w:fill="FFFF99"/>
            <w:vAlign w:val="center"/>
            <w:hideMark/>
          </w:tcPr>
          <w:p w14:paraId="1C04B599"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sidRPr="00943370">
              <w:rPr>
                <w:rFonts w:ascii="Arial" w:eastAsia="Times New Roman" w:hAnsi="Arial" w:cs="Arial"/>
                <w:sz w:val="12"/>
                <w:szCs w:val="12"/>
                <w:lang w:val="en-US" w:eastAsia="mk-MK"/>
              </w:rPr>
              <w:t>High preparation for implementing the TRACK&amp;TRACE system</w:t>
            </w:r>
          </w:p>
        </w:tc>
      </w:tr>
      <w:tr w:rsidR="00B6646E" w:rsidRPr="008C761D" w14:paraId="56193502" w14:textId="77777777" w:rsidTr="003F623B">
        <w:tblPrEx>
          <w:jc w:val="left"/>
        </w:tblPrEx>
        <w:trPr>
          <w:gridBefore w:val="2"/>
          <w:wBefore w:w="118" w:type="dxa"/>
          <w:trHeight w:val="269"/>
        </w:trPr>
        <w:tc>
          <w:tcPr>
            <w:tcW w:w="1211" w:type="dxa"/>
            <w:gridSpan w:val="3"/>
            <w:tcBorders>
              <w:top w:val="nil"/>
              <w:left w:val="nil"/>
              <w:bottom w:val="nil"/>
              <w:right w:val="nil"/>
            </w:tcBorders>
            <w:shd w:val="clear" w:color="auto" w:fill="auto"/>
            <w:vAlign w:val="center"/>
            <w:hideMark/>
          </w:tcPr>
          <w:p w14:paraId="47D48D1E"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p>
        </w:tc>
        <w:tc>
          <w:tcPr>
            <w:tcW w:w="1299" w:type="dxa"/>
            <w:gridSpan w:val="3"/>
            <w:tcBorders>
              <w:top w:val="nil"/>
              <w:left w:val="nil"/>
              <w:bottom w:val="nil"/>
              <w:right w:val="single" w:sz="8" w:space="0" w:color="000000"/>
            </w:tcBorders>
            <w:shd w:val="clear" w:color="auto" w:fill="auto"/>
            <w:noWrap/>
            <w:vAlign w:val="bottom"/>
            <w:hideMark/>
          </w:tcPr>
          <w:p w14:paraId="4036946F" w14:textId="77777777" w:rsidR="00B6646E" w:rsidRPr="008C761D" w:rsidRDefault="00B6646E" w:rsidP="00B6646E">
            <w:pPr>
              <w:spacing w:after="0" w:line="240" w:lineRule="auto"/>
              <w:jc w:val="both"/>
              <w:rPr>
                <w:rFonts w:ascii="Arial" w:eastAsia="Times New Roman" w:hAnsi="Arial" w:cs="Arial"/>
                <w:sz w:val="12"/>
                <w:szCs w:val="12"/>
                <w:lang w:val="en-US" w:eastAsia="mk-MK"/>
              </w:rPr>
            </w:pPr>
          </w:p>
        </w:tc>
        <w:tc>
          <w:tcPr>
            <w:tcW w:w="1800" w:type="dxa"/>
            <w:gridSpan w:val="3"/>
            <w:tcBorders>
              <w:left w:val="single" w:sz="8" w:space="0" w:color="000000"/>
            </w:tcBorders>
            <w:shd w:val="clear" w:color="000000" w:fill="9BD2ED"/>
            <w:vAlign w:val="center"/>
            <w:hideMark/>
          </w:tcPr>
          <w:p w14:paraId="08E94CAE"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70" w:type="dxa"/>
            <w:gridSpan w:val="3"/>
            <w:shd w:val="clear" w:color="000000" w:fill="9BD2ED"/>
            <w:vAlign w:val="center"/>
            <w:hideMark/>
          </w:tcPr>
          <w:p w14:paraId="792F6754"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 period</w:t>
            </w:r>
          </w:p>
        </w:tc>
        <w:tc>
          <w:tcPr>
            <w:tcW w:w="1350" w:type="dxa"/>
            <w:gridSpan w:val="2"/>
            <w:shd w:val="clear" w:color="000000" w:fill="9BD2ED"/>
            <w:vAlign w:val="center"/>
            <w:hideMark/>
          </w:tcPr>
          <w:p w14:paraId="2A9C0398"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Responsibleinstitution</w:t>
            </w:r>
          </w:p>
        </w:tc>
        <w:tc>
          <w:tcPr>
            <w:tcW w:w="1710" w:type="dxa"/>
            <w:gridSpan w:val="3"/>
            <w:shd w:val="clear" w:color="000000" w:fill="9BD2ED"/>
            <w:vAlign w:val="center"/>
            <w:hideMark/>
          </w:tcPr>
          <w:p w14:paraId="3E429E48"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Otherpartners</w:t>
            </w:r>
          </w:p>
        </w:tc>
        <w:tc>
          <w:tcPr>
            <w:tcW w:w="1800" w:type="dxa"/>
            <w:gridSpan w:val="3"/>
            <w:shd w:val="clear" w:color="000000" w:fill="9BD2ED"/>
            <w:vAlign w:val="center"/>
            <w:hideMark/>
          </w:tcPr>
          <w:p w14:paraId="1CBF159D"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00" w:type="dxa"/>
            <w:gridSpan w:val="3"/>
            <w:shd w:val="clear" w:color="000000" w:fill="9BD2ED"/>
            <w:vAlign w:val="center"/>
            <w:hideMark/>
          </w:tcPr>
          <w:p w14:paraId="69ACD943" w14:textId="77777777" w:rsidR="00B6646E" w:rsidRPr="008C761D" w:rsidRDefault="00B6646E" w:rsidP="00B6646E">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Sourceoffinancing</w:t>
            </w:r>
          </w:p>
        </w:tc>
        <w:tc>
          <w:tcPr>
            <w:tcW w:w="1440" w:type="dxa"/>
            <w:gridSpan w:val="2"/>
            <w:shd w:val="clear" w:color="000000" w:fill="9BD2ED"/>
            <w:vAlign w:val="center"/>
            <w:hideMark/>
          </w:tcPr>
          <w:p w14:paraId="2717C625"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B6646E" w:rsidRPr="008C761D" w14:paraId="3560C6BE" w14:textId="77777777" w:rsidTr="003F623B">
        <w:tblPrEx>
          <w:jc w:val="left"/>
        </w:tblPrEx>
        <w:trPr>
          <w:gridBefore w:val="2"/>
          <w:wBefore w:w="118" w:type="dxa"/>
          <w:trHeight w:val="1253"/>
        </w:trPr>
        <w:tc>
          <w:tcPr>
            <w:tcW w:w="1211" w:type="dxa"/>
            <w:gridSpan w:val="3"/>
            <w:tcBorders>
              <w:top w:val="nil"/>
              <w:left w:val="nil"/>
              <w:bottom w:val="nil"/>
              <w:right w:val="nil"/>
            </w:tcBorders>
            <w:shd w:val="clear" w:color="auto" w:fill="auto"/>
            <w:vAlign w:val="center"/>
            <w:hideMark/>
          </w:tcPr>
          <w:p w14:paraId="20137714"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25CBFC94"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1DA58A17"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72AF6367"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4D855875"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0F9F6C07"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7200151E" w14:textId="77777777" w:rsidR="00B6646E" w:rsidRDefault="00B6646E" w:rsidP="00B6646E">
            <w:pPr>
              <w:spacing w:after="0" w:line="240" w:lineRule="auto"/>
              <w:jc w:val="center"/>
              <w:rPr>
                <w:rFonts w:ascii="Arial" w:eastAsia="Times New Roman" w:hAnsi="Arial" w:cs="Arial"/>
                <w:b/>
                <w:bCs/>
                <w:sz w:val="12"/>
                <w:szCs w:val="12"/>
                <w:lang w:val="en-US" w:eastAsia="mk-MK"/>
              </w:rPr>
            </w:pPr>
          </w:p>
          <w:p w14:paraId="0837122B"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p>
        </w:tc>
        <w:tc>
          <w:tcPr>
            <w:tcW w:w="1299" w:type="dxa"/>
            <w:gridSpan w:val="3"/>
            <w:tcBorders>
              <w:top w:val="nil"/>
              <w:left w:val="nil"/>
              <w:bottom w:val="nil"/>
              <w:right w:val="single" w:sz="8" w:space="0" w:color="000000"/>
            </w:tcBorders>
            <w:shd w:val="clear" w:color="auto" w:fill="auto"/>
            <w:noWrap/>
            <w:vAlign w:val="bottom"/>
            <w:hideMark/>
          </w:tcPr>
          <w:p w14:paraId="43C0AF3F" w14:textId="77777777" w:rsidR="00B6646E" w:rsidRPr="008C761D" w:rsidRDefault="00B6646E" w:rsidP="00B6646E">
            <w:pPr>
              <w:spacing w:after="0" w:line="240" w:lineRule="auto"/>
              <w:jc w:val="both"/>
              <w:rPr>
                <w:rFonts w:ascii="Arial" w:eastAsia="Times New Roman" w:hAnsi="Arial" w:cs="Arial"/>
                <w:sz w:val="12"/>
                <w:szCs w:val="12"/>
                <w:lang w:val="en-US" w:eastAsia="mk-MK"/>
              </w:rPr>
            </w:pPr>
          </w:p>
        </w:tc>
        <w:tc>
          <w:tcPr>
            <w:tcW w:w="1800" w:type="dxa"/>
            <w:gridSpan w:val="3"/>
            <w:tcBorders>
              <w:left w:val="single" w:sz="8" w:space="0" w:color="000000"/>
            </w:tcBorders>
            <w:shd w:val="clear" w:color="000000" w:fill="FFFF99"/>
            <w:vAlign w:val="center"/>
            <w:hideMark/>
          </w:tcPr>
          <w:p w14:paraId="520FE37F" w14:textId="77777777" w:rsidR="00B6646E" w:rsidRPr="008C761D" w:rsidRDefault="00B6646E" w:rsidP="00B6646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Pr="00EF0B0F">
              <w:t xml:space="preserve"> </w:t>
            </w:r>
            <w:r w:rsidRPr="00EF0B0F">
              <w:rPr>
                <w:rFonts w:ascii="Arial" w:eastAsia="Times New Roman" w:hAnsi="Arial" w:cs="Arial"/>
                <w:sz w:val="12"/>
                <w:szCs w:val="12"/>
                <w:lang w:eastAsia="mk-MK"/>
              </w:rPr>
              <w:t>Establishing a system for marking and tracking tobacco products (cigarettes) through the TRACK&amp;TRACE system</w:t>
            </w:r>
          </w:p>
        </w:tc>
        <w:tc>
          <w:tcPr>
            <w:tcW w:w="1170" w:type="dxa"/>
            <w:gridSpan w:val="3"/>
            <w:shd w:val="clear" w:color="000000" w:fill="FFFF99"/>
            <w:vAlign w:val="center"/>
            <w:hideMark/>
          </w:tcPr>
          <w:p w14:paraId="46975049"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350" w:type="dxa"/>
            <w:gridSpan w:val="2"/>
            <w:shd w:val="clear" w:color="000000" w:fill="FFFF99"/>
            <w:vAlign w:val="center"/>
            <w:hideMark/>
          </w:tcPr>
          <w:p w14:paraId="35EFCF7F"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Customs</w:t>
            </w:r>
            <w:r>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Administration</w:t>
            </w:r>
          </w:p>
        </w:tc>
        <w:tc>
          <w:tcPr>
            <w:tcW w:w="1710" w:type="dxa"/>
            <w:gridSpan w:val="3"/>
            <w:shd w:val="clear" w:color="000000" w:fill="FFFF99"/>
            <w:vAlign w:val="center"/>
            <w:hideMark/>
          </w:tcPr>
          <w:p w14:paraId="4BF7FFD8"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00" w:type="dxa"/>
            <w:gridSpan w:val="3"/>
            <w:shd w:val="clear" w:color="000000" w:fill="FFFF99"/>
            <w:vAlign w:val="center"/>
            <w:hideMark/>
          </w:tcPr>
          <w:p w14:paraId="041EF0F7" w14:textId="77777777" w:rsidR="00B6646E" w:rsidRPr="008C761D" w:rsidRDefault="00B6646E" w:rsidP="00B6646E">
            <w:pPr>
              <w:spacing w:after="0" w:line="240" w:lineRule="auto"/>
              <w:rPr>
                <w:rFonts w:ascii="Arial" w:eastAsia="Times New Roman" w:hAnsi="Arial" w:cs="Arial"/>
                <w:sz w:val="12"/>
                <w:szCs w:val="12"/>
                <w:lang w:val="en-US" w:eastAsia="mk-MK"/>
              </w:rPr>
            </w:pPr>
            <w:r w:rsidRPr="00910AAF">
              <w:rPr>
                <w:rFonts w:ascii="Arial" w:eastAsia="Times New Roman" w:hAnsi="Arial" w:cs="Arial"/>
                <w:sz w:val="12"/>
                <w:szCs w:val="12"/>
                <w:lang w:val="en-US" w:eastAsia="mk-MK"/>
              </w:rPr>
              <w:t>Funding cannot be planned at the moment</w:t>
            </w:r>
          </w:p>
        </w:tc>
        <w:tc>
          <w:tcPr>
            <w:tcW w:w="1800" w:type="dxa"/>
            <w:gridSpan w:val="3"/>
            <w:shd w:val="clear" w:color="000000" w:fill="FFFF99"/>
            <w:vAlign w:val="center"/>
            <w:hideMark/>
          </w:tcPr>
          <w:p w14:paraId="320EF1FF" w14:textId="77777777" w:rsidR="00B6646E" w:rsidRPr="008C761D" w:rsidRDefault="00B6646E" w:rsidP="00B6646E">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440" w:type="dxa"/>
            <w:gridSpan w:val="2"/>
            <w:shd w:val="clear" w:color="000000" w:fill="FFFF99"/>
            <w:vAlign w:val="center"/>
            <w:hideMark/>
          </w:tcPr>
          <w:p w14:paraId="02669B4F" w14:textId="77777777" w:rsidR="00B6646E" w:rsidRPr="008C761D" w:rsidRDefault="00B6646E" w:rsidP="00B6646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4E4C6B5B" w14:textId="77777777" w:rsidTr="003F623B">
        <w:trPr>
          <w:gridBefore w:val="1"/>
          <w:gridAfter w:val="1"/>
          <w:wBefore w:w="17" w:type="dxa"/>
          <w:wAfter w:w="180" w:type="dxa"/>
          <w:trHeight w:val="241"/>
          <w:jc w:val="center"/>
        </w:trPr>
        <w:tc>
          <w:tcPr>
            <w:tcW w:w="13501" w:type="dxa"/>
            <w:gridSpan w:val="25"/>
            <w:shd w:val="clear" w:color="000000" w:fill="1F3864"/>
            <w:vAlign w:val="center"/>
            <w:hideMark/>
          </w:tcPr>
          <w:p w14:paraId="5C629DCB" w14:textId="567DE5E1"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III: Planning</w:t>
            </w:r>
            <w:r w:rsidR="00D847E0"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D847E0"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budget</w:t>
            </w:r>
          </w:p>
        </w:tc>
      </w:tr>
      <w:tr w:rsidR="00485BAA" w:rsidRPr="008C761D" w14:paraId="1F4BD4AA" w14:textId="77777777" w:rsidTr="003F623B">
        <w:trPr>
          <w:gridBefore w:val="1"/>
          <w:gridAfter w:val="1"/>
          <w:wBefore w:w="17" w:type="dxa"/>
          <w:wAfter w:w="180" w:type="dxa"/>
          <w:trHeight w:val="349"/>
          <w:jc w:val="center"/>
        </w:trPr>
        <w:tc>
          <w:tcPr>
            <w:tcW w:w="13501" w:type="dxa"/>
            <w:gridSpan w:val="25"/>
            <w:shd w:val="clear" w:color="000000" w:fill="1F3864"/>
            <w:vAlign w:val="center"/>
            <w:hideMark/>
          </w:tcPr>
          <w:p w14:paraId="64BF7080" w14:textId="36E8BE62"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 Budget</w:t>
            </w:r>
            <w:r w:rsidR="00D847E0"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planning</w:t>
            </w:r>
          </w:p>
        </w:tc>
      </w:tr>
      <w:tr w:rsidR="00485BAA" w:rsidRPr="008C761D" w14:paraId="70B4C23A" w14:textId="77777777" w:rsidTr="003F623B">
        <w:trPr>
          <w:gridBefore w:val="1"/>
          <w:gridAfter w:val="1"/>
          <w:wBefore w:w="17" w:type="dxa"/>
          <w:wAfter w:w="180" w:type="dxa"/>
          <w:trHeight w:val="171"/>
          <w:jc w:val="center"/>
        </w:trPr>
        <w:tc>
          <w:tcPr>
            <w:tcW w:w="2368" w:type="dxa"/>
            <w:gridSpan w:val="6"/>
            <w:shd w:val="clear" w:color="000000" w:fill="9BD2ED"/>
            <w:vAlign w:val="center"/>
            <w:hideMark/>
          </w:tcPr>
          <w:p w14:paraId="3B2A426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5F41DEDA" w14:textId="19DC80A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D0F39F1" w14:textId="3B416D3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C2ED03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C2E1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AF64C4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5D8530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6F4E45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BE9BAE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7</w:t>
            </w:r>
          </w:p>
        </w:tc>
      </w:tr>
      <w:tr w:rsidR="00485BAA" w:rsidRPr="008C761D" w14:paraId="6680C2F0" w14:textId="77777777" w:rsidTr="003F623B">
        <w:trPr>
          <w:gridBefore w:val="1"/>
          <w:gridAfter w:val="1"/>
          <w:wBefore w:w="17" w:type="dxa"/>
          <w:wAfter w:w="180" w:type="dxa"/>
          <w:trHeight w:val="559"/>
          <w:jc w:val="center"/>
        </w:trPr>
        <w:tc>
          <w:tcPr>
            <w:tcW w:w="2368" w:type="dxa"/>
            <w:gridSpan w:val="6"/>
            <w:shd w:val="clear" w:color="000000" w:fill="FFFF99"/>
            <w:vAlign w:val="center"/>
            <w:hideMark/>
          </w:tcPr>
          <w:p w14:paraId="618C2ABF" w14:textId="2F4D82FD" w:rsidR="00485BAA" w:rsidRPr="008C761D" w:rsidRDefault="00D847E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Predictable and reliable budget allocations for budget organisations considering </w:t>
            </w:r>
            <w:r w:rsidR="00404D96" w:rsidRPr="008C761D">
              <w:rPr>
                <w:rFonts w:ascii="Arial" w:eastAsia="Times New Roman" w:hAnsi="Arial" w:cs="Arial"/>
                <w:sz w:val="12"/>
                <w:szCs w:val="12"/>
                <w:lang w:val="en-US" w:eastAsia="mk-MK"/>
              </w:rPr>
              <w:t>consolidation</w:t>
            </w:r>
            <w:r w:rsidRPr="008C761D">
              <w:rPr>
                <w:rFonts w:ascii="Arial" w:eastAsia="Times New Roman" w:hAnsi="Arial" w:cs="Arial"/>
                <w:sz w:val="12"/>
                <w:szCs w:val="12"/>
                <w:lang w:val="en-US" w:eastAsia="mk-MK"/>
              </w:rPr>
              <w:t xml:space="preserve"> in public spending and reducing the budget deficit.</w:t>
            </w:r>
          </w:p>
        </w:tc>
        <w:tc>
          <w:tcPr>
            <w:tcW w:w="1771" w:type="dxa"/>
            <w:gridSpan w:val="3"/>
            <w:shd w:val="clear" w:color="000000" w:fill="FFFF99"/>
            <w:vAlign w:val="center"/>
            <w:hideMark/>
          </w:tcPr>
          <w:p w14:paraId="5950CF01" w14:textId="13721D33" w:rsidR="00485BAA" w:rsidRPr="008C761D" w:rsidRDefault="00D847E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Deviation between the original estimates and actual outturns</w:t>
            </w:r>
          </w:p>
        </w:tc>
        <w:tc>
          <w:tcPr>
            <w:tcW w:w="1194" w:type="dxa"/>
            <w:gridSpan w:val="3"/>
            <w:shd w:val="clear" w:color="000000" w:fill="FFFF99"/>
            <w:vAlign w:val="center"/>
            <w:hideMark/>
          </w:tcPr>
          <w:p w14:paraId="0C224F9B" w14:textId="6735FE12"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Medium-term</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fiscal</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strategy + annual</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418" w:type="dxa"/>
            <w:gridSpan w:val="2"/>
            <w:shd w:val="clear" w:color="000000" w:fill="FFFF99"/>
            <w:vAlign w:val="center"/>
            <w:hideMark/>
          </w:tcPr>
          <w:p w14:paraId="1B54928D" w14:textId="1B571EFB" w:rsidR="00485BAA" w:rsidRPr="008C761D" w:rsidRDefault="00887AA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(-)4,4 % of GDP</w:t>
            </w:r>
          </w:p>
        </w:tc>
        <w:tc>
          <w:tcPr>
            <w:tcW w:w="1644" w:type="dxa"/>
            <w:gridSpan w:val="3"/>
            <w:shd w:val="clear" w:color="000000" w:fill="FFFF99"/>
            <w:vAlign w:val="center"/>
            <w:hideMark/>
          </w:tcPr>
          <w:p w14:paraId="1686E94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r w:rsidR="004D467C" w:rsidRPr="008C761D">
              <w:rPr>
                <w:rFonts w:ascii="Arial" w:eastAsia="Times New Roman" w:hAnsi="Arial" w:cs="Arial"/>
                <w:sz w:val="12"/>
                <w:szCs w:val="12"/>
                <w:lang w:val="en-US" w:eastAsia="mk-MK"/>
              </w:rPr>
              <w:t>3,4</w:t>
            </w:r>
            <w:r w:rsidRPr="008C761D">
              <w:rPr>
                <w:rFonts w:ascii="Arial" w:eastAsia="Times New Roman" w:hAnsi="Arial" w:cs="Arial"/>
                <w:sz w:val="12"/>
                <w:szCs w:val="12"/>
                <w:lang w:val="en-US" w:eastAsia="mk-MK"/>
              </w:rPr>
              <w:t>% of GDP</w:t>
            </w:r>
          </w:p>
        </w:tc>
        <w:tc>
          <w:tcPr>
            <w:tcW w:w="1758" w:type="dxa"/>
            <w:gridSpan w:val="2"/>
            <w:shd w:val="clear" w:color="000000" w:fill="FFFF99"/>
            <w:vAlign w:val="center"/>
            <w:hideMark/>
          </w:tcPr>
          <w:p w14:paraId="50AF987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of GDP</w:t>
            </w:r>
          </w:p>
        </w:tc>
        <w:tc>
          <w:tcPr>
            <w:tcW w:w="1842" w:type="dxa"/>
            <w:gridSpan w:val="3"/>
            <w:shd w:val="clear" w:color="000000" w:fill="FFFF99"/>
            <w:vAlign w:val="center"/>
            <w:hideMark/>
          </w:tcPr>
          <w:p w14:paraId="7B78E0F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r w:rsidR="004D467C" w:rsidRPr="008C761D">
              <w:rPr>
                <w:rFonts w:ascii="Arial" w:eastAsia="Times New Roman" w:hAnsi="Arial" w:cs="Arial"/>
                <w:sz w:val="12"/>
                <w:szCs w:val="12"/>
                <w:lang w:val="en-US" w:eastAsia="mk-MK"/>
              </w:rPr>
              <w:t xml:space="preserve">3 </w:t>
            </w:r>
            <w:r w:rsidRPr="008C761D">
              <w:rPr>
                <w:rFonts w:ascii="Arial" w:eastAsia="Times New Roman" w:hAnsi="Arial" w:cs="Arial"/>
                <w:sz w:val="12"/>
                <w:szCs w:val="12"/>
                <w:lang w:val="en-US" w:eastAsia="mk-MK"/>
              </w:rPr>
              <w:t>% of GDP</w:t>
            </w:r>
          </w:p>
        </w:tc>
        <w:tc>
          <w:tcPr>
            <w:tcW w:w="1506" w:type="dxa"/>
            <w:gridSpan w:val="3"/>
            <w:shd w:val="clear" w:color="000000" w:fill="FFFF99"/>
            <w:vAlign w:val="center"/>
            <w:hideMark/>
          </w:tcPr>
          <w:p w14:paraId="675C99A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4D467C" w:rsidRPr="008C761D">
              <w:rPr>
                <w:rFonts w:ascii="Arial" w:eastAsia="Times New Roman" w:hAnsi="Arial" w:cs="Arial"/>
                <w:sz w:val="12"/>
                <w:szCs w:val="12"/>
                <w:lang w:val="en-US" w:eastAsia="mk-MK"/>
              </w:rPr>
              <w:t>8</w:t>
            </w:r>
            <w:r w:rsidRPr="008C761D">
              <w:rPr>
                <w:rFonts w:ascii="Arial" w:eastAsia="Times New Roman" w:hAnsi="Arial" w:cs="Arial"/>
                <w:sz w:val="12"/>
                <w:szCs w:val="12"/>
                <w:lang w:val="en-US" w:eastAsia="mk-MK"/>
              </w:rPr>
              <w:t>% of GDP</w:t>
            </w:r>
          </w:p>
        </w:tc>
      </w:tr>
      <w:tr w:rsidR="00485BAA" w:rsidRPr="008C761D" w14:paraId="03A37766" w14:textId="77777777" w:rsidTr="003F623B">
        <w:trPr>
          <w:gridBefore w:val="1"/>
          <w:gridAfter w:val="1"/>
          <w:wBefore w:w="17" w:type="dxa"/>
          <w:wAfter w:w="180" w:type="dxa"/>
          <w:trHeight w:val="241"/>
          <w:jc w:val="center"/>
        </w:trPr>
        <w:tc>
          <w:tcPr>
            <w:tcW w:w="13501" w:type="dxa"/>
            <w:gridSpan w:val="25"/>
            <w:shd w:val="clear" w:color="000000" w:fill="9BD2ED"/>
            <w:vAlign w:val="center"/>
            <w:hideMark/>
          </w:tcPr>
          <w:p w14:paraId="74C34E65" w14:textId="51AF80D6" w:rsidR="00485BAA" w:rsidRPr="008C761D" w:rsidRDefault="008B4C47" w:rsidP="00485BAA">
            <w:pPr>
              <w:spacing w:after="0" w:line="240" w:lineRule="auto"/>
              <w:jc w:val="both"/>
              <w:rPr>
                <w:rFonts w:ascii="Arial" w:eastAsia="Times New Roman" w:hAnsi="Arial" w:cs="Arial"/>
                <w:b/>
                <w:bCs/>
                <w:sz w:val="12"/>
                <w:szCs w:val="12"/>
                <w:lang w:val="en-US" w:eastAsia="mk-MK"/>
              </w:rPr>
            </w:pPr>
            <w:r w:rsidRPr="008B4C47">
              <w:rPr>
                <w:rFonts w:ascii="Arial" w:eastAsia="Times New Roman" w:hAnsi="Arial" w:cs="Arial"/>
                <w:b/>
                <w:bCs/>
                <w:sz w:val="12"/>
                <w:szCs w:val="12"/>
                <w:lang w:val="en-US" w:eastAsia="mk-MK"/>
              </w:rPr>
              <w:t>Measure</w:t>
            </w:r>
            <w:r w:rsidR="00485BAA"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00485BAA" w:rsidRPr="008C761D">
              <w:rPr>
                <w:rFonts w:ascii="Arial" w:eastAsia="Times New Roman" w:hAnsi="Arial" w:cs="Arial"/>
                <w:b/>
                <w:bCs/>
                <w:sz w:val="12"/>
                <w:szCs w:val="12"/>
                <w:lang w:val="en-US" w:eastAsia="mk-MK"/>
              </w:rPr>
              <w:t xml:space="preserve"> Improving</w:t>
            </w:r>
            <w:r w:rsidR="00D847E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medium-term</w:t>
            </w:r>
            <w:r w:rsidR="003C4B70" w:rsidRPr="008C761D">
              <w:rPr>
                <w:rFonts w:ascii="Arial" w:eastAsia="Times New Roman" w:hAnsi="Arial" w:cs="Arial"/>
                <w:b/>
                <w:bCs/>
                <w:sz w:val="12"/>
                <w:szCs w:val="12"/>
                <w:lang w:val="en-US" w:eastAsia="mk-MK"/>
              </w:rPr>
              <w:t xml:space="preserve"> </w:t>
            </w:r>
            <w:r w:rsidR="00485BAA" w:rsidRPr="008C761D">
              <w:rPr>
                <w:rFonts w:ascii="Arial" w:eastAsia="Times New Roman" w:hAnsi="Arial" w:cs="Arial"/>
                <w:b/>
                <w:bCs/>
                <w:sz w:val="12"/>
                <w:szCs w:val="12"/>
                <w:lang w:val="en-US" w:eastAsia="mk-MK"/>
              </w:rPr>
              <w:t>planning</w:t>
            </w:r>
          </w:p>
        </w:tc>
      </w:tr>
      <w:tr w:rsidR="00485BAA" w:rsidRPr="008C761D" w14:paraId="612CED94" w14:textId="77777777" w:rsidTr="003F623B">
        <w:trPr>
          <w:gridBefore w:val="1"/>
          <w:gridAfter w:val="1"/>
          <w:wBefore w:w="17" w:type="dxa"/>
          <w:wAfter w:w="180" w:type="dxa"/>
          <w:trHeight w:val="243"/>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31283D8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6FCD23BB" w14:textId="4960904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2BE0A5E9" w14:textId="188BEEE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449A18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C2E1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7C78A1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3D0A905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94F5129"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2E974A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7</w:t>
            </w:r>
          </w:p>
        </w:tc>
      </w:tr>
      <w:tr w:rsidR="00887AA0" w:rsidRPr="008C761D" w14:paraId="03353E62" w14:textId="77777777" w:rsidTr="003F623B">
        <w:trPr>
          <w:gridBefore w:val="1"/>
          <w:gridAfter w:val="1"/>
          <w:wBefore w:w="17" w:type="dxa"/>
          <w:wAfter w:w="180" w:type="dxa"/>
          <w:trHeight w:val="509"/>
          <w:jc w:val="center"/>
        </w:trPr>
        <w:tc>
          <w:tcPr>
            <w:tcW w:w="2368" w:type="dxa"/>
            <w:gridSpan w:val="6"/>
            <w:vMerge/>
            <w:tcBorders>
              <w:top w:val="nil"/>
              <w:left w:val="nil"/>
              <w:bottom w:val="nil"/>
              <w:right w:val="single" w:sz="8" w:space="0" w:color="000000"/>
            </w:tcBorders>
            <w:vAlign w:val="center"/>
            <w:hideMark/>
          </w:tcPr>
          <w:p w14:paraId="13A3287A" w14:textId="77777777" w:rsidR="00887AA0" w:rsidRPr="008C761D" w:rsidRDefault="00887AA0" w:rsidP="00887AA0">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5547E66" w14:textId="50A2979E" w:rsidR="00887AA0" w:rsidRPr="008C761D" w:rsidRDefault="00887AA0" w:rsidP="00887AA0">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Changes</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relation</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to</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initial</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projections /outturn</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 (Fiscal</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deficit)</w:t>
            </w:r>
          </w:p>
        </w:tc>
        <w:tc>
          <w:tcPr>
            <w:tcW w:w="1194" w:type="dxa"/>
            <w:gridSpan w:val="3"/>
            <w:shd w:val="clear" w:color="000000" w:fill="FFFF99"/>
            <w:vAlign w:val="center"/>
            <w:hideMark/>
          </w:tcPr>
          <w:p w14:paraId="45820418" w14:textId="66350812" w:rsidR="00887AA0" w:rsidRPr="008C761D" w:rsidRDefault="00887AA0" w:rsidP="00887AA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Medium-term</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fiscal</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strategy</w:t>
            </w:r>
          </w:p>
        </w:tc>
        <w:tc>
          <w:tcPr>
            <w:tcW w:w="1418" w:type="dxa"/>
            <w:gridSpan w:val="2"/>
            <w:shd w:val="clear" w:color="000000" w:fill="FFFF99"/>
            <w:hideMark/>
          </w:tcPr>
          <w:p w14:paraId="27E3DC12" w14:textId="21A2A2FF" w:rsidR="00887AA0" w:rsidRPr="008C761D" w:rsidRDefault="006A55CA" w:rsidP="00887AA0">
            <w:pPr>
              <w:spacing w:after="0" w:line="240" w:lineRule="auto"/>
              <w:jc w:val="center"/>
              <w:rPr>
                <w:rFonts w:ascii="Arial" w:eastAsia="Times New Roman" w:hAnsi="Arial" w:cs="Arial"/>
                <w:sz w:val="12"/>
                <w:szCs w:val="12"/>
                <w:lang w:val="en-US" w:eastAsia="mk-MK"/>
              </w:rPr>
            </w:pPr>
            <w:r w:rsidRPr="008C761D">
              <w:rPr>
                <w:sz w:val="12"/>
                <w:szCs w:val="12"/>
                <w:lang w:val="en-US"/>
              </w:rPr>
              <w:t xml:space="preserve">2,5% </w:t>
            </w:r>
          </w:p>
        </w:tc>
        <w:tc>
          <w:tcPr>
            <w:tcW w:w="1644" w:type="dxa"/>
            <w:gridSpan w:val="3"/>
            <w:shd w:val="clear" w:color="000000" w:fill="FFFF99"/>
            <w:hideMark/>
          </w:tcPr>
          <w:p w14:paraId="6B7E5FB9" w14:textId="7753D199" w:rsidR="00887AA0" w:rsidRPr="008C761D" w:rsidRDefault="006A55CA" w:rsidP="00887AA0">
            <w:pPr>
              <w:spacing w:after="0" w:line="240" w:lineRule="auto"/>
              <w:jc w:val="center"/>
              <w:rPr>
                <w:rFonts w:ascii="Arial" w:eastAsia="Times New Roman" w:hAnsi="Arial" w:cs="Arial"/>
                <w:sz w:val="12"/>
                <w:szCs w:val="12"/>
                <w:lang w:val="en-US" w:eastAsia="mk-MK"/>
              </w:rPr>
            </w:pPr>
            <w:r w:rsidRPr="008C761D">
              <w:rPr>
                <w:sz w:val="12"/>
                <w:szCs w:val="12"/>
                <w:lang w:val="en-US"/>
              </w:rPr>
              <w:t>0.1%</w:t>
            </w:r>
          </w:p>
        </w:tc>
        <w:tc>
          <w:tcPr>
            <w:tcW w:w="1758" w:type="dxa"/>
            <w:gridSpan w:val="2"/>
            <w:shd w:val="clear" w:color="000000" w:fill="FFFF99"/>
            <w:hideMark/>
          </w:tcPr>
          <w:p w14:paraId="6A2B3D75" w14:textId="659CC6ED" w:rsidR="00887AA0" w:rsidRPr="008C761D" w:rsidRDefault="006A55CA" w:rsidP="00887AA0">
            <w:pPr>
              <w:spacing w:after="0" w:line="240" w:lineRule="auto"/>
              <w:jc w:val="center"/>
              <w:rPr>
                <w:rFonts w:ascii="Arial" w:eastAsia="Times New Roman" w:hAnsi="Arial" w:cs="Arial"/>
                <w:sz w:val="12"/>
                <w:szCs w:val="12"/>
                <w:lang w:val="en-US" w:eastAsia="mk-MK"/>
              </w:rPr>
            </w:pPr>
            <w:r w:rsidRPr="008C761D">
              <w:rPr>
                <w:sz w:val="12"/>
                <w:szCs w:val="12"/>
                <w:lang w:val="en-US"/>
              </w:rPr>
              <w:t>0.1%</w:t>
            </w:r>
          </w:p>
        </w:tc>
        <w:tc>
          <w:tcPr>
            <w:tcW w:w="1842" w:type="dxa"/>
            <w:gridSpan w:val="3"/>
            <w:shd w:val="clear" w:color="000000" w:fill="FFFF99"/>
            <w:hideMark/>
          </w:tcPr>
          <w:p w14:paraId="17E19815" w14:textId="4A88651D" w:rsidR="00887AA0" w:rsidRPr="008C761D" w:rsidRDefault="006A55CA" w:rsidP="00887AA0">
            <w:pPr>
              <w:spacing w:after="0" w:line="240" w:lineRule="auto"/>
              <w:jc w:val="center"/>
              <w:rPr>
                <w:rFonts w:ascii="Arial" w:eastAsia="Times New Roman" w:hAnsi="Arial" w:cs="Arial"/>
                <w:sz w:val="12"/>
                <w:szCs w:val="12"/>
                <w:lang w:val="en-US" w:eastAsia="mk-MK"/>
              </w:rPr>
            </w:pPr>
            <w:r w:rsidRPr="008C761D">
              <w:rPr>
                <w:sz w:val="12"/>
                <w:szCs w:val="12"/>
                <w:lang w:val="en-US"/>
              </w:rPr>
              <w:t>0.09%</w:t>
            </w:r>
          </w:p>
        </w:tc>
        <w:tc>
          <w:tcPr>
            <w:tcW w:w="1506" w:type="dxa"/>
            <w:gridSpan w:val="3"/>
            <w:shd w:val="clear" w:color="000000" w:fill="FFFF99"/>
            <w:hideMark/>
          </w:tcPr>
          <w:p w14:paraId="44942AA8" w14:textId="6D9BDC67" w:rsidR="00887AA0" w:rsidRPr="008C761D" w:rsidRDefault="006A55CA" w:rsidP="00887AA0">
            <w:pPr>
              <w:spacing w:after="0" w:line="240" w:lineRule="auto"/>
              <w:jc w:val="center"/>
              <w:rPr>
                <w:rFonts w:ascii="Arial" w:eastAsia="Times New Roman" w:hAnsi="Arial" w:cs="Arial"/>
                <w:sz w:val="12"/>
                <w:szCs w:val="12"/>
                <w:lang w:val="en-US" w:eastAsia="mk-MK"/>
              </w:rPr>
            </w:pPr>
            <w:r w:rsidRPr="008C761D">
              <w:rPr>
                <w:sz w:val="12"/>
                <w:szCs w:val="12"/>
                <w:lang w:val="en-US"/>
              </w:rPr>
              <w:t>0.09%</w:t>
            </w:r>
          </w:p>
        </w:tc>
      </w:tr>
      <w:tr w:rsidR="00485BAA" w:rsidRPr="008C761D" w14:paraId="4FEDCE4B" w14:textId="77777777" w:rsidTr="003F623B">
        <w:trPr>
          <w:gridBefore w:val="1"/>
          <w:gridAfter w:val="1"/>
          <w:wBefore w:w="17" w:type="dxa"/>
          <w:wAfter w:w="180" w:type="dxa"/>
          <w:trHeight w:val="264"/>
          <w:jc w:val="center"/>
        </w:trPr>
        <w:tc>
          <w:tcPr>
            <w:tcW w:w="2368" w:type="dxa"/>
            <w:gridSpan w:val="6"/>
            <w:vMerge/>
            <w:tcBorders>
              <w:top w:val="nil"/>
              <w:left w:val="nil"/>
              <w:bottom w:val="nil"/>
              <w:right w:val="single" w:sz="8" w:space="0" w:color="000000"/>
            </w:tcBorders>
            <w:vAlign w:val="center"/>
            <w:hideMark/>
          </w:tcPr>
          <w:p w14:paraId="2CA6F6CA"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C567E47" w14:textId="09CF999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D371A92" w14:textId="4B58D81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06033666" w14:textId="2A67428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444A94FC" w14:textId="566FE9C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C426EA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B9BADC0" w14:textId="39445671"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D847E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E65515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330707" w:rsidRPr="008C761D" w14:paraId="1346E68E" w14:textId="77777777" w:rsidTr="003F623B">
        <w:trPr>
          <w:gridBefore w:val="1"/>
          <w:gridAfter w:val="1"/>
          <w:wBefore w:w="17" w:type="dxa"/>
          <w:wAfter w:w="180" w:type="dxa"/>
          <w:trHeight w:val="534"/>
          <w:jc w:val="center"/>
        </w:trPr>
        <w:tc>
          <w:tcPr>
            <w:tcW w:w="2368" w:type="dxa"/>
            <w:gridSpan w:val="6"/>
            <w:vMerge/>
            <w:tcBorders>
              <w:top w:val="nil"/>
              <w:left w:val="nil"/>
              <w:bottom w:val="nil"/>
              <w:right w:val="single" w:sz="8" w:space="0" w:color="000000"/>
            </w:tcBorders>
            <w:vAlign w:val="center"/>
            <w:hideMark/>
          </w:tcPr>
          <w:p w14:paraId="710FF7B9" w14:textId="77777777" w:rsidR="00330707" w:rsidRPr="008C761D" w:rsidRDefault="00330707"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C9F644E" w14:textId="01C339A0" w:rsidR="00330707" w:rsidRPr="008C761D" w:rsidRDefault="00330707"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Medium-Term Fiscal Strategy based on a sectoral approach</w:t>
            </w:r>
          </w:p>
        </w:tc>
        <w:tc>
          <w:tcPr>
            <w:tcW w:w="1194" w:type="dxa"/>
            <w:gridSpan w:val="3"/>
            <w:shd w:val="clear" w:color="000000" w:fill="FFFF99"/>
            <w:vAlign w:val="center"/>
            <w:hideMark/>
          </w:tcPr>
          <w:p w14:paraId="59D7AD9F" w14:textId="77777777"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422C89D3" w14:textId="739E108B"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263A7B">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sidR="00263A7B">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shd w:val="clear" w:color="000000" w:fill="FFFF99"/>
            <w:vAlign w:val="center"/>
            <w:hideMark/>
          </w:tcPr>
          <w:p w14:paraId="41B02E0E" w14:textId="04E9FB09"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 users</w:t>
            </w:r>
          </w:p>
        </w:tc>
        <w:tc>
          <w:tcPr>
            <w:tcW w:w="1758" w:type="dxa"/>
            <w:gridSpan w:val="2"/>
            <w:shd w:val="clear" w:color="000000" w:fill="FFFF99"/>
            <w:vAlign w:val="center"/>
            <w:hideMark/>
          </w:tcPr>
          <w:p w14:paraId="1EE3B717" w14:textId="522648C5"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0F3A554" w14:textId="4088FDE1"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w:t>
            </w:r>
          </w:p>
        </w:tc>
        <w:tc>
          <w:tcPr>
            <w:tcW w:w="1506" w:type="dxa"/>
            <w:gridSpan w:val="3"/>
            <w:shd w:val="clear" w:color="000000" w:fill="FFFF99"/>
            <w:vAlign w:val="center"/>
            <w:hideMark/>
          </w:tcPr>
          <w:p w14:paraId="3E1A554B" w14:textId="41FFD32E" w:rsidR="00330707" w:rsidRPr="008C761D" w:rsidRDefault="00330707" w:rsidP="00485BAA">
            <w:pPr>
              <w:spacing w:after="0" w:line="240" w:lineRule="auto"/>
              <w:jc w:val="center"/>
              <w:rPr>
                <w:rFonts w:ascii="Arial" w:eastAsia="Times New Roman" w:hAnsi="Arial" w:cs="Arial"/>
                <w:sz w:val="12"/>
                <w:szCs w:val="12"/>
                <w:lang w:val="en-US" w:eastAsia="mk-MK"/>
              </w:rPr>
            </w:pPr>
          </w:p>
        </w:tc>
      </w:tr>
      <w:tr w:rsidR="00330707" w:rsidRPr="008C761D" w14:paraId="545C926C" w14:textId="77777777" w:rsidTr="003F623B">
        <w:trPr>
          <w:gridBefore w:val="1"/>
          <w:gridAfter w:val="1"/>
          <w:wBefore w:w="17" w:type="dxa"/>
          <w:wAfter w:w="180" w:type="dxa"/>
          <w:trHeight w:val="549"/>
          <w:jc w:val="center"/>
        </w:trPr>
        <w:tc>
          <w:tcPr>
            <w:tcW w:w="1288" w:type="dxa"/>
            <w:gridSpan w:val="3"/>
            <w:tcBorders>
              <w:top w:val="nil"/>
              <w:left w:val="nil"/>
              <w:bottom w:val="nil"/>
              <w:right w:val="nil"/>
            </w:tcBorders>
            <w:shd w:val="clear" w:color="auto" w:fill="auto"/>
            <w:vAlign w:val="center"/>
            <w:hideMark/>
          </w:tcPr>
          <w:p w14:paraId="220793EE" w14:textId="77777777" w:rsidR="00330707" w:rsidRPr="008C761D" w:rsidRDefault="00330707"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17C2C9BC" w14:textId="77777777" w:rsidR="00330707" w:rsidRPr="008C761D" w:rsidRDefault="00330707"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6C1F496" w14:textId="20749D84" w:rsidR="00330707" w:rsidRPr="008C761D" w:rsidRDefault="00330707"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Pr="008C761D">
              <w:rPr>
                <w:rFonts w:ascii="Arial" w:hAnsi="Arial" w:cs="Arial"/>
                <w:sz w:val="12"/>
                <w:szCs w:val="12"/>
                <w:lang w:val="en-US"/>
              </w:rPr>
              <w:t xml:space="preserve">Determination of </w:t>
            </w:r>
            <w:proofErr w:type="gramStart"/>
            <w:r w:rsidRPr="008C761D">
              <w:rPr>
                <w:rFonts w:ascii="Arial" w:hAnsi="Arial" w:cs="Arial"/>
                <w:sz w:val="12"/>
                <w:szCs w:val="12"/>
                <w:lang w:val="en-US"/>
              </w:rPr>
              <w:t>medium term</w:t>
            </w:r>
            <w:proofErr w:type="gramEnd"/>
            <w:r w:rsidRPr="008C761D">
              <w:rPr>
                <w:rFonts w:ascii="Arial" w:hAnsi="Arial" w:cs="Arial"/>
                <w:sz w:val="12"/>
                <w:szCs w:val="12"/>
                <w:lang w:val="en-US"/>
              </w:rPr>
              <w:t xml:space="preserve"> </w:t>
            </w:r>
            <w:r w:rsidR="00404D96" w:rsidRPr="008C761D">
              <w:rPr>
                <w:rFonts w:ascii="Arial" w:hAnsi="Arial" w:cs="Arial"/>
                <w:sz w:val="12"/>
                <w:szCs w:val="12"/>
                <w:lang w:val="en-US"/>
              </w:rPr>
              <w:t>expenditures</w:t>
            </w:r>
            <w:r w:rsidRPr="008C761D">
              <w:rPr>
                <w:rFonts w:ascii="Arial" w:hAnsi="Arial" w:cs="Arial"/>
                <w:sz w:val="12"/>
                <w:szCs w:val="12"/>
                <w:lang w:val="en-US"/>
              </w:rPr>
              <w:t xml:space="preserve"> celiings</w:t>
            </w:r>
          </w:p>
        </w:tc>
        <w:tc>
          <w:tcPr>
            <w:tcW w:w="1194" w:type="dxa"/>
            <w:gridSpan w:val="3"/>
            <w:shd w:val="clear" w:color="000000" w:fill="FFFF99"/>
            <w:vAlign w:val="center"/>
            <w:hideMark/>
          </w:tcPr>
          <w:p w14:paraId="79D0D650" w14:textId="77777777"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5BBAA143" w14:textId="11EDA573" w:rsidR="00330707"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shd w:val="clear" w:color="000000" w:fill="FFFF99"/>
            <w:vAlign w:val="center"/>
            <w:hideMark/>
          </w:tcPr>
          <w:p w14:paraId="21C97E41" w14:textId="1F503767"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 users</w:t>
            </w:r>
          </w:p>
        </w:tc>
        <w:tc>
          <w:tcPr>
            <w:tcW w:w="1758" w:type="dxa"/>
            <w:gridSpan w:val="2"/>
            <w:shd w:val="clear" w:color="000000" w:fill="FFFF99"/>
            <w:vAlign w:val="center"/>
            <w:hideMark/>
          </w:tcPr>
          <w:p w14:paraId="49FD4134" w14:textId="532FB98B"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13BB4D92" w14:textId="62808511"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506" w:type="dxa"/>
            <w:gridSpan w:val="3"/>
            <w:shd w:val="clear" w:color="000000" w:fill="FFFF99"/>
            <w:vAlign w:val="center"/>
            <w:hideMark/>
          </w:tcPr>
          <w:p w14:paraId="139BA02D" w14:textId="32F7301B" w:rsidR="00330707" w:rsidRPr="008C761D" w:rsidRDefault="0033070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43F8D85A" w14:textId="77777777" w:rsidTr="003F623B">
        <w:trPr>
          <w:gridBefore w:val="1"/>
          <w:gridAfter w:val="1"/>
          <w:wBefore w:w="17" w:type="dxa"/>
          <w:wAfter w:w="180" w:type="dxa"/>
          <w:trHeight w:val="698"/>
          <w:jc w:val="center"/>
        </w:trPr>
        <w:tc>
          <w:tcPr>
            <w:tcW w:w="1288" w:type="dxa"/>
            <w:gridSpan w:val="3"/>
            <w:tcBorders>
              <w:top w:val="nil"/>
              <w:left w:val="nil"/>
              <w:bottom w:val="nil"/>
              <w:right w:val="nil"/>
            </w:tcBorders>
            <w:shd w:val="clear" w:color="auto" w:fill="auto"/>
            <w:vAlign w:val="center"/>
            <w:hideMark/>
          </w:tcPr>
          <w:p w14:paraId="7E6A1C4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47CC21A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D346E6A" w14:textId="1DA48130"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Strengthening</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medium-term</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planning</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D847E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public</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enterprises</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companies</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central</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p>
        </w:tc>
        <w:tc>
          <w:tcPr>
            <w:tcW w:w="1194" w:type="dxa"/>
            <w:gridSpan w:val="3"/>
            <w:shd w:val="clear" w:color="000000" w:fill="FFFF99"/>
            <w:vAlign w:val="center"/>
            <w:hideMark/>
          </w:tcPr>
          <w:p w14:paraId="5F7CDBC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1C2E1E"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1C2E1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54086A7C" w14:textId="64F0F77B"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shd w:val="clear" w:color="000000" w:fill="FFFF99"/>
            <w:vAlign w:val="center"/>
            <w:hideMark/>
          </w:tcPr>
          <w:p w14:paraId="61EA074A" w14:textId="636A278F"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w:t>
            </w:r>
          </w:p>
        </w:tc>
        <w:tc>
          <w:tcPr>
            <w:tcW w:w="1758" w:type="dxa"/>
            <w:gridSpan w:val="2"/>
            <w:shd w:val="clear" w:color="000000" w:fill="FFFF99"/>
            <w:vAlign w:val="center"/>
            <w:hideMark/>
          </w:tcPr>
          <w:p w14:paraId="6A267F77" w14:textId="682B1CF3" w:rsidR="00485BAA" w:rsidRPr="008C761D" w:rsidRDefault="003C4B7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61F4F369" w14:textId="777DBF54" w:rsidR="00485BAA" w:rsidRPr="008C761D" w:rsidRDefault="003C4B7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r w:rsidR="00485BAA" w:rsidRPr="008C761D">
              <w:rPr>
                <w:rFonts w:ascii="Arial" w:eastAsia="Times New Roman" w:hAnsi="Arial" w:cs="Arial"/>
                <w:sz w:val="12"/>
                <w:szCs w:val="12"/>
                <w:lang w:val="en-US" w:eastAsia="mk-MK"/>
              </w:rPr>
              <w:t> </w:t>
            </w:r>
          </w:p>
        </w:tc>
        <w:tc>
          <w:tcPr>
            <w:tcW w:w="1506" w:type="dxa"/>
            <w:gridSpan w:val="3"/>
            <w:shd w:val="clear" w:color="000000" w:fill="FFFF99"/>
            <w:vAlign w:val="center"/>
            <w:hideMark/>
          </w:tcPr>
          <w:p w14:paraId="0D2AF4AA" w14:textId="5291806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1A8F6C99" w14:textId="77777777" w:rsidTr="003F623B">
        <w:trPr>
          <w:gridBefore w:val="1"/>
          <w:gridAfter w:val="1"/>
          <w:wBefore w:w="17" w:type="dxa"/>
          <w:wAfter w:w="180" w:type="dxa"/>
          <w:trHeight w:val="223"/>
          <w:jc w:val="center"/>
        </w:trPr>
        <w:tc>
          <w:tcPr>
            <w:tcW w:w="13501" w:type="dxa"/>
            <w:gridSpan w:val="25"/>
            <w:shd w:val="clear" w:color="000000" w:fill="9BD2ED"/>
            <w:vAlign w:val="center"/>
            <w:hideMark/>
          </w:tcPr>
          <w:p w14:paraId="3C90D02F" w14:textId="5CBE40FA" w:rsidR="00485BAA" w:rsidRPr="008C761D" w:rsidRDefault="005C29D1" w:rsidP="00485BAA">
            <w:pPr>
              <w:spacing w:after="0" w:line="240" w:lineRule="auto"/>
              <w:jc w:val="both"/>
              <w:rPr>
                <w:rFonts w:ascii="Arial" w:eastAsia="Times New Roman" w:hAnsi="Arial" w:cs="Arial"/>
                <w:b/>
                <w:bCs/>
                <w:sz w:val="12"/>
                <w:szCs w:val="12"/>
                <w:lang w:val="en-US" w:eastAsia="mk-MK"/>
              </w:rPr>
            </w:pPr>
            <w:r w:rsidRPr="005C29D1">
              <w:rPr>
                <w:rFonts w:ascii="Arial" w:eastAsia="Times New Roman" w:hAnsi="Arial" w:cs="Arial"/>
                <w:b/>
                <w:bCs/>
                <w:sz w:val="12"/>
                <w:szCs w:val="12"/>
                <w:lang w:val="en-US" w:eastAsia="mk-MK"/>
              </w:rPr>
              <w:t>Measure</w:t>
            </w:r>
            <w:r w:rsidR="00485BAA"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w:t>
            </w:r>
            <w:r w:rsidR="00485BAA"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Improving</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sectoral</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approach</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of</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budget</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planning</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and</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development</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by</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implementation</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of</w:t>
            </w:r>
            <w:r w:rsidR="003C4B70" w:rsidRPr="008C761D">
              <w:rPr>
                <w:rFonts w:ascii="Arial" w:eastAsia="Times New Roman" w:hAnsi="Arial" w:cs="Arial"/>
                <w:b/>
                <w:bCs/>
                <w:sz w:val="12"/>
                <w:szCs w:val="12"/>
                <w:lang w:val="en-US" w:eastAsia="mk-MK"/>
              </w:rPr>
              <w:t xml:space="preserve"> </w:t>
            </w:r>
            <w:r w:rsidR="00887AA0" w:rsidRPr="008C761D">
              <w:rPr>
                <w:rFonts w:ascii="Arial" w:eastAsia="Times New Roman" w:hAnsi="Arial" w:cs="Arial"/>
                <w:b/>
                <w:bCs/>
                <w:sz w:val="12"/>
                <w:szCs w:val="12"/>
                <w:lang w:val="en-US" w:eastAsia="mk-MK"/>
              </w:rPr>
              <w:t>bylaws</w:t>
            </w:r>
          </w:p>
        </w:tc>
      </w:tr>
      <w:tr w:rsidR="00485BAA" w:rsidRPr="008C761D" w14:paraId="16D5B22A" w14:textId="77777777" w:rsidTr="003F623B">
        <w:trPr>
          <w:gridBefore w:val="1"/>
          <w:gridAfter w:val="1"/>
          <w:wBefore w:w="17" w:type="dxa"/>
          <w:wAfter w:w="180" w:type="dxa"/>
          <w:trHeight w:val="257"/>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0B45F50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15D630BD" w14:textId="247AA05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55188DAA" w14:textId="0F671CC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29FF85C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C2E1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ABC070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A6641F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FFD0023"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7FB180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7</w:t>
            </w:r>
          </w:p>
        </w:tc>
      </w:tr>
      <w:tr w:rsidR="00485BAA" w:rsidRPr="008C761D" w14:paraId="0ED7B81D" w14:textId="77777777" w:rsidTr="003F623B">
        <w:trPr>
          <w:gridBefore w:val="1"/>
          <w:gridAfter w:val="1"/>
          <w:wBefore w:w="17" w:type="dxa"/>
          <w:wAfter w:w="180" w:type="dxa"/>
          <w:trHeight w:val="402"/>
          <w:jc w:val="center"/>
        </w:trPr>
        <w:tc>
          <w:tcPr>
            <w:tcW w:w="2368" w:type="dxa"/>
            <w:gridSpan w:val="6"/>
            <w:vMerge/>
            <w:tcBorders>
              <w:top w:val="nil"/>
              <w:left w:val="nil"/>
              <w:bottom w:val="nil"/>
              <w:right w:val="single" w:sz="8" w:space="0" w:color="000000"/>
            </w:tcBorders>
            <w:vAlign w:val="center"/>
            <w:hideMark/>
          </w:tcPr>
          <w:p w14:paraId="1F20C52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73774F4" w14:textId="3BD59D9C"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first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level</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w:t>
            </w:r>
          </w:p>
        </w:tc>
        <w:tc>
          <w:tcPr>
            <w:tcW w:w="1194" w:type="dxa"/>
            <w:gridSpan w:val="3"/>
            <w:shd w:val="clear" w:color="000000" w:fill="FFFF99"/>
            <w:vAlign w:val="center"/>
            <w:hideMark/>
          </w:tcPr>
          <w:p w14:paraId="358E990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p>
        </w:tc>
        <w:tc>
          <w:tcPr>
            <w:tcW w:w="1418" w:type="dxa"/>
            <w:gridSpan w:val="2"/>
            <w:shd w:val="clear" w:color="000000" w:fill="FFFF99"/>
            <w:vAlign w:val="center"/>
            <w:hideMark/>
          </w:tcPr>
          <w:p w14:paraId="3A92241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around 100</w:t>
            </w:r>
          </w:p>
        </w:tc>
        <w:tc>
          <w:tcPr>
            <w:tcW w:w="1644" w:type="dxa"/>
            <w:gridSpan w:val="3"/>
            <w:shd w:val="clear" w:color="000000" w:fill="FFFF99"/>
            <w:vAlign w:val="center"/>
            <w:hideMark/>
          </w:tcPr>
          <w:p w14:paraId="13808D0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around 100</w:t>
            </w:r>
          </w:p>
        </w:tc>
        <w:tc>
          <w:tcPr>
            <w:tcW w:w="1758" w:type="dxa"/>
            <w:gridSpan w:val="2"/>
            <w:shd w:val="clear" w:color="000000" w:fill="FFFF99"/>
            <w:vAlign w:val="center"/>
            <w:hideMark/>
          </w:tcPr>
          <w:p w14:paraId="45AF4898" w14:textId="16E82432"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w:t>
            </w:r>
            <w:r w:rsidR="00485BAA" w:rsidRPr="008C761D">
              <w:rPr>
                <w:rFonts w:ascii="Arial" w:eastAsia="Times New Roman" w:hAnsi="Arial" w:cs="Arial"/>
                <w:sz w:val="12"/>
                <w:szCs w:val="12"/>
                <w:lang w:val="en-US" w:eastAsia="mk-MK"/>
              </w:rPr>
              <w:t>round</w:t>
            </w:r>
            <w:r>
              <w:rPr>
                <w:rFonts w:ascii="Arial" w:eastAsia="Times New Roman" w:hAnsi="Arial" w:cs="Arial"/>
                <w:sz w:val="12"/>
                <w:szCs w:val="12"/>
                <w:lang w:val="en-US" w:eastAsia="mk-MK"/>
              </w:rPr>
              <w:t xml:space="preserve"> </w:t>
            </w:r>
            <w:r w:rsidR="004D467C" w:rsidRPr="008C761D">
              <w:rPr>
                <w:rFonts w:ascii="Arial" w:eastAsia="Times New Roman" w:hAnsi="Arial" w:cs="Arial"/>
                <w:sz w:val="12"/>
                <w:szCs w:val="12"/>
                <w:lang w:val="en-US" w:eastAsia="mk-MK"/>
              </w:rPr>
              <w:t>5</w:t>
            </w:r>
            <w:r w:rsidR="00485BAA"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7080BD24" w14:textId="290735BD"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less than</w:t>
            </w:r>
            <w:r w:rsidR="00485BAA" w:rsidRPr="008C761D">
              <w:rPr>
                <w:rFonts w:ascii="Arial" w:eastAsia="Times New Roman" w:hAnsi="Arial" w:cs="Arial"/>
                <w:sz w:val="12"/>
                <w:szCs w:val="12"/>
                <w:lang w:val="en-US" w:eastAsia="mk-MK"/>
              </w:rPr>
              <w:t xml:space="preserve"> 50</w:t>
            </w:r>
          </w:p>
        </w:tc>
        <w:tc>
          <w:tcPr>
            <w:tcW w:w="1506" w:type="dxa"/>
            <w:gridSpan w:val="3"/>
            <w:shd w:val="clear" w:color="000000" w:fill="FFFF99"/>
            <w:vAlign w:val="center"/>
            <w:hideMark/>
          </w:tcPr>
          <w:p w14:paraId="15E50AB0" w14:textId="55DBE169"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w:t>
            </w:r>
            <w:r w:rsidR="00485BAA" w:rsidRPr="008C761D">
              <w:rPr>
                <w:rFonts w:ascii="Arial" w:eastAsia="Times New Roman" w:hAnsi="Arial" w:cs="Arial"/>
                <w:sz w:val="12"/>
                <w:szCs w:val="12"/>
                <w:lang w:val="en-US" w:eastAsia="mk-MK"/>
              </w:rPr>
              <w:t>ess</w:t>
            </w:r>
            <w:r>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than 50</w:t>
            </w:r>
          </w:p>
        </w:tc>
      </w:tr>
      <w:tr w:rsidR="00485BAA" w:rsidRPr="008C761D" w14:paraId="011F9A8D" w14:textId="77777777" w:rsidTr="003F623B">
        <w:trPr>
          <w:gridBefore w:val="1"/>
          <w:gridAfter w:val="1"/>
          <w:wBefore w:w="17" w:type="dxa"/>
          <w:wAfter w:w="180" w:type="dxa"/>
          <w:trHeight w:val="267"/>
          <w:jc w:val="center"/>
        </w:trPr>
        <w:tc>
          <w:tcPr>
            <w:tcW w:w="2368" w:type="dxa"/>
            <w:gridSpan w:val="6"/>
            <w:vMerge/>
            <w:tcBorders>
              <w:top w:val="nil"/>
              <w:left w:val="nil"/>
              <w:bottom w:val="nil"/>
              <w:right w:val="single" w:sz="8" w:space="0" w:color="000000"/>
            </w:tcBorders>
            <w:vAlign w:val="center"/>
            <w:hideMark/>
          </w:tcPr>
          <w:p w14:paraId="04BEF08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C1E232A" w14:textId="7C4385A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1B37DDF9" w14:textId="0D0C4E8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494B5985" w14:textId="2C2D574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AB628C4" w14:textId="627913A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946E52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5FD21655" w14:textId="7EBCCCE3"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9AF9CD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887AA0" w:rsidRPr="008C761D" w14:paraId="36BD7A2C" w14:textId="77777777" w:rsidTr="003F623B">
        <w:trPr>
          <w:gridBefore w:val="1"/>
          <w:gridAfter w:val="1"/>
          <w:wBefore w:w="17" w:type="dxa"/>
          <w:wAfter w:w="180" w:type="dxa"/>
          <w:trHeight w:val="610"/>
          <w:jc w:val="center"/>
        </w:trPr>
        <w:tc>
          <w:tcPr>
            <w:tcW w:w="2368" w:type="dxa"/>
            <w:gridSpan w:val="6"/>
            <w:vMerge/>
            <w:tcBorders>
              <w:top w:val="nil"/>
              <w:left w:val="nil"/>
              <w:bottom w:val="nil"/>
              <w:right w:val="single" w:sz="8" w:space="0" w:color="000000"/>
            </w:tcBorders>
            <w:vAlign w:val="center"/>
            <w:hideMark/>
          </w:tcPr>
          <w:p w14:paraId="3478D589" w14:textId="77777777" w:rsidR="00887AA0" w:rsidRPr="008C761D" w:rsidRDefault="00887AA0" w:rsidP="00887AA0">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AA4B919" w14:textId="3242C59D" w:rsidR="003C20E4" w:rsidRPr="008C761D" w:rsidRDefault="003C4B70" w:rsidP="003C4B70">
            <w:pPr>
              <w:spacing w:after="0" w:line="240" w:lineRule="auto"/>
              <w:jc w:val="both"/>
              <w:rPr>
                <w:rFonts w:cs="Calibri"/>
                <w:lang w:val="en-US"/>
              </w:rPr>
            </w:pPr>
            <w:r w:rsidRPr="008C761D">
              <w:rPr>
                <w:rFonts w:ascii="Arial" w:hAnsi="Arial" w:cs="Arial"/>
                <w:sz w:val="12"/>
                <w:szCs w:val="12"/>
                <w:lang w:val="en-US"/>
              </w:rPr>
              <w:t>1.</w:t>
            </w:r>
            <w:r w:rsidR="00887AA0" w:rsidRPr="008C761D">
              <w:rPr>
                <w:rFonts w:ascii="Arial" w:hAnsi="Arial" w:cs="Arial"/>
                <w:sz w:val="12"/>
                <w:szCs w:val="12"/>
                <w:lang w:val="en-US"/>
              </w:rPr>
              <w:t>Preparing and implementing OBL-bylaws</w:t>
            </w:r>
          </w:p>
          <w:p w14:paraId="3C5DA845" w14:textId="2BCA30AC" w:rsidR="00887AA0" w:rsidRPr="008C761D" w:rsidRDefault="00887AA0" w:rsidP="00330707">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700D3964" w14:textId="77777777" w:rsidR="00887AA0" w:rsidRPr="008C761D" w:rsidRDefault="00887AA0" w:rsidP="00887AA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465F9D13" w14:textId="0B530733" w:rsidR="00887AA0" w:rsidRPr="008C761D" w:rsidRDefault="00263A7B" w:rsidP="00887AA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shd w:val="clear" w:color="000000" w:fill="FFFF99"/>
            <w:vAlign w:val="center"/>
            <w:hideMark/>
          </w:tcPr>
          <w:p w14:paraId="5D19C388" w14:textId="0B4A4FB9" w:rsidR="00887AA0" w:rsidRPr="008C761D" w:rsidRDefault="00887AA0" w:rsidP="00887AA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w:t>
            </w:r>
          </w:p>
        </w:tc>
        <w:tc>
          <w:tcPr>
            <w:tcW w:w="1758" w:type="dxa"/>
            <w:gridSpan w:val="2"/>
            <w:shd w:val="clear" w:color="000000" w:fill="FFFF99"/>
            <w:hideMark/>
          </w:tcPr>
          <w:p w14:paraId="1EA547D7" w14:textId="77777777" w:rsidR="003C4B70" w:rsidRPr="008C761D" w:rsidRDefault="003C4B70" w:rsidP="003C4B70">
            <w:pPr>
              <w:spacing w:after="0" w:line="240" w:lineRule="auto"/>
              <w:jc w:val="center"/>
              <w:rPr>
                <w:rFonts w:ascii="Arial" w:eastAsia="Times New Roman" w:hAnsi="Arial" w:cs="Arial"/>
                <w:sz w:val="12"/>
                <w:szCs w:val="12"/>
                <w:lang w:val="en-US" w:eastAsia="mk-MK"/>
              </w:rPr>
            </w:pPr>
          </w:p>
          <w:p w14:paraId="37C1F30C" w14:textId="77777777" w:rsidR="003C4B70" w:rsidRPr="008C761D" w:rsidRDefault="003C4B70" w:rsidP="003C4B70">
            <w:pPr>
              <w:spacing w:after="0" w:line="240" w:lineRule="auto"/>
              <w:jc w:val="center"/>
              <w:rPr>
                <w:rFonts w:ascii="Arial" w:eastAsia="Times New Roman" w:hAnsi="Arial" w:cs="Arial"/>
                <w:sz w:val="12"/>
                <w:szCs w:val="12"/>
                <w:lang w:val="en-US" w:eastAsia="mk-MK"/>
              </w:rPr>
            </w:pPr>
          </w:p>
          <w:p w14:paraId="5DCB50F4" w14:textId="77777777" w:rsidR="003C4B70" w:rsidRPr="008C761D" w:rsidRDefault="003C4B70" w:rsidP="003C4B70">
            <w:pPr>
              <w:spacing w:after="0" w:line="240" w:lineRule="auto"/>
              <w:jc w:val="center"/>
              <w:rPr>
                <w:rFonts w:ascii="Arial" w:eastAsia="Times New Roman" w:hAnsi="Arial" w:cs="Arial"/>
                <w:sz w:val="12"/>
                <w:szCs w:val="12"/>
                <w:lang w:val="en-US" w:eastAsia="mk-MK"/>
              </w:rPr>
            </w:pPr>
          </w:p>
          <w:p w14:paraId="40A5F0AD" w14:textId="77777777" w:rsidR="003C4B70" w:rsidRPr="008C761D" w:rsidRDefault="003C4B70" w:rsidP="003C4B70">
            <w:pPr>
              <w:spacing w:after="0" w:line="240" w:lineRule="auto"/>
              <w:jc w:val="center"/>
              <w:rPr>
                <w:rFonts w:ascii="Arial" w:eastAsia="Times New Roman" w:hAnsi="Arial" w:cs="Arial"/>
                <w:sz w:val="12"/>
                <w:szCs w:val="12"/>
                <w:lang w:val="en-US" w:eastAsia="mk-MK"/>
              </w:rPr>
            </w:pPr>
          </w:p>
          <w:p w14:paraId="406F2C3F" w14:textId="5BED7B74" w:rsidR="00887AA0" w:rsidRPr="008C761D" w:rsidRDefault="00583C72" w:rsidP="003C4B7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654,000</w:t>
            </w:r>
          </w:p>
          <w:p w14:paraId="04013FB0" w14:textId="77777777" w:rsidR="00583C72" w:rsidRPr="008C761D" w:rsidRDefault="00583C72" w:rsidP="003C4B70">
            <w:pPr>
              <w:spacing w:after="0" w:line="240" w:lineRule="auto"/>
              <w:jc w:val="center"/>
              <w:rPr>
                <w:rFonts w:ascii="Arial" w:eastAsia="Times New Roman" w:hAnsi="Arial" w:cs="Arial"/>
                <w:sz w:val="12"/>
                <w:szCs w:val="12"/>
                <w:lang w:val="en-US" w:eastAsia="mk-MK"/>
              </w:rPr>
            </w:pPr>
          </w:p>
        </w:tc>
        <w:tc>
          <w:tcPr>
            <w:tcW w:w="1842" w:type="dxa"/>
            <w:gridSpan w:val="3"/>
            <w:shd w:val="clear" w:color="000000" w:fill="FFFF99"/>
            <w:hideMark/>
          </w:tcPr>
          <w:p w14:paraId="0BC1CAA4" w14:textId="77777777" w:rsidR="003C4B70" w:rsidRPr="008C761D" w:rsidRDefault="003C4B70" w:rsidP="003C4B70">
            <w:pPr>
              <w:spacing w:after="0" w:line="240" w:lineRule="auto"/>
              <w:jc w:val="center"/>
              <w:rPr>
                <w:sz w:val="12"/>
                <w:szCs w:val="12"/>
                <w:lang w:val="en-US"/>
              </w:rPr>
            </w:pPr>
          </w:p>
          <w:p w14:paraId="05F412AA" w14:textId="77777777" w:rsidR="003C4B70" w:rsidRPr="008C761D" w:rsidRDefault="003C4B70" w:rsidP="003C4B70">
            <w:pPr>
              <w:spacing w:after="0" w:line="240" w:lineRule="auto"/>
              <w:jc w:val="center"/>
              <w:rPr>
                <w:sz w:val="12"/>
                <w:szCs w:val="12"/>
                <w:lang w:val="en-US"/>
              </w:rPr>
            </w:pPr>
          </w:p>
          <w:p w14:paraId="6D82F67E" w14:textId="77777777" w:rsidR="003C4B70" w:rsidRPr="008C761D" w:rsidRDefault="003C4B70" w:rsidP="003C4B70">
            <w:pPr>
              <w:spacing w:after="0" w:line="240" w:lineRule="auto"/>
              <w:jc w:val="center"/>
              <w:rPr>
                <w:sz w:val="12"/>
                <w:szCs w:val="12"/>
                <w:lang w:val="en-US"/>
              </w:rPr>
            </w:pPr>
          </w:p>
          <w:p w14:paraId="66816CDC" w14:textId="77777777" w:rsidR="003C4B70" w:rsidRPr="008C761D" w:rsidRDefault="003C4B70" w:rsidP="003C4B70">
            <w:pPr>
              <w:spacing w:after="0" w:line="240" w:lineRule="auto"/>
              <w:jc w:val="center"/>
              <w:rPr>
                <w:sz w:val="12"/>
                <w:szCs w:val="12"/>
                <w:lang w:val="en-US"/>
              </w:rPr>
            </w:pPr>
          </w:p>
          <w:p w14:paraId="3EF4EB66" w14:textId="54373F3A" w:rsidR="00887AA0" w:rsidRPr="008C761D" w:rsidRDefault="006A55CA" w:rsidP="003C4B70">
            <w:pPr>
              <w:spacing w:after="0" w:line="240" w:lineRule="auto"/>
              <w:jc w:val="center"/>
              <w:rPr>
                <w:rFonts w:ascii="Arial" w:eastAsia="Times New Roman" w:hAnsi="Arial" w:cs="Arial"/>
                <w:sz w:val="12"/>
                <w:szCs w:val="12"/>
                <w:lang w:val="en-US" w:eastAsia="mk-MK"/>
              </w:rPr>
            </w:pPr>
            <w:r w:rsidRPr="008C761D">
              <w:rPr>
                <w:sz w:val="12"/>
                <w:szCs w:val="12"/>
                <w:lang w:val="en-US"/>
              </w:rPr>
              <w:t>US Treasury</w:t>
            </w:r>
          </w:p>
        </w:tc>
        <w:tc>
          <w:tcPr>
            <w:tcW w:w="1506" w:type="dxa"/>
            <w:gridSpan w:val="3"/>
            <w:shd w:val="clear" w:color="000000" w:fill="FFFF99"/>
            <w:vAlign w:val="center"/>
            <w:hideMark/>
          </w:tcPr>
          <w:p w14:paraId="54F78531" w14:textId="5BEEB95A" w:rsidR="00887AA0" w:rsidRPr="008C761D" w:rsidRDefault="00887AA0" w:rsidP="00887AA0">
            <w:pPr>
              <w:spacing w:after="0" w:line="240" w:lineRule="auto"/>
              <w:jc w:val="center"/>
              <w:rPr>
                <w:rFonts w:ascii="Arial" w:eastAsia="Times New Roman" w:hAnsi="Arial" w:cs="Arial"/>
                <w:sz w:val="12"/>
                <w:szCs w:val="12"/>
                <w:lang w:val="en-US" w:eastAsia="mk-MK"/>
              </w:rPr>
            </w:pPr>
          </w:p>
        </w:tc>
      </w:tr>
      <w:tr w:rsidR="004F0DB1" w:rsidRPr="008C761D" w14:paraId="33154269" w14:textId="77777777" w:rsidTr="003F623B">
        <w:trPr>
          <w:gridBefore w:val="1"/>
          <w:gridAfter w:val="1"/>
          <w:wBefore w:w="17" w:type="dxa"/>
          <w:wAfter w:w="180" w:type="dxa"/>
          <w:trHeight w:val="828"/>
          <w:jc w:val="center"/>
        </w:trPr>
        <w:tc>
          <w:tcPr>
            <w:tcW w:w="1288" w:type="dxa"/>
            <w:gridSpan w:val="3"/>
            <w:tcBorders>
              <w:top w:val="nil"/>
              <w:left w:val="nil"/>
              <w:bottom w:val="nil"/>
              <w:right w:val="nil"/>
            </w:tcBorders>
            <w:shd w:val="clear" w:color="auto" w:fill="auto"/>
            <w:vAlign w:val="center"/>
            <w:hideMark/>
          </w:tcPr>
          <w:p w14:paraId="1E04CDDE" w14:textId="77777777" w:rsidR="004F0DB1" w:rsidRPr="008C761D" w:rsidRDefault="004F0DB1" w:rsidP="004F0DB1">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395A75FF" w14:textId="77777777" w:rsidR="004F0DB1" w:rsidRPr="008C761D" w:rsidRDefault="004F0DB1" w:rsidP="004F0DB1">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E6D81E4" w14:textId="433A627D" w:rsidR="004F0DB1" w:rsidRPr="008C761D" w:rsidRDefault="003C4B70" w:rsidP="004F0DB1">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Preparing and implementing several types of classifications - administrative/organizational, economic, program, functional classifications, as well as classification of sources of financing;</w:t>
            </w:r>
          </w:p>
        </w:tc>
        <w:tc>
          <w:tcPr>
            <w:tcW w:w="1194" w:type="dxa"/>
            <w:gridSpan w:val="3"/>
            <w:shd w:val="clear" w:color="000000" w:fill="FFFF99"/>
            <w:vAlign w:val="center"/>
            <w:hideMark/>
          </w:tcPr>
          <w:p w14:paraId="2A1CE1E5" w14:textId="680D424A" w:rsidR="004F0DB1" w:rsidRPr="008C761D" w:rsidRDefault="004F0DB1" w:rsidP="004F0DB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472503"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-2027</w:t>
            </w:r>
          </w:p>
        </w:tc>
        <w:tc>
          <w:tcPr>
            <w:tcW w:w="1418" w:type="dxa"/>
            <w:gridSpan w:val="2"/>
            <w:shd w:val="clear" w:color="000000" w:fill="FFFF99"/>
            <w:vAlign w:val="center"/>
            <w:hideMark/>
          </w:tcPr>
          <w:p w14:paraId="3112CE68" w14:textId="3A9A5727" w:rsidR="004F0DB1" w:rsidRPr="008C761D" w:rsidRDefault="00263A7B" w:rsidP="004F0DB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shd w:val="clear" w:color="000000" w:fill="FFFF99"/>
            <w:vAlign w:val="center"/>
            <w:hideMark/>
          </w:tcPr>
          <w:p w14:paraId="398538CF" w14:textId="3DC903D3" w:rsidR="004F0DB1" w:rsidRPr="008C761D" w:rsidRDefault="004F0DB1" w:rsidP="004F0DB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w:t>
            </w:r>
          </w:p>
        </w:tc>
        <w:tc>
          <w:tcPr>
            <w:tcW w:w="1758" w:type="dxa"/>
            <w:gridSpan w:val="2"/>
            <w:shd w:val="clear" w:color="000000" w:fill="FFFF99"/>
            <w:hideMark/>
          </w:tcPr>
          <w:p w14:paraId="3219EACB" w14:textId="77777777" w:rsidR="003C4B70" w:rsidRPr="008C761D" w:rsidRDefault="003C4B70" w:rsidP="003C4B70">
            <w:pPr>
              <w:spacing w:after="0" w:line="240" w:lineRule="auto"/>
              <w:jc w:val="center"/>
              <w:rPr>
                <w:sz w:val="12"/>
                <w:szCs w:val="12"/>
                <w:lang w:val="en-US"/>
              </w:rPr>
            </w:pPr>
          </w:p>
          <w:p w14:paraId="6F96AC50" w14:textId="77777777" w:rsidR="003C4B70" w:rsidRPr="008C761D" w:rsidRDefault="003C4B70" w:rsidP="003C4B70">
            <w:pPr>
              <w:spacing w:after="0" w:line="240" w:lineRule="auto"/>
              <w:jc w:val="center"/>
              <w:rPr>
                <w:sz w:val="12"/>
                <w:szCs w:val="12"/>
                <w:lang w:val="en-US"/>
              </w:rPr>
            </w:pPr>
          </w:p>
          <w:p w14:paraId="57CE0E57" w14:textId="77777777" w:rsidR="003C4B70" w:rsidRPr="008C761D" w:rsidRDefault="003C4B70" w:rsidP="003C4B70">
            <w:pPr>
              <w:spacing w:after="0" w:line="240" w:lineRule="auto"/>
              <w:jc w:val="center"/>
              <w:rPr>
                <w:sz w:val="12"/>
                <w:szCs w:val="12"/>
                <w:lang w:val="en-US"/>
              </w:rPr>
            </w:pPr>
          </w:p>
          <w:p w14:paraId="46E12C8C" w14:textId="025D7E97" w:rsidR="004F0DB1" w:rsidRPr="008C761D" w:rsidRDefault="00583C72" w:rsidP="003C4B70">
            <w:pPr>
              <w:spacing w:after="0" w:line="240" w:lineRule="auto"/>
              <w:jc w:val="center"/>
              <w:rPr>
                <w:rFonts w:ascii="Arial" w:eastAsia="Times New Roman" w:hAnsi="Arial" w:cs="Arial"/>
                <w:sz w:val="12"/>
                <w:szCs w:val="12"/>
                <w:lang w:val="en-US" w:eastAsia="mk-MK"/>
              </w:rPr>
            </w:pPr>
            <w:r w:rsidRPr="008C761D">
              <w:rPr>
                <w:sz w:val="12"/>
                <w:szCs w:val="12"/>
                <w:lang w:val="en-US"/>
              </w:rPr>
              <w:t>382,000</w:t>
            </w:r>
          </w:p>
        </w:tc>
        <w:tc>
          <w:tcPr>
            <w:tcW w:w="1842" w:type="dxa"/>
            <w:gridSpan w:val="3"/>
            <w:shd w:val="clear" w:color="000000" w:fill="FFFF99"/>
            <w:hideMark/>
          </w:tcPr>
          <w:p w14:paraId="65961358" w14:textId="77777777" w:rsidR="003C4B70" w:rsidRPr="008C761D" w:rsidRDefault="003C4B70" w:rsidP="003C4B70">
            <w:pPr>
              <w:spacing w:after="0" w:line="240" w:lineRule="auto"/>
              <w:jc w:val="center"/>
              <w:rPr>
                <w:sz w:val="12"/>
                <w:szCs w:val="12"/>
                <w:lang w:val="en-US"/>
              </w:rPr>
            </w:pPr>
          </w:p>
          <w:p w14:paraId="100C01C2" w14:textId="77777777" w:rsidR="003C4B70" w:rsidRPr="008C761D" w:rsidRDefault="003C4B70" w:rsidP="003C4B70">
            <w:pPr>
              <w:spacing w:after="0" w:line="240" w:lineRule="auto"/>
              <w:jc w:val="center"/>
              <w:rPr>
                <w:sz w:val="12"/>
                <w:szCs w:val="12"/>
                <w:lang w:val="en-US"/>
              </w:rPr>
            </w:pPr>
          </w:p>
          <w:p w14:paraId="62AE91D6" w14:textId="77777777" w:rsidR="003C4B70" w:rsidRPr="008C761D" w:rsidRDefault="003C4B70" w:rsidP="003C4B70">
            <w:pPr>
              <w:spacing w:after="0" w:line="240" w:lineRule="auto"/>
              <w:jc w:val="center"/>
              <w:rPr>
                <w:sz w:val="12"/>
                <w:szCs w:val="12"/>
                <w:lang w:val="en-US"/>
              </w:rPr>
            </w:pPr>
          </w:p>
          <w:p w14:paraId="4776DE69" w14:textId="37AC2906" w:rsidR="004F0DB1" w:rsidRPr="008C761D" w:rsidRDefault="006A55CA" w:rsidP="003C4B70">
            <w:pPr>
              <w:spacing w:after="0" w:line="240" w:lineRule="auto"/>
              <w:jc w:val="center"/>
              <w:rPr>
                <w:rFonts w:ascii="Arial" w:eastAsia="Times New Roman" w:hAnsi="Arial" w:cs="Arial"/>
                <w:sz w:val="12"/>
                <w:szCs w:val="12"/>
                <w:lang w:val="en-US" w:eastAsia="mk-MK"/>
              </w:rPr>
            </w:pPr>
            <w:r w:rsidRPr="008C761D">
              <w:rPr>
                <w:sz w:val="12"/>
                <w:szCs w:val="12"/>
                <w:lang w:val="en-US"/>
              </w:rPr>
              <w:t>US Treasury</w:t>
            </w:r>
          </w:p>
        </w:tc>
        <w:tc>
          <w:tcPr>
            <w:tcW w:w="1506" w:type="dxa"/>
            <w:gridSpan w:val="3"/>
            <w:shd w:val="clear" w:color="000000" w:fill="FFFF99"/>
            <w:hideMark/>
          </w:tcPr>
          <w:p w14:paraId="363F3D09" w14:textId="5A5EEC28" w:rsidR="004F0DB1" w:rsidRPr="008C761D" w:rsidRDefault="004F0DB1" w:rsidP="004F0DB1">
            <w:pPr>
              <w:spacing w:after="0" w:line="240" w:lineRule="auto"/>
              <w:jc w:val="center"/>
              <w:rPr>
                <w:rFonts w:ascii="Arial" w:eastAsia="Times New Roman" w:hAnsi="Arial" w:cs="Arial"/>
                <w:sz w:val="12"/>
                <w:szCs w:val="12"/>
                <w:lang w:val="en-US" w:eastAsia="mk-MK"/>
              </w:rPr>
            </w:pPr>
          </w:p>
        </w:tc>
      </w:tr>
      <w:tr w:rsidR="00583C72" w:rsidRPr="008C761D" w14:paraId="713EBB03" w14:textId="77777777" w:rsidTr="003F623B">
        <w:trPr>
          <w:gridBefore w:val="1"/>
          <w:gridAfter w:val="1"/>
          <w:wBefore w:w="17" w:type="dxa"/>
          <w:wAfter w:w="180" w:type="dxa"/>
          <w:trHeight w:val="840"/>
          <w:jc w:val="center"/>
        </w:trPr>
        <w:tc>
          <w:tcPr>
            <w:tcW w:w="1288" w:type="dxa"/>
            <w:gridSpan w:val="3"/>
            <w:tcBorders>
              <w:top w:val="nil"/>
              <w:left w:val="nil"/>
              <w:bottom w:val="nil"/>
              <w:right w:val="nil"/>
            </w:tcBorders>
            <w:shd w:val="clear" w:color="auto" w:fill="auto"/>
            <w:vAlign w:val="center"/>
            <w:hideMark/>
          </w:tcPr>
          <w:p w14:paraId="51A17C34"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3B26AA5D"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55627299" w14:textId="5F40DBA5" w:rsidR="00583C72" w:rsidRPr="008C761D" w:rsidRDefault="003C4B7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Strengthening of capacities, training of employees and budget beneficiaries</w:t>
            </w:r>
          </w:p>
        </w:tc>
        <w:tc>
          <w:tcPr>
            <w:tcW w:w="1194" w:type="dxa"/>
            <w:gridSpan w:val="3"/>
            <w:vMerge w:val="restart"/>
            <w:shd w:val="clear" w:color="000000" w:fill="FFFF99"/>
            <w:vAlign w:val="center"/>
            <w:hideMark/>
          </w:tcPr>
          <w:p w14:paraId="3CD335FE"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vMerge w:val="restart"/>
            <w:shd w:val="clear" w:color="000000" w:fill="FFFF99"/>
            <w:vAlign w:val="center"/>
            <w:hideMark/>
          </w:tcPr>
          <w:p w14:paraId="0DCB2605" w14:textId="656207E6" w:rsidR="00583C72"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p>
        </w:tc>
        <w:tc>
          <w:tcPr>
            <w:tcW w:w="1644" w:type="dxa"/>
            <w:gridSpan w:val="3"/>
            <w:vMerge w:val="restart"/>
            <w:shd w:val="clear" w:color="000000" w:fill="FFFF99"/>
            <w:vAlign w:val="center"/>
            <w:hideMark/>
          </w:tcPr>
          <w:p w14:paraId="457E5200"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58" w:type="dxa"/>
            <w:gridSpan w:val="2"/>
            <w:vMerge w:val="restart"/>
            <w:shd w:val="clear" w:color="000000" w:fill="FFFF99"/>
            <w:vAlign w:val="center"/>
            <w:hideMark/>
          </w:tcPr>
          <w:p w14:paraId="1A1CAF15" w14:textId="1353C6A2" w:rsidR="00583C72" w:rsidRPr="008C761D" w:rsidRDefault="00583C72" w:rsidP="003C4B70">
            <w:pPr>
              <w:spacing w:after="0" w:line="240" w:lineRule="auto"/>
              <w:jc w:val="center"/>
              <w:rPr>
                <w:rFonts w:ascii="Arial" w:eastAsia="Times New Roman" w:hAnsi="Arial" w:cs="Arial"/>
                <w:sz w:val="12"/>
                <w:szCs w:val="12"/>
                <w:lang w:val="en-US" w:eastAsia="mk-MK"/>
              </w:rPr>
            </w:pPr>
          </w:p>
          <w:p w14:paraId="59756D61" w14:textId="0FF7FC69" w:rsidR="00583C72" w:rsidRPr="008C761D" w:rsidRDefault="00583C72" w:rsidP="003C4B7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790,000</w:t>
            </w:r>
          </w:p>
        </w:tc>
        <w:tc>
          <w:tcPr>
            <w:tcW w:w="1842" w:type="dxa"/>
            <w:gridSpan w:val="3"/>
            <w:vMerge w:val="restart"/>
            <w:shd w:val="clear" w:color="000000" w:fill="FFFF99"/>
            <w:vAlign w:val="center"/>
            <w:hideMark/>
          </w:tcPr>
          <w:p w14:paraId="08F1F749" w14:textId="379B0D87" w:rsidR="00583C72" w:rsidRPr="008C761D" w:rsidRDefault="00583C72" w:rsidP="003C4B70">
            <w:pPr>
              <w:spacing w:after="0" w:line="240" w:lineRule="auto"/>
              <w:jc w:val="center"/>
              <w:rPr>
                <w:rFonts w:ascii="Arial" w:eastAsia="Times New Roman" w:hAnsi="Arial" w:cs="Arial"/>
                <w:sz w:val="12"/>
                <w:szCs w:val="12"/>
                <w:lang w:val="en-US" w:eastAsia="mk-MK"/>
              </w:rPr>
            </w:pPr>
          </w:p>
          <w:p w14:paraId="45A86537" w14:textId="5262D586" w:rsidR="00583C72" w:rsidRPr="008C761D" w:rsidRDefault="00583C72" w:rsidP="003C4B7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US Treasury</w:t>
            </w:r>
          </w:p>
        </w:tc>
        <w:tc>
          <w:tcPr>
            <w:tcW w:w="1506" w:type="dxa"/>
            <w:gridSpan w:val="3"/>
            <w:vMerge w:val="restart"/>
            <w:shd w:val="clear" w:color="000000" w:fill="FFFF99"/>
            <w:vAlign w:val="center"/>
            <w:hideMark/>
          </w:tcPr>
          <w:p w14:paraId="683FC393" w14:textId="70499978" w:rsidR="00583C72" w:rsidRPr="008C761D" w:rsidRDefault="00583C72" w:rsidP="00485BAA">
            <w:pPr>
              <w:spacing w:after="0" w:line="240" w:lineRule="auto"/>
              <w:jc w:val="center"/>
              <w:rPr>
                <w:rFonts w:ascii="Arial" w:eastAsia="Times New Roman" w:hAnsi="Arial" w:cs="Arial"/>
                <w:sz w:val="12"/>
                <w:szCs w:val="12"/>
                <w:lang w:val="en-US" w:eastAsia="mk-MK"/>
              </w:rPr>
            </w:pPr>
          </w:p>
        </w:tc>
      </w:tr>
      <w:tr w:rsidR="00583C72" w:rsidRPr="008C761D" w14:paraId="51D8794A" w14:textId="77777777" w:rsidTr="003F623B">
        <w:trPr>
          <w:gridBefore w:val="1"/>
          <w:gridAfter w:val="1"/>
          <w:wBefore w:w="17" w:type="dxa"/>
          <w:wAfter w:w="180" w:type="dxa"/>
          <w:trHeight w:val="46"/>
          <w:jc w:val="center"/>
        </w:trPr>
        <w:tc>
          <w:tcPr>
            <w:tcW w:w="1288" w:type="dxa"/>
            <w:gridSpan w:val="3"/>
            <w:tcBorders>
              <w:top w:val="nil"/>
              <w:left w:val="nil"/>
              <w:bottom w:val="nil"/>
              <w:right w:val="nil"/>
            </w:tcBorders>
            <w:shd w:val="clear" w:color="auto" w:fill="auto"/>
            <w:vAlign w:val="center"/>
            <w:hideMark/>
          </w:tcPr>
          <w:p w14:paraId="0E994F6A"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2A884996"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771" w:type="dxa"/>
            <w:gridSpan w:val="3"/>
            <w:vMerge/>
            <w:tcBorders>
              <w:left w:val="single" w:sz="8" w:space="0" w:color="000000"/>
            </w:tcBorders>
            <w:vAlign w:val="center"/>
            <w:hideMark/>
          </w:tcPr>
          <w:p w14:paraId="497BBC2F" w14:textId="77777777" w:rsidR="00583C72" w:rsidRPr="008C761D" w:rsidRDefault="00583C72"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2AEF35DC" w14:textId="77777777" w:rsidR="00583C72" w:rsidRPr="008C761D" w:rsidRDefault="00583C72"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35F20A25" w14:textId="77777777" w:rsidR="00583C72" w:rsidRPr="008C761D" w:rsidRDefault="00583C72"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217C0363" w14:textId="77777777" w:rsidR="00583C72" w:rsidRPr="008C761D" w:rsidRDefault="00583C72" w:rsidP="00485BAA">
            <w:pPr>
              <w:spacing w:after="0" w:line="240" w:lineRule="auto"/>
              <w:rPr>
                <w:rFonts w:ascii="Arial" w:eastAsia="Times New Roman" w:hAnsi="Arial" w:cs="Arial"/>
                <w:sz w:val="12"/>
                <w:szCs w:val="12"/>
                <w:lang w:val="en-US" w:eastAsia="mk-MK"/>
              </w:rPr>
            </w:pPr>
          </w:p>
        </w:tc>
        <w:tc>
          <w:tcPr>
            <w:tcW w:w="1758" w:type="dxa"/>
            <w:gridSpan w:val="2"/>
            <w:vMerge/>
            <w:shd w:val="clear" w:color="000000" w:fill="FFFF99"/>
            <w:vAlign w:val="center"/>
            <w:hideMark/>
          </w:tcPr>
          <w:p w14:paraId="2D9AAD8E"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hideMark/>
          </w:tcPr>
          <w:p w14:paraId="2200EA18" w14:textId="77777777" w:rsidR="00583C72" w:rsidRPr="008C761D" w:rsidRDefault="00583C72" w:rsidP="00485BAA">
            <w:pPr>
              <w:spacing w:after="0" w:line="240" w:lineRule="auto"/>
              <w:jc w:val="center"/>
              <w:rPr>
                <w:rFonts w:ascii="Arial" w:eastAsia="Times New Roman" w:hAnsi="Arial" w:cs="Arial"/>
                <w:sz w:val="12"/>
                <w:szCs w:val="12"/>
                <w:lang w:val="en-US" w:eastAsia="mk-MK"/>
              </w:rPr>
            </w:pPr>
          </w:p>
        </w:tc>
        <w:tc>
          <w:tcPr>
            <w:tcW w:w="1506" w:type="dxa"/>
            <w:gridSpan w:val="3"/>
            <w:vMerge/>
            <w:vAlign w:val="center"/>
            <w:hideMark/>
          </w:tcPr>
          <w:p w14:paraId="18215577" w14:textId="77777777" w:rsidR="00583C72" w:rsidRPr="008C761D" w:rsidRDefault="00583C72" w:rsidP="00485BAA">
            <w:pPr>
              <w:spacing w:after="0" w:line="240" w:lineRule="auto"/>
              <w:rPr>
                <w:rFonts w:ascii="Arial" w:eastAsia="Times New Roman" w:hAnsi="Arial" w:cs="Arial"/>
                <w:sz w:val="12"/>
                <w:szCs w:val="12"/>
                <w:lang w:val="en-US" w:eastAsia="mk-MK"/>
              </w:rPr>
            </w:pPr>
          </w:p>
        </w:tc>
      </w:tr>
      <w:tr w:rsidR="00485BAA" w:rsidRPr="008C761D" w14:paraId="5F0B363E" w14:textId="77777777" w:rsidTr="003F623B">
        <w:trPr>
          <w:gridBefore w:val="1"/>
          <w:gridAfter w:val="1"/>
          <w:wBefore w:w="17" w:type="dxa"/>
          <w:wAfter w:w="180" w:type="dxa"/>
          <w:trHeight w:val="209"/>
          <w:jc w:val="center"/>
        </w:trPr>
        <w:tc>
          <w:tcPr>
            <w:tcW w:w="13501" w:type="dxa"/>
            <w:gridSpan w:val="25"/>
            <w:shd w:val="clear" w:color="000000" w:fill="9BD2ED"/>
            <w:vAlign w:val="center"/>
            <w:hideMark/>
          </w:tcPr>
          <w:p w14:paraId="78B1FB86" w14:textId="22DBA093"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Measure 3</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4F0DB1" w:rsidRPr="008C761D">
              <w:rPr>
                <w:rFonts w:ascii="Arial" w:eastAsia="Times New Roman" w:hAnsi="Arial" w:cs="Arial"/>
                <w:b/>
                <w:bCs/>
                <w:sz w:val="12"/>
                <w:szCs w:val="12"/>
                <w:lang w:val="en-US" w:eastAsia="mk-MK"/>
              </w:rPr>
              <w:t>Introducing</w:t>
            </w:r>
            <w:r w:rsidR="009E10D3" w:rsidRPr="008C761D">
              <w:rPr>
                <w:rFonts w:ascii="Arial" w:eastAsia="Times New Roman" w:hAnsi="Arial" w:cs="Arial"/>
                <w:b/>
                <w:bCs/>
                <w:sz w:val="12"/>
                <w:szCs w:val="12"/>
                <w:lang w:val="en-US" w:eastAsia="mk-MK"/>
              </w:rPr>
              <w:t xml:space="preserve"> </w:t>
            </w:r>
            <w:r w:rsidR="004F0DB1" w:rsidRPr="008C761D">
              <w:rPr>
                <w:rFonts w:ascii="Arial" w:eastAsia="Times New Roman" w:hAnsi="Arial" w:cs="Arial"/>
                <w:b/>
                <w:bCs/>
                <w:sz w:val="12"/>
                <w:szCs w:val="12"/>
                <w:lang w:val="en-US" w:eastAsia="mk-MK"/>
              </w:rPr>
              <w:t>performance</w:t>
            </w:r>
            <w:r w:rsidR="009E10D3" w:rsidRPr="008C761D">
              <w:rPr>
                <w:rFonts w:ascii="Arial" w:eastAsia="Times New Roman" w:hAnsi="Arial" w:cs="Arial"/>
                <w:b/>
                <w:bCs/>
                <w:sz w:val="12"/>
                <w:szCs w:val="12"/>
                <w:lang w:val="en-US" w:eastAsia="mk-MK"/>
              </w:rPr>
              <w:t xml:space="preserve"> </w:t>
            </w:r>
            <w:r w:rsidR="004F0DB1" w:rsidRPr="008C761D">
              <w:rPr>
                <w:rFonts w:ascii="Arial" w:eastAsia="Times New Roman" w:hAnsi="Arial" w:cs="Arial"/>
                <w:b/>
                <w:bCs/>
                <w:sz w:val="12"/>
                <w:szCs w:val="12"/>
                <w:lang w:val="en-US" w:eastAsia="mk-MK"/>
              </w:rPr>
              <w:t>based</w:t>
            </w:r>
            <w:r w:rsidR="009E10D3" w:rsidRPr="008C761D">
              <w:rPr>
                <w:rFonts w:ascii="Arial" w:eastAsia="Times New Roman" w:hAnsi="Arial" w:cs="Arial"/>
                <w:b/>
                <w:bCs/>
                <w:sz w:val="12"/>
                <w:szCs w:val="12"/>
                <w:lang w:val="en-US" w:eastAsia="mk-MK"/>
              </w:rPr>
              <w:t xml:space="preserve"> </w:t>
            </w:r>
            <w:proofErr w:type="gramStart"/>
            <w:r w:rsidR="004F0DB1" w:rsidRPr="008C761D">
              <w:rPr>
                <w:rFonts w:ascii="Arial" w:eastAsia="Times New Roman" w:hAnsi="Arial" w:cs="Arial"/>
                <w:b/>
                <w:bCs/>
                <w:sz w:val="12"/>
                <w:szCs w:val="12"/>
                <w:lang w:val="en-US" w:eastAsia="mk-MK"/>
              </w:rPr>
              <w:t>budget</w:t>
            </w:r>
            <w:r w:rsidR="009E10D3" w:rsidRPr="008C761D">
              <w:rPr>
                <w:rFonts w:ascii="Arial" w:eastAsia="Times New Roman" w:hAnsi="Arial" w:cs="Arial"/>
                <w:b/>
                <w:bCs/>
                <w:sz w:val="12"/>
                <w:szCs w:val="12"/>
                <w:lang w:val="en-US" w:eastAsia="mk-MK"/>
              </w:rPr>
              <w:t xml:space="preserve"> </w:t>
            </w:r>
            <w:r w:rsidR="00C71286" w:rsidRPr="00C71286">
              <w:rPr>
                <w:rFonts w:ascii="Arial" w:eastAsia="Times New Roman" w:hAnsi="Arial" w:cs="Arial"/>
                <w:b/>
                <w:bCs/>
                <w:sz w:val="12"/>
                <w:szCs w:val="12"/>
                <w:lang w:val="en-US" w:eastAsia="mk-MK"/>
              </w:rPr>
              <w:t xml:space="preserve"> (</w:t>
            </w:r>
            <w:proofErr w:type="gramEnd"/>
            <w:r w:rsidR="00C71286" w:rsidRPr="00C71286">
              <w:rPr>
                <w:rFonts w:ascii="Arial" w:eastAsia="Times New Roman" w:hAnsi="Arial" w:cs="Arial"/>
                <w:b/>
                <w:bCs/>
                <w:sz w:val="12"/>
                <w:szCs w:val="12"/>
                <w:lang w:val="en-US" w:eastAsia="mk-MK"/>
              </w:rPr>
              <w:t>value for money)</w:t>
            </w:r>
          </w:p>
        </w:tc>
      </w:tr>
      <w:tr w:rsidR="00485BAA" w:rsidRPr="008C761D" w14:paraId="4FA27435" w14:textId="77777777" w:rsidTr="003F623B">
        <w:trPr>
          <w:gridBefore w:val="1"/>
          <w:gridAfter w:val="1"/>
          <w:wBefore w:w="17" w:type="dxa"/>
          <w:wAfter w:w="180" w:type="dxa"/>
          <w:trHeight w:val="390"/>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4C2CDE6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705C4B16" w14:textId="63A48C6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FB98401" w14:textId="3AABCBC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2B09DB5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C2E1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42FEB8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D6A5A0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40B9D4C"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C9E4AA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C2E1E" w:rsidRPr="008C761D">
              <w:rPr>
                <w:rFonts w:ascii="Arial" w:eastAsia="Times New Roman" w:hAnsi="Arial" w:cs="Arial"/>
                <w:b/>
                <w:bCs/>
                <w:sz w:val="12"/>
                <w:szCs w:val="12"/>
                <w:lang w:val="en-US" w:eastAsia="mk-MK"/>
              </w:rPr>
              <w:t>7</w:t>
            </w:r>
          </w:p>
        </w:tc>
      </w:tr>
      <w:tr w:rsidR="004F0DB1" w:rsidRPr="008C761D" w14:paraId="10328017" w14:textId="77777777" w:rsidTr="003F623B">
        <w:trPr>
          <w:gridBefore w:val="1"/>
          <w:gridAfter w:val="1"/>
          <w:wBefore w:w="17" w:type="dxa"/>
          <w:wAfter w:w="180" w:type="dxa"/>
          <w:trHeight w:val="289"/>
          <w:jc w:val="center"/>
        </w:trPr>
        <w:tc>
          <w:tcPr>
            <w:tcW w:w="2368" w:type="dxa"/>
            <w:gridSpan w:val="6"/>
            <w:vMerge/>
            <w:tcBorders>
              <w:top w:val="nil"/>
              <w:left w:val="nil"/>
              <w:bottom w:val="nil"/>
              <w:right w:val="single" w:sz="8" w:space="0" w:color="000000"/>
            </w:tcBorders>
            <w:vAlign w:val="center"/>
            <w:hideMark/>
          </w:tcPr>
          <w:p w14:paraId="2650EE0C" w14:textId="77777777" w:rsidR="004F0DB1" w:rsidRPr="008C761D" w:rsidRDefault="004F0DB1" w:rsidP="004F0DB1">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9C8FF34" w14:textId="52375B7D" w:rsidR="004F0DB1" w:rsidRPr="008C761D" w:rsidRDefault="004F0DB1" w:rsidP="004F0DB1">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w:t>
            </w:r>
            <w:r w:rsidR="000D20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0D20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capital</w:t>
            </w:r>
            <w:r w:rsidR="000D20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w:t>
            </w:r>
            <w:r w:rsidR="000D20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total</w:t>
            </w:r>
            <w:r w:rsidR="000D20D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expenditures</w:t>
            </w:r>
          </w:p>
        </w:tc>
        <w:tc>
          <w:tcPr>
            <w:tcW w:w="1194" w:type="dxa"/>
            <w:gridSpan w:val="3"/>
            <w:shd w:val="clear" w:color="000000" w:fill="FFFF99"/>
            <w:vAlign w:val="center"/>
            <w:hideMark/>
          </w:tcPr>
          <w:p w14:paraId="7EF3343F" w14:textId="77777777" w:rsidR="004F0DB1" w:rsidRPr="008C761D" w:rsidRDefault="004F0DB1" w:rsidP="004F0DB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p>
        </w:tc>
        <w:tc>
          <w:tcPr>
            <w:tcW w:w="1418" w:type="dxa"/>
            <w:gridSpan w:val="2"/>
            <w:shd w:val="clear" w:color="000000" w:fill="FFFF99"/>
            <w:hideMark/>
          </w:tcPr>
          <w:p w14:paraId="5328443B" w14:textId="3CA1C5B2" w:rsidR="004F0DB1" w:rsidRPr="008C761D" w:rsidRDefault="006A55CA" w:rsidP="004F0DB1">
            <w:pPr>
              <w:spacing w:after="0" w:line="240" w:lineRule="auto"/>
              <w:jc w:val="center"/>
              <w:rPr>
                <w:rFonts w:ascii="Arial" w:eastAsia="Times New Roman" w:hAnsi="Arial" w:cs="Arial"/>
                <w:sz w:val="12"/>
                <w:szCs w:val="12"/>
                <w:lang w:val="en-US" w:eastAsia="mk-MK"/>
              </w:rPr>
            </w:pPr>
            <w:r w:rsidRPr="008C761D">
              <w:rPr>
                <w:sz w:val="12"/>
                <w:szCs w:val="12"/>
                <w:lang w:val="en-US"/>
              </w:rPr>
              <w:t>11.4 %</w:t>
            </w:r>
          </w:p>
        </w:tc>
        <w:tc>
          <w:tcPr>
            <w:tcW w:w="1644" w:type="dxa"/>
            <w:gridSpan w:val="3"/>
            <w:shd w:val="clear" w:color="000000" w:fill="FFFF99"/>
            <w:hideMark/>
          </w:tcPr>
          <w:p w14:paraId="4ACE6246" w14:textId="73FC26D9" w:rsidR="004F0DB1" w:rsidRPr="008C761D" w:rsidRDefault="006A55CA" w:rsidP="004F0DB1">
            <w:pPr>
              <w:spacing w:after="0" w:line="240" w:lineRule="auto"/>
              <w:jc w:val="center"/>
              <w:rPr>
                <w:rFonts w:ascii="Arial" w:eastAsia="Times New Roman" w:hAnsi="Arial" w:cs="Arial"/>
                <w:sz w:val="12"/>
                <w:szCs w:val="12"/>
                <w:lang w:val="en-US" w:eastAsia="mk-MK"/>
              </w:rPr>
            </w:pPr>
            <w:r w:rsidRPr="008C761D">
              <w:rPr>
                <w:sz w:val="12"/>
                <w:szCs w:val="12"/>
                <w:lang w:val="en-US"/>
              </w:rPr>
              <w:t>14,8%</w:t>
            </w:r>
          </w:p>
        </w:tc>
        <w:tc>
          <w:tcPr>
            <w:tcW w:w="1758" w:type="dxa"/>
            <w:gridSpan w:val="2"/>
            <w:shd w:val="clear" w:color="000000" w:fill="FFFF99"/>
            <w:hideMark/>
          </w:tcPr>
          <w:p w14:paraId="6A9D0546" w14:textId="01310A56" w:rsidR="004F0DB1" w:rsidRPr="008C761D" w:rsidRDefault="006A55CA" w:rsidP="004F0DB1">
            <w:pPr>
              <w:spacing w:after="0" w:line="240" w:lineRule="auto"/>
              <w:jc w:val="center"/>
              <w:rPr>
                <w:rFonts w:ascii="Arial" w:eastAsia="Times New Roman" w:hAnsi="Arial" w:cs="Arial"/>
                <w:sz w:val="12"/>
                <w:szCs w:val="12"/>
                <w:lang w:val="en-US" w:eastAsia="mk-MK"/>
              </w:rPr>
            </w:pPr>
            <w:r w:rsidRPr="008C761D">
              <w:rPr>
                <w:sz w:val="12"/>
                <w:szCs w:val="12"/>
                <w:lang w:val="en-US"/>
              </w:rPr>
              <w:t xml:space="preserve">15.0% </w:t>
            </w:r>
          </w:p>
        </w:tc>
        <w:tc>
          <w:tcPr>
            <w:tcW w:w="1842" w:type="dxa"/>
            <w:gridSpan w:val="3"/>
            <w:shd w:val="clear" w:color="000000" w:fill="FFFF99"/>
            <w:hideMark/>
          </w:tcPr>
          <w:p w14:paraId="24E03336" w14:textId="6EFF1BB6" w:rsidR="004F0DB1" w:rsidRPr="008C761D" w:rsidRDefault="006A55CA" w:rsidP="004F0DB1">
            <w:pPr>
              <w:spacing w:after="0" w:line="240" w:lineRule="auto"/>
              <w:jc w:val="center"/>
              <w:rPr>
                <w:rFonts w:ascii="Arial" w:eastAsia="Times New Roman" w:hAnsi="Arial" w:cs="Arial"/>
                <w:sz w:val="12"/>
                <w:szCs w:val="12"/>
                <w:lang w:val="en-US" w:eastAsia="mk-MK"/>
              </w:rPr>
            </w:pPr>
            <w:r w:rsidRPr="008C761D">
              <w:rPr>
                <w:sz w:val="12"/>
                <w:szCs w:val="12"/>
                <w:lang w:val="en-US"/>
              </w:rPr>
              <w:t xml:space="preserve">16.1% </w:t>
            </w:r>
          </w:p>
        </w:tc>
        <w:tc>
          <w:tcPr>
            <w:tcW w:w="1506" w:type="dxa"/>
            <w:gridSpan w:val="3"/>
            <w:shd w:val="clear" w:color="000000" w:fill="FFFF99"/>
            <w:hideMark/>
          </w:tcPr>
          <w:p w14:paraId="48195DDB" w14:textId="1DDAAA9F" w:rsidR="004F0DB1" w:rsidRPr="008C761D" w:rsidRDefault="006A55CA" w:rsidP="004F0DB1">
            <w:pPr>
              <w:spacing w:after="0" w:line="240" w:lineRule="auto"/>
              <w:jc w:val="center"/>
              <w:rPr>
                <w:rFonts w:ascii="Arial" w:eastAsia="Times New Roman" w:hAnsi="Arial" w:cs="Arial"/>
                <w:sz w:val="12"/>
                <w:szCs w:val="12"/>
                <w:lang w:val="en-US" w:eastAsia="mk-MK"/>
              </w:rPr>
            </w:pPr>
            <w:r w:rsidRPr="008C761D">
              <w:rPr>
                <w:sz w:val="12"/>
                <w:szCs w:val="12"/>
                <w:lang w:val="en-US"/>
              </w:rPr>
              <w:t xml:space="preserve">16.6% </w:t>
            </w:r>
          </w:p>
        </w:tc>
      </w:tr>
      <w:tr w:rsidR="00485BAA" w:rsidRPr="008C761D" w14:paraId="18947FCF" w14:textId="77777777" w:rsidTr="003F623B">
        <w:trPr>
          <w:gridBefore w:val="1"/>
          <w:gridAfter w:val="1"/>
          <w:wBefore w:w="17" w:type="dxa"/>
          <w:wAfter w:w="180" w:type="dxa"/>
          <w:trHeight w:val="264"/>
          <w:jc w:val="center"/>
        </w:trPr>
        <w:tc>
          <w:tcPr>
            <w:tcW w:w="2368" w:type="dxa"/>
            <w:gridSpan w:val="6"/>
            <w:vMerge/>
            <w:tcBorders>
              <w:top w:val="nil"/>
              <w:left w:val="nil"/>
              <w:bottom w:val="nil"/>
              <w:right w:val="single" w:sz="8" w:space="0" w:color="000000"/>
            </w:tcBorders>
            <w:vAlign w:val="center"/>
            <w:hideMark/>
          </w:tcPr>
          <w:p w14:paraId="7C68AA8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000000" w:fill="9BD2ED"/>
            <w:vAlign w:val="center"/>
            <w:hideMark/>
          </w:tcPr>
          <w:p w14:paraId="5663C5E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CAC114C" w14:textId="6BB4474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00207D69" w14:textId="7E1FA0B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977CEBA" w14:textId="1E66A88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0442AE8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0D2D7989" w14:textId="47E7EEFB"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3C4B7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49C3B1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DEEB854" w14:textId="77777777" w:rsidTr="003F623B">
        <w:trPr>
          <w:gridBefore w:val="1"/>
          <w:gridAfter w:val="1"/>
          <w:wBefore w:w="17" w:type="dxa"/>
          <w:wAfter w:w="180" w:type="dxa"/>
          <w:trHeight w:val="950"/>
          <w:jc w:val="center"/>
        </w:trPr>
        <w:tc>
          <w:tcPr>
            <w:tcW w:w="2368" w:type="dxa"/>
            <w:gridSpan w:val="6"/>
            <w:vMerge/>
            <w:tcBorders>
              <w:top w:val="nil"/>
              <w:left w:val="nil"/>
              <w:bottom w:val="nil"/>
              <w:right w:val="single" w:sz="8" w:space="0" w:color="000000"/>
            </w:tcBorders>
            <w:vAlign w:val="center"/>
            <w:hideMark/>
          </w:tcPr>
          <w:p w14:paraId="13F7EB7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911D23C" w14:textId="30688154" w:rsidR="00485BAA" w:rsidRPr="008C761D" w:rsidRDefault="003C4B7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Developing of multi-year indicators for measuring the success in the implementation of budget policies  </w:t>
            </w:r>
          </w:p>
        </w:tc>
        <w:tc>
          <w:tcPr>
            <w:tcW w:w="1194" w:type="dxa"/>
            <w:gridSpan w:val="3"/>
            <w:shd w:val="clear" w:color="000000" w:fill="FFFF99"/>
            <w:vAlign w:val="center"/>
            <w:hideMark/>
          </w:tcPr>
          <w:p w14:paraId="2BBB07A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1C2E1E"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1C2E1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4120C8C3" w14:textId="7CD5EAA0"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r w:rsidRPr="008C761D" w:rsidDel="00263A7B">
              <w:rPr>
                <w:rFonts w:ascii="Arial" w:eastAsia="Times New Roman" w:hAnsi="Arial" w:cs="Arial"/>
                <w:sz w:val="12"/>
                <w:szCs w:val="12"/>
                <w:lang w:val="en-US" w:eastAsia="mk-MK"/>
              </w:rPr>
              <w:t xml:space="preserve"> </w:t>
            </w:r>
            <w:r>
              <w:rPr>
                <w:rFonts w:ascii="Arial" w:eastAsia="Times New Roman" w:hAnsi="Arial" w:cs="Arial"/>
                <w:sz w:val="12"/>
                <w:szCs w:val="12"/>
                <w:lang w:val="en-US" w:eastAsia="mk-MK"/>
              </w:rPr>
              <w:t xml:space="preserve">and </w:t>
            </w:r>
            <w:r w:rsidR="00485BAA" w:rsidRPr="008C761D">
              <w:rPr>
                <w:rFonts w:ascii="Arial" w:eastAsia="Times New Roman" w:hAnsi="Arial" w:cs="Arial"/>
                <w:sz w:val="12"/>
                <w:szCs w:val="12"/>
                <w:lang w:val="en-US" w:eastAsia="mk-MK"/>
              </w:rPr>
              <w:t>Gov.</w:t>
            </w:r>
          </w:p>
        </w:tc>
        <w:tc>
          <w:tcPr>
            <w:tcW w:w="1644" w:type="dxa"/>
            <w:gridSpan w:val="3"/>
            <w:shd w:val="clear" w:color="000000" w:fill="FFFF99"/>
            <w:vAlign w:val="center"/>
            <w:hideMark/>
          </w:tcPr>
          <w:p w14:paraId="21C2C4CC" w14:textId="73737B3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users/PE/JSC/LSGu</w:t>
            </w:r>
          </w:p>
        </w:tc>
        <w:tc>
          <w:tcPr>
            <w:tcW w:w="1758" w:type="dxa"/>
            <w:gridSpan w:val="2"/>
            <w:shd w:val="clear" w:color="000000" w:fill="FFFF99"/>
            <w:vAlign w:val="center"/>
            <w:hideMark/>
          </w:tcPr>
          <w:p w14:paraId="4804856C" w14:textId="0FEFBCC8" w:rsidR="00485BAA" w:rsidRPr="008C761D" w:rsidRDefault="009E10D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136,000</w:t>
            </w:r>
          </w:p>
        </w:tc>
        <w:tc>
          <w:tcPr>
            <w:tcW w:w="1842" w:type="dxa"/>
            <w:gridSpan w:val="3"/>
            <w:shd w:val="clear" w:color="000000" w:fill="FFFF99"/>
            <w:vAlign w:val="center"/>
            <w:hideMark/>
          </w:tcPr>
          <w:p w14:paraId="4A67EA1D" w14:textId="7B53A468" w:rsidR="000D20D0" w:rsidRPr="008C761D" w:rsidRDefault="000D20D0" w:rsidP="000D20D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 Treasury, IMF, World Bank</w:t>
            </w:r>
          </w:p>
          <w:p w14:paraId="707F6CBA" w14:textId="212959D4" w:rsidR="004F0DB1" w:rsidRPr="008C761D" w:rsidRDefault="004F0DB1" w:rsidP="004F0DB1">
            <w:pPr>
              <w:spacing w:after="0" w:line="240" w:lineRule="auto"/>
              <w:jc w:val="center"/>
              <w:rPr>
                <w:rFonts w:ascii="Arial" w:eastAsia="Times New Roman" w:hAnsi="Arial" w:cs="Arial"/>
                <w:sz w:val="12"/>
                <w:szCs w:val="12"/>
                <w:lang w:val="en-US" w:eastAsia="mk-MK"/>
              </w:rPr>
            </w:pPr>
          </w:p>
          <w:p w14:paraId="637B1C5F" w14:textId="151DF6A5"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04FC4BA5" w14:textId="697E284B"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11024144" w14:textId="77777777" w:rsidTr="003F623B">
        <w:trPr>
          <w:gridBefore w:val="1"/>
          <w:gridAfter w:val="1"/>
          <w:wBefore w:w="17" w:type="dxa"/>
          <w:wAfter w:w="180" w:type="dxa"/>
          <w:trHeight w:val="547"/>
          <w:jc w:val="center"/>
        </w:trPr>
        <w:tc>
          <w:tcPr>
            <w:tcW w:w="1288" w:type="dxa"/>
            <w:gridSpan w:val="3"/>
            <w:tcBorders>
              <w:top w:val="nil"/>
              <w:left w:val="nil"/>
              <w:bottom w:val="nil"/>
              <w:right w:val="nil"/>
            </w:tcBorders>
            <w:shd w:val="clear" w:color="auto" w:fill="auto"/>
            <w:vAlign w:val="center"/>
            <w:hideMark/>
          </w:tcPr>
          <w:p w14:paraId="2A2261F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0415B08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F2101EE" w14:textId="0FF98BC3" w:rsidR="00485BAA" w:rsidRPr="008C761D" w:rsidRDefault="003C4B7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Preparing procedures for monitoring the impact of sectoral policies on performance indicators</w:t>
            </w:r>
          </w:p>
        </w:tc>
        <w:tc>
          <w:tcPr>
            <w:tcW w:w="1194" w:type="dxa"/>
            <w:gridSpan w:val="3"/>
            <w:shd w:val="clear" w:color="000000" w:fill="FFFF99"/>
            <w:vAlign w:val="center"/>
            <w:hideMark/>
          </w:tcPr>
          <w:p w14:paraId="4053E2B9" w14:textId="21C7EED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0D20D0"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-202</w:t>
            </w:r>
            <w:r w:rsidR="000D20D0"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6D2DB62F" w14:textId="359707CB"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r w:rsidRPr="008C761D" w:rsidDel="00263A7B">
              <w:rPr>
                <w:rFonts w:ascii="Arial" w:eastAsia="Times New Roman" w:hAnsi="Arial" w:cs="Arial"/>
                <w:sz w:val="12"/>
                <w:szCs w:val="12"/>
                <w:lang w:val="en-US" w:eastAsia="mk-MK"/>
              </w:rPr>
              <w:t xml:space="preserve"> </w:t>
            </w:r>
            <w:r>
              <w:rPr>
                <w:rFonts w:ascii="Arial" w:eastAsia="Times New Roman" w:hAnsi="Arial" w:cs="Arial"/>
                <w:sz w:val="12"/>
                <w:szCs w:val="12"/>
                <w:lang w:val="en-US" w:eastAsia="mk-MK"/>
              </w:rPr>
              <w:t xml:space="preserve">and </w:t>
            </w:r>
            <w:r w:rsidR="00485BAA" w:rsidRPr="008C761D">
              <w:rPr>
                <w:rFonts w:ascii="Arial" w:eastAsia="Times New Roman" w:hAnsi="Arial" w:cs="Arial"/>
                <w:sz w:val="12"/>
                <w:szCs w:val="12"/>
                <w:lang w:val="en-US" w:eastAsia="mk-MK"/>
              </w:rPr>
              <w:t>Gov.</w:t>
            </w:r>
          </w:p>
        </w:tc>
        <w:tc>
          <w:tcPr>
            <w:tcW w:w="1644" w:type="dxa"/>
            <w:gridSpan w:val="3"/>
            <w:shd w:val="clear" w:color="000000" w:fill="FFFF99"/>
            <w:vAlign w:val="center"/>
            <w:hideMark/>
          </w:tcPr>
          <w:p w14:paraId="0DB32742" w14:textId="304A38AF"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3C4B70"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users/PE/JSC/LSGu</w:t>
            </w:r>
          </w:p>
        </w:tc>
        <w:tc>
          <w:tcPr>
            <w:tcW w:w="1758" w:type="dxa"/>
            <w:gridSpan w:val="2"/>
            <w:shd w:val="clear" w:color="000000" w:fill="FFFF99"/>
            <w:vAlign w:val="center"/>
            <w:hideMark/>
          </w:tcPr>
          <w:p w14:paraId="2CF5BDF5" w14:textId="684B44A7" w:rsidR="00485BAA" w:rsidRPr="008C761D" w:rsidRDefault="009E10D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30,000</w:t>
            </w:r>
          </w:p>
        </w:tc>
        <w:tc>
          <w:tcPr>
            <w:tcW w:w="1842" w:type="dxa"/>
            <w:gridSpan w:val="3"/>
            <w:shd w:val="clear" w:color="000000" w:fill="FFFF99"/>
            <w:vAlign w:val="center"/>
            <w:hideMark/>
          </w:tcPr>
          <w:p w14:paraId="6A853592" w14:textId="15785C85" w:rsidR="004F0DB1" w:rsidRPr="008C761D" w:rsidRDefault="000D20D0" w:rsidP="004F0DB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IMF, World Bank</w:t>
            </w:r>
          </w:p>
          <w:p w14:paraId="13650C84" w14:textId="4923FD3E"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269DDBB4" w14:textId="0E7819AE"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7755BE" w:rsidRPr="008C761D" w14:paraId="041E1B37" w14:textId="77777777" w:rsidTr="003F623B">
        <w:trPr>
          <w:gridAfter w:val="1"/>
          <w:wAfter w:w="180" w:type="dxa"/>
          <w:trHeight w:val="209"/>
          <w:jc w:val="center"/>
        </w:trPr>
        <w:tc>
          <w:tcPr>
            <w:tcW w:w="13518" w:type="dxa"/>
            <w:gridSpan w:val="26"/>
            <w:shd w:val="clear" w:color="000000" w:fill="9BD2ED"/>
            <w:vAlign w:val="center"/>
            <w:hideMark/>
          </w:tcPr>
          <w:p w14:paraId="6882FC83" w14:textId="3ED9928B" w:rsidR="007755BE" w:rsidRPr="008C761D" w:rsidRDefault="007755BE" w:rsidP="00497F2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lastRenderedPageBreak/>
              <w:t>Measure</w:t>
            </w:r>
            <w:r w:rsidR="00577A56">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4</w:t>
            </w:r>
            <w:r w:rsidR="00577A56">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Spending</w:t>
            </w:r>
            <w:r w:rsidR="00FF6D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review</w:t>
            </w:r>
          </w:p>
        </w:tc>
      </w:tr>
      <w:tr w:rsidR="007755BE" w:rsidRPr="008C761D" w14:paraId="621622E5" w14:textId="77777777" w:rsidTr="003F623B">
        <w:trPr>
          <w:gridAfter w:val="1"/>
          <w:wAfter w:w="180" w:type="dxa"/>
          <w:trHeight w:val="277"/>
          <w:jc w:val="center"/>
        </w:trPr>
        <w:tc>
          <w:tcPr>
            <w:tcW w:w="2385" w:type="dxa"/>
            <w:gridSpan w:val="7"/>
            <w:vMerge w:val="restart"/>
            <w:tcBorders>
              <w:top w:val="nil"/>
              <w:left w:val="nil"/>
              <w:bottom w:val="nil"/>
              <w:right w:val="single" w:sz="8" w:space="0" w:color="000000"/>
            </w:tcBorders>
            <w:shd w:val="clear" w:color="auto" w:fill="auto"/>
            <w:vAlign w:val="center"/>
            <w:hideMark/>
          </w:tcPr>
          <w:p w14:paraId="1206B67E"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693CB61" w14:textId="32B87ED4"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EEE0648" w14:textId="6AE654E5"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C73BAEA" w14:textId="77777777"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5ED69D24" w14:textId="77777777"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758" w:type="dxa"/>
            <w:gridSpan w:val="2"/>
            <w:shd w:val="clear" w:color="000000" w:fill="9BD2ED"/>
            <w:vAlign w:val="center"/>
            <w:hideMark/>
          </w:tcPr>
          <w:p w14:paraId="6A574AC3" w14:textId="77777777"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42" w:type="dxa"/>
            <w:gridSpan w:val="3"/>
            <w:shd w:val="clear" w:color="000000" w:fill="9BD2ED"/>
            <w:vAlign w:val="center"/>
            <w:hideMark/>
          </w:tcPr>
          <w:p w14:paraId="31DC0F21" w14:textId="77777777"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506" w:type="dxa"/>
            <w:gridSpan w:val="3"/>
            <w:shd w:val="clear" w:color="000000" w:fill="9BD2ED"/>
            <w:vAlign w:val="center"/>
            <w:hideMark/>
          </w:tcPr>
          <w:p w14:paraId="623D3B3B" w14:textId="77777777" w:rsidR="007755BE" w:rsidRPr="008C761D" w:rsidRDefault="007755BE" w:rsidP="00AF1506">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7755BE" w:rsidRPr="008C761D" w14:paraId="4AA49B7F" w14:textId="77777777" w:rsidTr="003F623B">
        <w:trPr>
          <w:gridAfter w:val="1"/>
          <w:wAfter w:w="180" w:type="dxa"/>
          <w:trHeight w:val="289"/>
          <w:jc w:val="center"/>
        </w:trPr>
        <w:tc>
          <w:tcPr>
            <w:tcW w:w="2385" w:type="dxa"/>
            <w:gridSpan w:val="7"/>
            <w:vMerge/>
            <w:tcBorders>
              <w:top w:val="nil"/>
              <w:left w:val="nil"/>
              <w:bottom w:val="nil"/>
              <w:right w:val="single" w:sz="8" w:space="0" w:color="000000"/>
            </w:tcBorders>
            <w:vAlign w:val="center"/>
            <w:hideMark/>
          </w:tcPr>
          <w:p w14:paraId="06458A94" w14:textId="77777777" w:rsidR="007755BE" w:rsidRPr="008C761D" w:rsidRDefault="007755BE" w:rsidP="00497F2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4E20C02" w14:textId="22FE5130" w:rsidR="007755BE" w:rsidRPr="008C761D" w:rsidRDefault="007755BE" w:rsidP="00497F2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Share of total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expenditure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 GDP</w:t>
            </w:r>
          </w:p>
        </w:tc>
        <w:tc>
          <w:tcPr>
            <w:tcW w:w="1194" w:type="dxa"/>
            <w:gridSpan w:val="3"/>
            <w:shd w:val="clear" w:color="000000" w:fill="FFFF99"/>
            <w:vAlign w:val="center"/>
            <w:hideMark/>
          </w:tcPr>
          <w:p w14:paraId="5EF38410" w14:textId="0CD16ABC"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Medium-term</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fiscal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strategy + annual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418" w:type="dxa"/>
            <w:gridSpan w:val="2"/>
            <w:shd w:val="clear" w:color="000000" w:fill="FFFF99"/>
            <w:vAlign w:val="center"/>
            <w:hideMark/>
          </w:tcPr>
          <w:p w14:paraId="3F1E43C3"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36% of GDP</w:t>
            </w:r>
          </w:p>
        </w:tc>
        <w:tc>
          <w:tcPr>
            <w:tcW w:w="1644" w:type="dxa"/>
            <w:gridSpan w:val="3"/>
            <w:shd w:val="clear" w:color="000000" w:fill="FFFF99"/>
            <w:vAlign w:val="center"/>
            <w:hideMark/>
          </w:tcPr>
          <w:p w14:paraId="071A638A"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35% of GDP</w:t>
            </w:r>
          </w:p>
        </w:tc>
        <w:tc>
          <w:tcPr>
            <w:tcW w:w="1758" w:type="dxa"/>
            <w:gridSpan w:val="2"/>
            <w:shd w:val="clear" w:color="000000" w:fill="FFFF99"/>
            <w:vAlign w:val="center"/>
            <w:hideMark/>
          </w:tcPr>
          <w:p w14:paraId="1A69547D"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34.5% of GDP</w:t>
            </w:r>
          </w:p>
        </w:tc>
        <w:tc>
          <w:tcPr>
            <w:tcW w:w="1842" w:type="dxa"/>
            <w:gridSpan w:val="3"/>
            <w:shd w:val="clear" w:color="000000" w:fill="FFFF99"/>
            <w:vAlign w:val="center"/>
            <w:hideMark/>
          </w:tcPr>
          <w:p w14:paraId="55DB1175"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34.2% of GDP</w:t>
            </w:r>
          </w:p>
        </w:tc>
        <w:tc>
          <w:tcPr>
            <w:tcW w:w="1506" w:type="dxa"/>
            <w:gridSpan w:val="3"/>
            <w:shd w:val="clear" w:color="000000" w:fill="FFFF99"/>
            <w:vAlign w:val="center"/>
            <w:hideMark/>
          </w:tcPr>
          <w:p w14:paraId="50398B5F"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33.9% of GDP</w:t>
            </w:r>
          </w:p>
        </w:tc>
      </w:tr>
      <w:tr w:rsidR="007755BE" w:rsidRPr="008C761D" w14:paraId="5EBAB67E" w14:textId="77777777" w:rsidTr="003F623B">
        <w:trPr>
          <w:gridAfter w:val="1"/>
          <w:wAfter w:w="180" w:type="dxa"/>
          <w:trHeight w:val="264"/>
          <w:jc w:val="center"/>
        </w:trPr>
        <w:tc>
          <w:tcPr>
            <w:tcW w:w="2385" w:type="dxa"/>
            <w:gridSpan w:val="7"/>
            <w:vMerge/>
            <w:tcBorders>
              <w:top w:val="nil"/>
              <w:left w:val="nil"/>
              <w:bottom w:val="nil"/>
              <w:right w:val="single" w:sz="8" w:space="0" w:color="000000"/>
            </w:tcBorders>
            <w:vAlign w:val="center"/>
            <w:hideMark/>
          </w:tcPr>
          <w:p w14:paraId="27EE24C4" w14:textId="77777777" w:rsidR="007755BE" w:rsidRPr="008C761D" w:rsidRDefault="007755BE" w:rsidP="00497F2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000000" w:fill="9BD2ED"/>
            <w:vAlign w:val="center"/>
            <w:hideMark/>
          </w:tcPr>
          <w:p w14:paraId="76052D92" w14:textId="78A3EB89"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FB226FC" w14:textId="58F8673E"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308E6F95" w14:textId="4C9D9129"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35B7F65" w14:textId="53D6B15A"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48331E7B" w14:textId="77777777"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6C2537E3" w14:textId="42103548" w:rsidR="007755BE" w:rsidRPr="008C761D" w:rsidRDefault="007755BE" w:rsidP="00497F2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ADDEC2F" w14:textId="77777777" w:rsidR="007755BE" w:rsidRPr="008C761D" w:rsidRDefault="007755BE" w:rsidP="00497F2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7755BE" w:rsidRPr="008C761D" w14:paraId="6C7D5721" w14:textId="77777777" w:rsidTr="003F623B">
        <w:trPr>
          <w:gridAfter w:val="1"/>
          <w:wAfter w:w="180" w:type="dxa"/>
          <w:trHeight w:val="950"/>
          <w:jc w:val="center"/>
        </w:trPr>
        <w:tc>
          <w:tcPr>
            <w:tcW w:w="2385" w:type="dxa"/>
            <w:gridSpan w:val="7"/>
            <w:vMerge/>
            <w:tcBorders>
              <w:top w:val="nil"/>
              <w:left w:val="nil"/>
              <w:bottom w:val="nil"/>
              <w:right w:val="single" w:sz="8" w:space="0" w:color="000000"/>
            </w:tcBorders>
            <w:vAlign w:val="center"/>
            <w:hideMark/>
          </w:tcPr>
          <w:p w14:paraId="3BF7DD82" w14:textId="77777777" w:rsidR="007755BE" w:rsidRPr="008C761D" w:rsidRDefault="007755BE" w:rsidP="00497F2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CF49C09" w14:textId="5F57A0BF" w:rsidR="00AF1506" w:rsidRPr="008C761D" w:rsidRDefault="00AF1506" w:rsidP="00AF1506">
            <w:pPr>
              <w:spacing w:after="0" w:line="240" w:lineRule="auto"/>
              <w:ind w:left="34"/>
              <w:jc w:val="both"/>
              <w:rPr>
                <w:rFonts w:cs="Calibri"/>
                <w:lang w:val="en-US"/>
              </w:rPr>
            </w:pPr>
            <w:r w:rsidRPr="008C761D">
              <w:rPr>
                <w:rFonts w:ascii="Arial" w:eastAsia="Times New Roman" w:hAnsi="Arial" w:cs="Arial"/>
                <w:sz w:val="12"/>
                <w:szCs w:val="12"/>
                <w:lang w:val="en-US" w:eastAsia="mk-MK"/>
              </w:rPr>
              <w:t>1. Build capacity at the MoF and line ministries</w:t>
            </w:r>
            <w:r w:rsidRPr="008C761D" w:rsidDel="002B0820">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conducting Spending Reviews on a regular base</w:t>
            </w:r>
          </w:p>
          <w:p w14:paraId="3A87D475" w14:textId="77777777" w:rsidR="007755BE" w:rsidRPr="008C761D" w:rsidRDefault="007755BE" w:rsidP="00497F2C">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07EE6E37"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2025-2027</w:t>
            </w:r>
          </w:p>
        </w:tc>
        <w:tc>
          <w:tcPr>
            <w:tcW w:w="1418" w:type="dxa"/>
            <w:gridSpan w:val="2"/>
            <w:shd w:val="clear" w:color="000000" w:fill="FFFF99"/>
            <w:vAlign w:val="center"/>
            <w:hideMark/>
          </w:tcPr>
          <w:p w14:paraId="6106E20F" w14:textId="7E12C066" w:rsidR="007755BE" w:rsidRPr="008C761D" w:rsidRDefault="00263A7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r w:rsidR="007755BE" w:rsidRPr="008C761D">
              <w:rPr>
                <w:rFonts w:ascii="Arial" w:eastAsia="Times New Roman" w:hAnsi="Arial" w:cs="Arial"/>
                <w:sz w:val="12"/>
                <w:szCs w:val="12"/>
                <w:lang w:val="en-US" w:eastAsia="mk-MK"/>
              </w:rPr>
              <w:t xml:space="preserve">, </w:t>
            </w:r>
            <w:r>
              <w:rPr>
                <w:rFonts w:ascii="Arial" w:eastAsia="Times New Roman" w:hAnsi="Arial" w:cs="Arial"/>
                <w:sz w:val="12"/>
                <w:szCs w:val="12"/>
                <w:lang w:val="en-US" w:eastAsia="mk-MK"/>
              </w:rPr>
              <w:t xml:space="preserve">and </w:t>
            </w:r>
            <w:r w:rsidR="007755BE" w:rsidRPr="008C761D">
              <w:rPr>
                <w:rFonts w:ascii="Arial" w:eastAsia="Times New Roman" w:hAnsi="Arial" w:cs="Arial"/>
                <w:sz w:val="12"/>
                <w:szCs w:val="12"/>
                <w:lang w:val="en-US" w:eastAsia="mk-MK"/>
              </w:rPr>
              <w:t>Gov.</w:t>
            </w:r>
          </w:p>
        </w:tc>
        <w:tc>
          <w:tcPr>
            <w:tcW w:w="1644" w:type="dxa"/>
            <w:gridSpan w:val="3"/>
            <w:shd w:val="clear" w:color="000000" w:fill="FFFF99"/>
            <w:vAlign w:val="center"/>
            <w:hideMark/>
          </w:tcPr>
          <w:p w14:paraId="601B4E7C" w14:textId="5F12F031"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users/PE/JSC/LSGu</w:t>
            </w:r>
          </w:p>
        </w:tc>
        <w:tc>
          <w:tcPr>
            <w:tcW w:w="1758" w:type="dxa"/>
            <w:gridSpan w:val="2"/>
            <w:shd w:val="clear" w:color="000000" w:fill="FFFF99"/>
            <w:vAlign w:val="center"/>
            <w:hideMark/>
          </w:tcPr>
          <w:p w14:paraId="129EE09D" w14:textId="4195D5BF" w:rsidR="007755BE" w:rsidRPr="008C761D" w:rsidRDefault="004A42B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741B9A49" w14:textId="77777777" w:rsidR="007755BE" w:rsidRPr="008C761D" w:rsidRDefault="00583C72"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61FAC5A6" w14:textId="5A3DDE80" w:rsidR="007755BE" w:rsidRPr="008C761D" w:rsidRDefault="007755BE" w:rsidP="00497F2C">
            <w:pPr>
              <w:spacing w:after="0" w:line="240" w:lineRule="auto"/>
              <w:jc w:val="center"/>
              <w:rPr>
                <w:rFonts w:ascii="Arial" w:eastAsia="Times New Roman" w:hAnsi="Arial" w:cs="Arial"/>
                <w:sz w:val="12"/>
                <w:szCs w:val="12"/>
                <w:lang w:val="en-US" w:eastAsia="mk-MK"/>
              </w:rPr>
            </w:pPr>
          </w:p>
        </w:tc>
      </w:tr>
      <w:tr w:rsidR="007755BE" w:rsidRPr="008C761D" w14:paraId="2D1ECB04" w14:textId="77777777" w:rsidTr="003F623B">
        <w:trPr>
          <w:gridAfter w:val="1"/>
          <w:wAfter w:w="180" w:type="dxa"/>
          <w:trHeight w:val="547"/>
          <w:jc w:val="center"/>
        </w:trPr>
        <w:tc>
          <w:tcPr>
            <w:tcW w:w="1305" w:type="dxa"/>
            <w:gridSpan w:val="4"/>
            <w:tcBorders>
              <w:top w:val="nil"/>
              <w:left w:val="nil"/>
              <w:bottom w:val="nil"/>
              <w:right w:val="nil"/>
            </w:tcBorders>
            <w:shd w:val="clear" w:color="auto" w:fill="auto"/>
            <w:vAlign w:val="center"/>
            <w:hideMark/>
          </w:tcPr>
          <w:p w14:paraId="1F84876C"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hideMark/>
          </w:tcPr>
          <w:p w14:paraId="3A4C0C95"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28B7B83" w14:textId="37000454" w:rsidR="007755BE" w:rsidRPr="008C761D" w:rsidRDefault="00AF1506" w:rsidP="00497F2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2. Prepare and adopt </w:t>
            </w:r>
            <w:r w:rsidR="00404D96" w:rsidRPr="008C761D">
              <w:rPr>
                <w:rFonts w:ascii="Arial" w:eastAsia="Times New Roman" w:hAnsi="Arial" w:cs="Arial"/>
                <w:sz w:val="12"/>
                <w:szCs w:val="12"/>
                <w:lang w:val="en-US" w:eastAsia="mk-MK"/>
              </w:rPr>
              <w:t>methodology</w:t>
            </w:r>
            <w:r w:rsidRPr="008C761D">
              <w:rPr>
                <w:rFonts w:ascii="Arial" w:eastAsia="Times New Roman" w:hAnsi="Arial" w:cs="Arial"/>
                <w:sz w:val="12"/>
                <w:szCs w:val="12"/>
                <w:lang w:val="en-US" w:eastAsia="mk-MK"/>
              </w:rPr>
              <w:t xml:space="preserve"> with defining criteria and procedures for conducting Spending review.</w:t>
            </w:r>
          </w:p>
        </w:tc>
        <w:tc>
          <w:tcPr>
            <w:tcW w:w="1194" w:type="dxa"/>
            <w:gridSpan w:val="3"/>
            <w:shd w:val="clear" w:color="000000" w:fill="FFFF99"/>
            <w:vAlign w:val="center"/>
            <w:hideMark/>
          </w:tcPr>
          <w:p w14:paraId="0C0DF9BB"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2025-2027</w:t>
            </w:r>
          </w:p>
        </w:tc>
        <w:tc>
          <w:tcPr>
            <w:tcW w:w="1418" w:type="dxa"/>
            <w:gridSpan w:val="2"/>
            <w:shd w:val="clear" w:color="000000" w:fill="FFFF99"/>
            <w:vAlign w:val="center"/>
            <w:hideMark/>
          </w:tcPr>
          <w:p w14:paraId="0F3223B3" w14:textId="3919B86A" w:rsidR="007755BE" w:rsidRPr="008C761D" w:rsidRDefault="00263A7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r>
              <w:rPr>
                <w:rFonts w:ascii="Arial" w:eastAsia="Times New Roman" w:hAnsi="Arial" w:cs="Arial"/>
                <w:sz w:val="12"/>
                <w:szCs w:val="12"/>
                <w:lang w:val="en-US" w:eastAsia="mk-MK"/>
              </w:rPr>
              <w:t xml:space="preserve"> and</w:t>
            </w:r>
            <w:r w:rsidR="007755BE" w:rsidRPr="008C761D">
              <w:rPr>
                <w:rFonts w:ascii="Arial" w:eastAsia="Times New Roman" w:hAnsi="Arial" w:cs="Arial"/>
                <w:sz w:val="12"/>
                <w:szCs w:val="12"/>
                <w:lang w:val="en-US" w:eastAsia="mk-MK"/>
              </w:rPr>
              <w:t xml:space="preserve"> Gov.</w:t>
            </w:r>
          </w:p>
        </w:tc>
        <w:tc>
          <w:tcPr>
            <w:tcW w:w="1644" w:type="dxa"/>
            <w:gridSpan w:val="3"/>
            <w:shd w:val="clear" w:color="000000" w:fill="FFFF99"/>
            <w:vAlign w:val="center"/>
            <w:hideMark/>
          </w:tcPr>
          <w:p w14:paraId="11903650" w14:textId="1507A1D9"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users/PE/JSC/LSGu</w:t>
            </w:r>
          </w:p>
        </w:tc>
        <w:tc>
          <w:tcPr>
            <w:tcW w:w="1758" w:type="dxa"/>
            <w:gridSpan w:val="2"/>
            <w:shd w:val="clear" w:color="000000" w:fill="FFFF99"/>
            <w:vAlign w:val="center"/>
            <w:hideMark/>
          </w:tcPr>
          <w:p w14:paraId="64805BF3" w14:textId="2C35DCB3" w:rsidR="007755BE" w:rsidRPr="008C761D" w:rsidRDefault="004A42B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B545EA8" w14:textId="77777777" w:rsidR="007755BE" w:rsidRPr="008C761D" w:rsidRDefault="00583C72"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5EC023A7" w14:textId="128DADBE" w:rsidR="007755BE" w:rsidRPr="008C761D" w:rsidRDefault="007755BE" w:rsidP="00497F2C">
            <w:pPr>
              <w:spacing w:after="0" w:line="240" w:lineRule="auto"/>
              <w:jc w:val="center"/>
              <w:rPr>
                <w:rFonts w:ascii="Arial" w:eastAsia="Times New Roman" w:hAnsi="Arial" w:cs="Arial"/>
                <w:sz w:val="12"/>
                <w:szCs w:val="12"/>
                <w:lang w:val="en-US" w:eastAsia="mk-MK"/>
              </w:rPr>
            </w:pPr>
          </w:p>
          <w:p w14:paraId="0C24A898"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p>
          <w:p w14:paraId="75648A69" w14:textId="77777777" w:rsidR="007755BE" w:rsidRPr="008C761D" w:rsidRDefault="007755B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9A22EE" w:rsidRPr="008C761D" w14:paraId="714F113B" w14:textId="77777777" w:rsidTr="003F623B">
        <w:trPr>
          <w:gridAfter w:val="1"/>
          <w:wAfter w:w="180" w:type="dxa"/>
          <w:trHeight w:val="547"/>
          <w:jc w:val="center"/>
        </w:trPr>
        <w:tc>
          <w:tcPr>
            <w:tcW w:w="1305" w:type="dxa"/>
            <w:gridSpan w:val="4"/>
            <w:tcBorders>
              <w:top w:val="nil"/>
              <w:left w:val="nil"/>
              <w:bottom w:val="nil"/>
              <w:right w:val="nil"/>
            </w:tcBorders>
            <w:shd w:val="clear" w:color="auto" w:fill="auto"/>
            <w:vAlign w:val="center"/>
          </w:tcPr>
          <w:p w14:paraId="115F2F73" w14:textId="77777777" w:rsidR="009A22EE" w:rsidRPr="008C761D" w:rsidRDefault="009A22EE" w:rsidP="00497F2C">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vAlign w:val="center"/>
          </w:tcPr>
          <w:p w14:paraId="0BABFDD6" w14:textId="77777777" w:rsidR="009A22EE" w:rsidRPr="008C761D" w:rsidRDefault="009A22EE" w:rsidP="00497F2C">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6035B0EA" w14:textId="63ECF88A" w:rsidR="009A22EE" w:rsidRPr="008C761D" w:rsidRDefault="00AF1506" w:rsidP="009A22E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3.Spending review as a basis for appropriate budgeting for the next mid-term period</w:t>
            </w:r>
          </w:p>
        </w:tc>
        <w:tc>
          <w:tcPr>
            <w:tcW w:w="1194" w:type="dxa"/>
            <w:gridSpan w:val="3"/>
            <w:shd w:val="clear" w:color="000000" w:fill="FFFF99"/>
            <w:vAlign w:val="center"/>
          </w:tcPr>
          <w:p w14:paraId="06D0E75D" w14:textId="77777777" w:rsidR="009A22EE" w:rsidRPr="008C761D" w:rsidRDefault="009A22E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2027</w:t>
            </w:r>
          </w:p>
        </w:tc>
        <w:tc>
          <w:tcPr>
            <w:tcW w:w="1418" w:type="dxa"/>
            <w:gridSpan w:val="2"/>
            <w:shd w:val="clear" w:color="000000" w:fill="FFFF99"/>
            <w:vAlign w:val="center"/>
          </w:tcPr>
          <w:p w14:paraId="174892E9" w14:textId="52340F3C" w:rsidR="009A22EE" w:rsidRPr="008C761D" w:rsidRDefault="00263A7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w:t>
            </w:r>
            <w:r w:rsidRPr="008C761D">
              <w:rPr>
                <w:rFonts w:ascii="Arial" w:eastAsia="Times New Roman" w:hAnsi="Arial" w:cs="Arial"/>
                <w:sz w:val="12"/>
                <w:szCs w:val="12"/>
                <w:lang w:val="en-US" w:eastAsia="mk-MK"/>
              </w:rPr>
              <w:t xml:space="preserve">Budget </w:t>
            </w:r>
            <w:r>
              <w:rPr>
                <w:rFonts w:ascii="Arial" w:eastAsia="Times New Roman" w:hAnsi="Arial" w:cs="Arial"/>
                <w:sz w:val="12"/>
                <w:szCs w:val="12"/>
                <w:lang w:val="en-US" w:eastAsia="mk-MK"/>
              </w:rPr>
              <w:t xml:space="preserve">and Funds </w:t>
            </w:r>
            <w:r w:rsidRPr="008C761D">
              <w:rPr>
                <w:rFonts w:ascii="Arial" w:eastAsia="Times New Roman" w:hAnsi="Arial" w:cs="Arial"/>
                <w:sz w:val="12"/>
                <w:szCs w:val="12"/>
                <w:lang w:val="en-US" w:eastAsia="mk-MK"/>
              </w:rPr>
              <w:t>Department</w:t>
            </w:r>
            <w:r>
              <w:rPr>
                <w:rFonts w:ascii="Arial" w:eastAsia="Times New Roman" w:hAnsi="Arial" w:cs="Arial"/>
                <w:sz w:val="12"/>
                <w:szCs w:val="12"/>
                <w:lang w:val="en-US" w:eastAsia="mk-MK"/>
              </w:rPr>
              <w:t xml:space="preserve"> and</w:t>
            </w:r>
            <w:r w:rsidR="009A22EE" w:rsidRPr="008C761D">
              <w:rPr>
                <w:rFonts w:ascii="Arial" w:eastAsia="Times New Roman" w:hAnsi="Arial" w:cs="Arial"/>
                <w:sz w:val="12"/>
                <w:szCs w:val="12"/>
                <w:lang w:val="en-US" w:eastAsia="mk-MK"/>
              </w:rPr>
              <w:t xml:space="preserve"> Gov.</w:t>
            </w:r>
          </w:p>
        </w:tc>
        <w:tc>
          <w:tcPr>
            <w:tcW w:w="1644" w:type="dxa"/>
            <w:gridSpan w:val="3"/>
            <w:shd w:val="clear" w:color="000000" w:fill="FFFF99"/>
            <w:vAlign w:val="center"/>
          </w:tcPr>
          <w:p w14:paraId="5638A9FE" w14:textId="60D8C1E5" w:rsidR="009A22EE" w:rsidRPr="008C761D" w:rsidRDefault="009A22EE"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users/PE/JSC/LSGu</w:t>
            </w:r>
          </w:p>
        </w:tc>
        <w:tc>
          <w:tcPr>
            <w:tcW w:w="1758" w:type="dxa"/>
            <w:gridSpan w:val="2"/>
            <w:shd w:val="clear" w:color="000000" w:fill="FFFF99"/>
            <w:vAlign w:val="center"/>
          </w:tcPr>
          <w:p w14:paraId="56DE5BB3" w14:textId="2960907A" w:rsidR="009A22EE" w:rsidRPr="008C761D" w:rsidRDefault="004A42BB"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2B70C77B" w14:textId="77777777" w:rsidR="009A22EE" w:rsidRPr="008C761D" w:rsidRDefault="00583C72" w:rsidP="00497F2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20A19147" w14:textId="604F124F" w:rsidR="009A22EE" w:rsidRPr="008C761D" w:rsidRDefault="009A22EE" w:rsidP="00497F2C">
            <w:pPr>
              <w:spacing w:after="0" w:line="240" w:lineRule="auto"/>
              <w:jc w:val="center"/>
              <w:rPr>
                <w:rFonts w:ascii="Arial" w:eastAsia="Times New Roman" w:hAnsi="Arial" w:cs="Arial"/>
                <w:sz w:val="12"/>
                <w:szCs w:val="12"/>
                <w:lang w:val="en-US" w:eastAsia="mk-MK"/>
              </w:rPr>
            </w:pPr>
          </w:p>
        </w:tc>
      </w:tr>
      <w:tr w:rsidR="00485BAA" w:rsidRPr="008C761D" w14:paraId="60C02778" w14:textId="77777777" w:rsidTr="003F623B">
        <w:trPr>
          <w:gridBefore w:val="1"/>
          <w:gridAfter w:val="1"/>
          <w:wBefore w:w="17" w:type="dxa"/>
          <w:wAfter w:w="180" w:type="dxa"/>
          <w:trHeight w:val="264"/>
          <w:jc w:val="center"/>
        </w:trPr>
        <w:tc>
          <w:tcPr>
            <w:tcW w:w="13501" w:type="dxa"/>
            <w:gridSpan w:val="25"/>
            <w:shd w:val="clear" w:color="000000" w:fill="1F3864"/>
            <w:vAlign w:val="center"/>
            <w:hideMark/>
          </w:tcPr>
          <w:p w14:paraId="0EBC16B7" w14:textId="0CDB795B"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III</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Planning</w:t>
            </w:r>
            <w:r w:rsidR="00AF1506"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AF1506"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budget</w:t>
            </w:r>
          </w:p>
        </w:tc>
      </w:tr>
      <w:tr w:rsidR="00485BAA" w:rsidRPr="008C761D" w14:paraId="7A837B59" w14:textId="77777777" w:rsidTr="003F623B">
        <w:trPr>
          <w:gridBefore w:val="1"/>
          <w:gridAfter w:val="1"/>
          <w:wBefore w:w="17" w:type="dxa"/>
          <w:wAfter w:w="180" w:type="dxa"/>
          <w:trHeight w:val="212"/>
          <w:jc w:val="center"/>
        </w:trPr>
        <w:tc>
          <w:tcPr>
            <w:tcW w:w="13501" w:type="dxa"/>
            <w:gridSpan w:val="25"/>
            <w:shd w:val="clear" w:color="000000" w:fill="1F3864"/>
            <w:vAlign w:val="center"/>
            <w:hideMark/>
          </w:tcPr>
          <w:p w14:paraId="46B72140" w14:textId="7F8ED360"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Strengthened</w:t>
            </w:r>
            <w:r w:rsidR="00AF1506"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Public</w:t>
            </w:r>
            <w:r w:rsidR="00AF1506"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Investment</w:t>
            </w:r>
            <w:r w:rsidR="00AF1506"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Management</w:t>
            </w:r>
          </w:p>
        </w:tc>
      </w:tr>
      <w:tr w:rsidR="00485BAA" w:rsidRPr="008C761D" w14:paraId="148756EC" w14:textId="77777777" w:rsidTr="003F623B">
        <w:trPr>
          <w:gridBefore w:val="1"/>
          <w:gridAfter w:val="1"/>
          <w:wBefore w:w="17" w:type="dxa"/>
          <w:wAfter w:w="180" w:type="dxa"/>
          <w:trHeight w:val="314"/>
          <w:jc w:val="center"/>
        </w:trPr>
        <w:tc>
          <w:tcPr>
            <w:tcW w:w="2368" w:type="dxa"/>
            <w:gridSpan w:val="6"/>
            <w:shd w:val="clear" w:color="000000" w:fill="9BD2ED"/>
            <w:vAlign w:val="center"/>
            <w:hideMark/>
          </w:tcPr>
          <w:p w14:paraId="2120032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64252EA7" w14:textId="2342573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17BADD0" w14:textId="4317A03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0C7C2A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15A4F"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0A8456F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20836B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02745B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DAB6D2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7</w:t>
            </w:r>
          </w:p>
        </w:tc>
      </w:tr>
      <w:tr w:rsidR="00485BAA" w:rsidRPr="008C761D" w14:paraId="351D457B" w14:textId="77777777" w:rsidTr="003F623B">
        <w:trPr>
          <w:gridBefore w:val="1"/>
          <w:gridAfter w:val="1"/>
          <w:wBefore w:w="17" w:type="dxa"/>
          <w:wAfter w:w="180" w:type="dxa"/>
          <w:trHeight w:val="446"/>
          <w:jc w:val="center"/>
        </w:trPr>
        <w:tc>
          <w:tcPr>
            <w:tcW w:w="2368" w:type="dxa"/>
            <w:gridSpan w:val="6"/>
            <w:vMerge w:val="restart"/>
            <w:shd w:val="clear" w:color="000000" w:fill="FFFF99"/>
            <w:vAlign w:val="center"/>
            <w:hideMark/>
          </w:tcPr>
          <w:p w14:paraId="271E68D6" w14:textId="4A4A96F0" w:rsidR="00485BAA" w:rsidRPr="008C761D" w:rsidRDefault="00AF150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Efficient and effective planning, selection</w:t>
            </w:r>
            <w:r w:rsidR="007163C9">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 implementation of major public investment projects</w:t>
            </w:r>
          </w:p>
        </w:tc>
        <w:tc>
          <w:tcPr>
            <w:tcW w:w="1771" w:type="dxa"/>
            <w:gridSpan w:val="3"/>
            <w:vMerge w:val="restart"/>
            <w:shd w:val="clear" w:color="000000" w:fill="FFFF99"/>
            <w:vAlign w:val="center"/>
            <w:hideMark/>
          </w:tcPr>
          <w:p w14:paraId="54A8B00F" w14:textId="4D1EE9AD" w:rsidR="00485BAA" w:rsidRPr="008C761D" w:rsidRDefault="00AF1506" w:rsidP="00D94E20">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PEFA score for indicator PI - </w:t>
            </w:r>
            <w:proofErr w:type="gramStart"/>
            <w:r w:rsidRPr="008C761D">
              <w:rPr>
                <w:rFonts w:ascii="Arial" w:eastAsia="Times New Roman" w:hAnsi="Arial" w:cs="Arial"/>
                <w:sz w:val="12"/>
                <w:szCs w:val="12"/>
                <w:lang w:val="en-US" w:eastAsia="mk-MK"/>
              </w:rPr>
              <w:t>11.Public</w:t>
            </w:r>
            <w:proofErr w:type="gramEnd"/>
            <w:r w:rsidRPr="008C761D">
              <w:rPr>
                <w:rFonts w:ascii="Arial" w:eastAsia="Times New Roman" w:hAnsi="Arial" w:cs="Arial"/>
                <w:sz w:val="12"/>
                <w:szCs w:val="12"/>
                <w:lang w:val="en-US" w:eastAsia="mk-MK"/>
              </w:rPr>
              <w:t xml:space="preserve"> Investment Management</w:t>
            </w:r>
            <w:r w:rsidRPr="008C761D">
              <w:rPr>
                <w:rFonts w:ascii="Arial" w:eastAsia="Times New Roman" w:hAnsi="Arial" w:cs="Arial"/>
                <w:sz w:val="12"/>
                <w:szCs w:val="12"/>
                <w:lang w:val="en-US" w:eastAsia="mk-MK"/>
              </w:rPr>
              <w:br/>
              <w:t xml:space="preserve">11.1. Economic analysis of investment projects </w:t>
            </w:r>
            <w:r w:rsidRPr="008C761D">
              <w:rPr>
                <w:rFonts w:ascii="Arial" w:eastAsia="Times New Roman" w:hAnsi="Arial" w:cs="Arial"/>
                <w:sz w:val="12"/>
                <w:szCs w:val="12"/>
                <w:lang w:val="en-US" w:eastAsia="mk-MK"/>
              </w:rPr>
              <w:br/>
              <w:t>11.2. Investment project selection</w:t>
            </w:r>
            <w:r w:rsidRPr="008C761D">
              <w:rPr>
                <w:rFonts w:ascii="Arial" w:eastAsia="Times New Roman" w:hAnsi="Arial" w:cs="Arial"/>
                <w:sz w:val="12"/>
                <w:szCs w:val="12"/>
                <w:lang w:val="en-US" w:eastAsia="mk-MK"/>
              </w:rPr>
              <w:br/>
              <w:t>11.3. Investment project costing</w:t>
            </w:r>
            <w:r w:rsidRPr="008C761D">
              <w:rPr>
                <w:rFonts w:ascii="Arial" w:eastAsia="Times New Roman" w:hAnsi="Arial" w:cs="Arial"/>
                <w:sz w:val="12"/>
                <w:szCs w:val="12"/>
                <w:lang w:val="en-US" w:eastAsia="mk-MK"/>
              </w:rPr>
              <w:br/>
              <w:t>11.4. Investment project monitoring</w:t>
            </w:r>
          </w:p>
        </w:tc>
        <w:tc>
          <w:tcPr>
            <w:tcW w:w="1194" w:type="dxa"/>
            <w:gridSpan w:val="3"/>
            <w:vMerge w:val="restart"/>
            <w:shd w:val="clear" w:color="000000" w:fill="FFFF99"/>
            <w:vAlign w:val="center"/>
            <w:hideMark/>
          </w:tcPr>
          <w:p w14:paraId="667712E1" w14:textId="35F75D3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PEFA Assessment</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w:t>
            </w:r>
          </w:p>
        </w:tc>
        <w:tc>
          <w:tcPr>
            <w:tcW w:w="1418" w:type="dxa"/>
            <w:gridSpan w:val="2"/>
            <w:shd w:val="clear" w:color="000000" w:fill="FFFF99"/>
            <w:vAlign w:val="center"/>
            <w:hideMark/>
          </w:tcPr>
          <w:p w14:paraId="011C1D0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PEFA Score D+</w:t>
            </w:r>
          </w:p>
        </w:tc>
        <w:tc>
          <w:tcPr>
            <w:tcW w:w="1644" w:type="dxa"/>
            <w:gridSpan w:val="3"/>
            <w:vMerge w:val="restart"/>
            <w:shd w:val="clear" w:color="000000" w:fill="FFFF99"/>
            <w:vAlign w:val="center"/>
            <w:hideMark/>
          </w:tcPr>
          <w:p w14:paraId="2E916BFB" w14:textId="1338000F"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vMerge w:val="restart"/>
            <w:shd w:val="clear" w:color="000000" w:fill="FFFF99"/>
            <w:vAlign w:val="center"/>
            <w:hideMark/>
          </w:tcPr>
          <w:p w14:paraId="3EA8E3F9" w14:textId="4E5AC02B" w:rsidR="00485BAA" w:rsidRPr="008C761D" w:rsidRDefault="00407B01" w:rsidP="00701A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vMerge w:val="restart"/>
            <w:shd w:val="clear" w:color="000000" w:fill="FFFF99"/>
            <w:vAlign w:val="center"/>
            <w:hideMark/>
          </w:tcPr>
          <w:p w14:paraId="703EA005" w14:textId="716BC468"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r w:rsidR="00485BAA"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2D8DD47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PEFA Score: </w:t>
            </w:r>
            <w:r w:rsidRPr="008C761D">
              <w:rPr>
                <w:rFonts w:ascii="Arial" w:eastAsia="Times New Roman" w:hAnsi="Arial" w:cs="Arial"/>
                <w:sz w:val="12"/>
                <w:szCs w:val="12"/>
                <w:u w:val="single"/>
                <w:lang w:val="en-US" w:eastAsia="mk-MK"/>
              </w:rPr>
              <w:t>&gt;</w:t>
            </w:r>
            <w:r w:rsidRPr="008C761D">
              <w:rPr>
                <w:rFonts w:ascii="Arial" w:eastAsia="Times New Roman" w:hAnsi="Arial" w:cs="Arial"/>
                <w:sz w:val="12"/>
                <w:szCs w:val="12"/>
                <w:lang w:val="en-US" w:eastAsia="mk-MK"/>
              </w:rPr>
              <w:t>C</w:t>
            </w:r>
          </w:p>
        </w:tc>
      </w:tr>
      <w:tr w:rsidR="00031ACD" w:rsidRPr="008C761D" w14:paraId="5E225299" w14:textId="77777777" w:rsidTr="003F623B">
        <w:trPr>
          <w:gridBefore w:val="1"/>
          <w:gridAfter w:val="1"/>
          <w:wBefore w:w="17" w:type="dxa"/>
          <w:wAfter w:w="180" w:type="dxa"/>
          <w:trHeight w:val="315"/>
          <w:jc w:val="center"/>
        </w:trPr>
        <w:tc>
          <w:tcPr>
            <w:tcW w:w="2368" w:type="dxa"/>
            <w:gridSpan w:val="6"/>
            <w:vMerge/>
            <w:vAlign w:val="center"/>
            <w:hideMark/>
          </w:tcPr>
          <w:p w14:paraId="3EFF4E8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ign w:val="center"/>
            <w:hideMark/>
          </w:tcPr>
          <w:p w14:paraId="6373AE5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67F4F72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shd w:val="clear" w:color="000000" w:fill="FFFF99"/>
            <w:vAlign w:val="center"/>
            <w:hideMark/>
          </w:tcPr>
          <w:p w14:paraId="3BBA9D6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w:t>
            </w:r>
          </w:p>
        </w:tc>
        <w:tc>
          <w:tcPr>
            <w:tcW w:w="1644" w:type="dxa"/>
            <w:gridSpan w:val="3"/>
            <w:vMerge/>
            <w:vAlign w:val="center"/>
            <w:hideMark/>
          </w:tcPr>
          <w:p w14:paraId="0135A3D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vMerge/>
            <w:vAlign w:val="center"/>
            <w:hideMark/>
          </w:tcPr>
          <w:p w14:paraId="01DBD2D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vMerge/>
            <w:vAlign w:val="center"/>
            <w:hideMark/>
          </w:tcPr>
          <w:p w14:paraId="69334FA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shd w:val="clear" w:color="000000" w:fill="FFFF99"/>
            <w:vAlign w:val="center"/>
            <w:hideMark/>
          </w:tcPr>
          <w:p w14:paraId="70829F3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&gt;C</w:t>
            </w:r>
          </w:p>
        </w:tc>
      </w:tr>
      <w:tr w:rsidR="00031ACD" w:rsidRPr="008C761D" w14:paraId="0F0B8A97" w14:textId="77777777" w:rsidTr="003F623B">
        <w:trPr>
          <w:gridBefore w:val="1"/>
          <w:gridAfter w:val="1"/>
          <w:wBefore w:w="17" w:type="dxa"/>
          <w:wAfter w:w="180" w:type="dxa"/>
          <w:trHeight w:val="315"/>
          <w:jc w:val="center"/>
        </w:trPr>
        <w:tc>
          <w:tcPr>
            <w:tcW w:w="2368" w:type="dxa"/>
            <w:gridSpan w:val="6"/>
            <w:vMerge/>
            <w:vAlign w:val="center"/>
            <w:hideMark/>
          </w:tcPr>
          <w:p w14:paraId="65C7A72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ign w:val="center"/>
            <w:hideMark/>
          </w:tcPr>
          <w:p w14:paraId="3764486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1D3A6AF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shd w:val="clear" w:color="000000" w:fill="FFFF99"/>
            <w:vAlign w:val="center"/>
            <w:hideMark/>
          </w:tcPr>
          <w:p w14:paraId="65264D8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w:t>
            </w:r>
          </w:p>
        </w:tc>
        <w:tc>
          <w:tcPr>
            <w:tcW w:w="1644" w:type="dxa"/>
            <w:gridSpan w:val="3"/>
            <w:vMerge/>
            <w:vAlign w:val="center"/>
            <w:hideMark/>
          </w:tcPr>
          <w:p w14:paraId="097874E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vMerge/>
            <w:vAlign w:val="center"/>
            <w:hideMark/>
          </w:tcPr>
          <w:p w14:paraId="6D28B0D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vMerge/>
            <w:vAlign w:val="center"/>
            <w:hideMark/>
          </w:tcPr>
          <w:p w14:paraId="4D15A89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shd w:val="clear" w:color="000000" w:fill="FFFF99"/>
            <w:vAlign w:val="center"/>
            <w:hideMark/>
          </w:tcPr>
          <w:p w14:paraId="52F1530A" w14:textId="77777777" w:rsidR="00485BAA" w:rsidRPr="008C761D" w:rsidRDefault="00485BAA" w:rsidP="00485BAA">
            <w:pPr>
              <w:spacing w:after="0" w:line="240" w:lineRule="auto"/>
              <w:jc w:val="center"/>
              <w:rPr>
                <w:rFonts w:ascii="Arial" w:eastAsia="Times New Roman" w:hAnsi="Arial" w:cs="Arial"/>
                <w:sz w:val="12"/>
                <w:szCs w:val="12"/>
                <w:u w:val="single"/>
                <w:lang w:val="en-US" w:eastAsia="mk-MK"/>
              </w:rPr>
            </w:pPr>
            <w:r w:rsidRPr="008C761D">
              <w:rPr>
                <w:rFonts w:ascii="Arial" w:eastAsia="Times New Roman" w:hAnsi="Arial" w:cs="Arial"/>
                <w:sz w:val="12"/>
                <w:szCs w:val="12"/>
                <w:u w:val="single"/>
                <w:lang w:val="en-US" w:eastAsia="mk-MK"/>
              </w:rPr>
              <w:t>&gt;</w:t>
            </w:r>
            <w:r w:rsidRPr="008C761D">
              <w:rPr>
                <w:rFonts w:ascii="Arial" w:eastAsia="Times New Roman" w:hAnsi="Arial" w:cs="Arial"/>
                <w:sz w:val="12"/>
                <w:szCs w:val="12"/>
                <w:lang w:val="en-US" w:eastAsia="mk-MK"/>
              </w:rPr>
              <w:t>C</w:t>
            </w:r>
          </w:p>
        </w:tc>
      </w:tr>
      <w:tr w:rsidR="00031ACD" w:rsidRPr="008C761D" w14:paraId="76086C1C" w14:textId="77777777" w:rsidTr="003F623B">
        <w:trPr>
          <w:gridBefore w:val="1"/>
          <w:gridAfter w:val="1"/>
          <w:wBefore w:w="17" w:type="dxa"/>
          <w:wAfter w:w="180" w:type="dxa"/>
          <w:trHeight w:val="315"/>
          <w:jc w:val="center"/>
        </w:trPr>
        <w:tc>
          <w:tcPr>
            <w:tcW w:w="2368" w:type="dxa"/>
            <w:gridSpan w:val="6"/>
            <w:vMerge/>
            <w:vAlign w:val="center"/>
            <w:hideMark/>
          </w:tcPr>
          <w:p w14:paraId="48D0822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ign w:val="center"/>
            <w:hideMark/>
          </w:tcPr>
          <w:p w14:paraId="021E981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6ABE915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shd w:val="clear" w:color="000000" w:fill="FFFF99"/>
            <w:vAlign w:val="center"/>
            <w:hideMark/>
          </w:tcPr>
          <w:p w14:paraId="2BDA734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w:t>
            </w:r>
          </w:p>
        </w:tc>
        <w:tc>
          <w:tcPr>
            <w:tcW w:w="1644" w:type="dxa"/>
            <w:gridSpan w:val="3"/>
            <w:vMerge/>
            <w:vAlign w:val="center"/>
            <w:hideMark/>
          </w:tcPr>
          <w:p w14:paraId="7686206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vMerge/>
            <w:vAlign w:val="center"/>
            <w:hideMark/>
          </w:tcPr>
          <w:p w14:paraId="1295B13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vMerge/>
            <w:vAlign w:val="center"/>
            <w:hideMark/>
          </w:tcPr>
          <w:p w14:paraId="13BC3B7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shd w:val="clear" w:color="000000" w:fill="FFFF99"/>
            <w:vAlign w:val="center"/>
            <w:hideMark/>
          </w:tcPr>
          <w:p w14:paraId="3741E55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&gt;C</w:t>
            </w:r>
          </w:p>
        </w:tc>
      </w:tr>
      <w:tr w:rsidR="00031ACD" w:rsidRPr="008C761D" w14:paraId="2E8BAACA" w14:textId="77777777" w:rsidTr="003F623B">
        <w:trPr>
          <w:gridBefore w:val="1"/>
          <w:gridAfter w:val="1"/>
          <w:wBefore w:w="17" w:type="dxa"/>
          <w:wAfter w:w="180" w:type="dxa"/>
          <w:trHeight w:val="255"/>
          <w:jc w:val="center"/>
        </w:trPr>
        <w:tc>
          <w:tcPr>
            <w:tcW w:w="2368" w:type="dxa"/>
            <w:gridSpan w:val="6"/>
            <w:vMerge/>
            <w:vAlign w:val="center"/>
            <w:hideMark/>
          </w:tcPr>
          <w:p w14:paraId="3C2853C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ign w:val="center"/>
            <w:hideMark/>
          </w:tcPr>
          <w:p w14:paraId="7222B87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390B3F1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shd w:val="clear" w:color="000000" w:fill="FFFF99"/>
            <w:vAlign w:val="center"/>
            <w:hideMark/>
          </w:tcPr>
          <w:p w14:paraId="7F7F2BA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w:t>
            </w:r>
          </w:p>
        </w:tc>
        <w:tc>
          <w:tcPr>
            <w:tcW w:w="1644" w:type="dxa"/>
            <w:gridSpan w:val="3"/>
            <w:vMerge/>
            <w:vAlign w:val="center"/>
            <w:hideMark/>
          </w:tcPr>
          <w:p w14:paraId="4CBA22D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vMerge/>
            <w:vAlign w:val="center"/>
            <w:hideMark/>
          </w:tcPr>
          <w:p w14:paraId="1BD6B00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842" w:type="dxa"/>
            <w:gridSpan w:val="3"/>
            <w:vMerge/>
            <w:vAlign w:val="center"/>
            <w:hideMark/>
          </w:tcPr>
          <w:p w14:paraId="162BB8F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shd w:val="clear" w:color="000000" w:fill="FFFF99"/>
            <w:vAlign w:val="center"/>
            <w:hideMark/>
          </w:tcPr>
          <w:p w14:paraId="2662921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&gt;C</w:t>
            </w:r>
          </w:p>
        </w:tc>
      </w:tr>
      <w:tr w:rsidR="00485BAA" w:rsidRPr="008C761D" w14:paraId="5DB522B0" w14:textId="77777777" w:rsidTr="003F623B">
        <w:trPr>
          <w:gridBefore w:val="1"/>
          <w:gridAfter w:val="1"/>
          <w:wBefore w:w="17" w:type="dxa"/>
          <w:wAfter w:w="180" w:type="dxa"/>
          <w:trHeight w:val="232"/>
          <w:jc w:val="center"/>
        </w:trPr>
        <w:tc>
          <w:tcPr>
            <w:tcW w:w="13501" w:type="dxa"/>
            <w:gridSpan w:val="25"/>
            <w:shd w:val="clear" w:color="000000" w:fill="9BD2ED"/>
            <w:vAlign w:val="center"/>
            <w:hideMark/>
          </w:tcPr>
          <w:p w14:paraId="3F23DBD4" w14:textId="499F6BCB" w:rsidR="00485BAA" w:rsidRPr="008C761D" w:rsidRDefault="009F0567"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Efficient</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coordination</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development</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public</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investment</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management</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processes</w:t>
            </w:r>
          </w:p>
        </w:tc>
      </w:tr>
      <w:tr w:rsidR="00485BAA" w:rsidRPr="008C761D" w14:paraId="37B3ECE7" w14:textId="77777777" w:rsidTr="003F623B">
        <w:trPr>
          <w:gridBefore w:val="1"/>
          <w:gridAfter w:val="1"/>
          <w:wBefore w:w="17" w:type="dxa"/>
          <w:wAfter w:w="180" w:type="dxa"/>
          <w:trHeight w:val="221"/>
          <w:jc w:val="center"/>
        </w:trPr>
        <w:tc>
          <w:tcPr>
            <w:tcW w:w="1288" w:type="dxa"/>
            <w:gridSpan w:val="3"/>
            <w:tcBorders>
              <w:top w:val="nil"/>
              <w:left w:val="nil"/>
              <w:bottom w:val="nil"/>
              <w:right w:val="nil"/>
            </w:tcBorders>
            <w:shd w:val="clear" w:color="auto" w:fill="auto"/>
            <w:noWrap/>
            <w:vAlign w:val="bottom"/>
            <w:hideMark/>
          </w:tcPr>
          <w:p w14:paraId="0900AF81"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7A599B1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5AA08AAA" w14:textId="21DFEB3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5BF4819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4E1C2B9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15A4F"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9C0058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6A0300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0A5F7AA7"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BF100A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7</w:t>
            </w:r>
          </w:p>
        </w:tc>
      </w:tr>
      <w:tr w:rsidR="00485BAA" w:rsidRPr="008C761D" w14:paraId="487E68A7" w14:textId="77777777" w:rsidTr="003F623B">
        <w:trPr>
          <w:gridBefore w:val="1"/>
          <w:gridAfter w:val="1"/>
          <w:wBefore w:w="17" w:type="dxa"/>
          <w:wAfter w:w="180" w:type="dxa"/>
          <w:trHeight w:val="390"/>
          <w:jc w:val="center"/>
        </w:trPr>
        <w:tc>
          <w:tcPr>
            <w:tcW w:w="1288" w:type="dxa"/>
            <w:gridSpan w:val="3"/>
            <w:tcBorders>
              <w:top w:val="nil"/>
              <w:left w:val="nil"/>
              <w:bottom w:val="nil"/>
              <w:right w:val="nil"/>
            </w:tcBorders>
            <w:shd w:val="clear" w:color="auto" w:fill="auto"/>
            <w:noWrap/>
            <w:vAlign w:val="bottom"/>
            <w:hideMark/>
          </w:tcPr>
          <w:p w14:paraId="0C941DA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942714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5016472"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Staff capacity of the PIM Department in the MoF</w:t>
            </w:r>
          </w:p>
          <w:p w14:paraId="51776293" w14:textId="77777777" w:rsidR="009F0567" w:rsidRPr="008C761D" w:rsidRDefault="009F0567" w:rsidP="009F0567">
            <w:pPr>
              <w:spacing w:after="0" w:line="240" w:lineRule="auto"/>
              <w:rPr>
                <w:rFonts w:ascii="Arial" w:eastAsia="Times New Roman" w:hAnsi="Arial" w:cs="Arial"/>
                <w:sz w:val="12"/>
                <w:szCs w:val="12"/>
                <w:lang w:val="en-US" w:eastAsia="mk-MK"/>
              </w:rPr>
            </w:pPr>
          </w:p>
          <w:p w14:paraId="6C0D704D" w14:textId="7A07B5FE" w:rsidR="003C20E4" w:rsidRPr="008C761D" w:rsidRDefault="009F0567"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Supporting legal framework for PIM adopted</w:t>
            </w:r>
          </w:p>
        </w:tc>
        <w:tc>
          <w:tcPr>
            <w:tcW w:w="1194" w:type="dxa"/>
            <w:gridSpan w:val="3"/>
            <w:shd w:val="clear" w:color="000000" w:fill="FFFF99"/>
            <w:vAlign w:val="center"/>
            <w:hideMark/>
          </w:tcPr>
          <w:p w14:paraId="5A9A1E13" w14:textId="14DDD886" w:rsidR="00485BAA" w:rsidRPr="008C761D" w:rsidRDefault="009F056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6580B284"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(Baseline 2023)</w:t>
            </w:r>
          </w:p>
          <w:p w14:paraId="154D5636"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6 employees</w:t>
            </w:r>
          </w:p>
          <w:p w14:paraId="52F10A71" w14:textId="77777777" w:rsidR="009F0567" w:rsidRPr="008C761D" w:rsidRDefault="009F0567" w:rsidP="009F0567">
            <w:pPr>
              <w:spacing w:after="0" w:line="240" w:lineRule="auto"/>
              <w:rPr>
                <w:rFonts w:ascii="Arial" w:eastAsia="Times New Roman" w:hAnsi="Arial" w:cs="Arial"/>
                <w:sz w:val="12"/>
                <w:szCs w:val="12"/>
                <w:lang w:val="en-US" w:eastAsia="mk-MK"/>
              </w:rPr>
            </w:pPr>
          </w:p>
          <w:p w14:paraId="042A6D11"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1 act adopted (OBL)</w:t>
            </w:r>
          </w:p>
          <w:p w14:paraId="6AA6DABF" w14:textId="1DC83AEA"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644" w:type="dxa"/>
            <w:gridSpan w:val="3"/>
            <w:shd w:val="clear" w:color="000000" w:fill="FFFF99"/>
            <w:vAlign w:val="center"/>
            <w:hideMark/>
          </w:tcPr>
          <w:p w14:paraId="1E22CCB9"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70% of planned staff engaged</w:t>
            </w:r>
          </w:p>
          <w:p w14:paraId="381487EF" w14:textId="77777777" w:rsidR="009F0567" w:rsidRPr="008C761D" w:rsidRDefault="009F0567" w:rsidP="009F0567">
            <w:pPr>
              <w:spacing w:after="0" w:line="240" w:lineRule="auto"/>
              <w:rPr>
                <w:rFonts w:ascii="Arial" w:eastAsia="Times New Roman" w:hAnsi="Arial" w:cs="Arial"/>
                <w:sz w:val="12"/>
                <w:szCs w:val="12"/>
                <w:lang w:val="en-US" w:eastAsia="mk-MK"/>
              </w:rPr>
            </w:pPr>
          </w:p>
          <w:p w14:paraId="06AFB48B" w14:textId="2588D942" w:rsidR="003C20E4" w:rsidRPr="008C761D" w:rsidRDefault="009F0567"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2 acts adopted</w:t>
            </w:r>
          </w:p>
        </w:tc>
        <w:tc>
          <w:tcPr>
            <w:tcW w:w="1758" w:type="dxa"/>
            <w:gridSpan w:val="2"/>
            <w:shd w:val="clear" w:color="000000" w:fill="FFFF99"/>
            <w:vAlign w:val="center"/>
            <w:hideMark/>
          </w:tcPr>
          <w:p w14:paraId="1DADEE5F" w14:textId="0E037FF0" w:rsidR="009F0567" w:rsidRPr="008C761D" w:rsidRDefault="00485BAA"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9F0567" w:rsidRPr="008C761D">
              <w:rPr>
                <w:rFonts w:ascii="Arial" w:eastAsia="Times New Roman" w:hAnsi="Arial" w:cs="Arial"/>
                <w:sz w:val="12"/>
                <w:szCs w:val="12"/>
                <w:lang w:val="en-US" w:eastAsia="mk-MK"/>
              </w:rPr>
              <w:t>1) 90% of planned staff engaged</w:t>
            </w:r>
          </w:p>
          <w:p w14:paraId="349E7CFE" w14:textId="77777777" w:rsidR="009F0567" w:rsidRPr="008C761D" w:rsidRDefault="009F0567" w:rsidP="009F0567">
            <w:pPr>
              <w:spacing w:after="0" w:line="240" w:lineRule="auto"/>
              <w:rPr>
                <w:rFonts w:ascii="Arial" w:eastAsia="Times New Roman" w:hAnsi="Arial" w:cs="Arial"/>
                <w:sz w:val="12"/>
                <w:szCs w:val="12"/>
                <w:lang w:val="en-US" w:eastAsia="mk-MK"/>
              </w:rPr>
            </w:pPr>
          </w:p>
          <w:p w14:paraId="3F2DE4E1" w14:textId="77777777" w:rsidR="003C20E4" w:rsidRPr="008C761D" w:rsidRDefault="009F0567"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Number of new acts adopted</w:t>
            </w:r>
          </w:p>
        </w:tc>
        <w:tc>
          <w:tcPr>
            <w:tcW w:w="1842" w:type="dxa"/>
            <w:gridSpan w:val="3"/>
            <w:shd w:val="clear" w:color="000000" w:fill="FFFF99"/>
            <w:vAlign w:val="center"/>
            <w:hideMark/>
          </w:tcPr>
          <w:p w14:paraId="5EB265F3" w14:textId="77777777" w:rsidR="003C20E4" w:rsidRPr="008C761D" w:rsidRDefault="009F0567"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100% of planned staff engaged</w:t>
            </w:r>
            <w:r w:rsidR="00485BAA" w:rsidRPr="008C761D">
              <w:rPr>
                <w:rFonts w:ascii="Arial" w:eastAsia="Times New Roman" w:hAnsi="Arial" w:cs="Arial"/>
                <w:sz w:val="12"/>
                <w:szCs w:val="12"/>
                <w:lang w:val="en-US" w:eastAsia="mk-MK"/>
              </w:rPr>
              <w:t> </w:t>
            </w:r>
          </w:p>
        </w:tc>
        <w:tc>
          <w:tcPr>
            <w:tcW w:w="1506" w:type="dxa"/>
            <w:gridSpan w:val="3"/>
            <w:shd w:val="clear" w:color="000000" w:fill="FFFF99"/>
            <w:vAlign w:val="center"/>
            <w:hideMark/>
          </w:tcPr>
          <w:p w14:paraId="7CFE0FCA" w14:textId="77777777" w:rsidR="009F0567" w:rsidRPr="008C761D" w:rsidRDefault="009F0567" w:rsidP="009F0567">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100% of planned staff engaged</w:t>
            </w:r>
          </w:p>
          <w:p w14:paraId="39B0A388" w14:textId="0BA5E387" w:rsidR="00485BAA" w:rsidRPr="008C761D" w:rsidRDefault="00485BAA" w:rsidP="00485BAA">
            <w:pPr>
              <w:spacing w:after="0" w:line="240" w:lineRule="auto"/>
              <w:jc w:val="center"/>
              <w:rPr>
                <w:rFonts w:ascii="Arial" w:eastAsia="Times New Roman" w:hAnsi="Arial" w:cs="Arial"/>
                <w:sz w:val="12"/>
                <w:szCs w:val="12"/>
                <w:u w:val="single"/>
                <w:lang w:val="en-US" w:eastAsia="mk-MK"/>
              </w:rPr>
            </w:pPr>
          </w:p>
        </w:tc>
      </w:tr>
      <w:tr w:rsidR="00485BAA" w:rsidRPr="008C761D" w14:paraId="5848C750" w14:textId="77777777" w:rsidTr="003F623B">
        <w:trPr>
          <w:gridBefore w:val="1"/>
          <w:gridAfter w:val="1"/>
          <w:wBefore w:w="17" w:type="dxa"/>
          <w:wAfter w:w="180" w:type="dxa"/>
          <w:trHeight w:val="289"/>
          <w:jc w:val="center"/>
        </w:trPr>
        <w:tc>
          <w:tcPr>
            <w:tcW w:w="1288" w:type="dxa"/>
            <w:gridSpan w:val="3"/>
            <w:tcBorders>
              <w:top w:val="nil"/>
              <w:left w:val="nil"/>
              <w:bottom w:val="nil"/>
              <w:right w:val="nil"/>
            </w:tcBorders>
            <w:shd w:val="clear" w:color="auto" w:fill="auto"/>
            <w:noWrap/>
            <w:vAlign w:val="bottom"/>
            <w:hideMark/>
          </w:tcPr>
          <w:p w14:paraId="3481BD1D" w14:textId="77777777" w:rsidR="00485BAA" w:rsidRPr="008C761D" w:rsidRDefault="00485BAA" w:rsidP="00485BAA">
            <w:pPr>
              <w:spacing w:after="0" w:line="240" w:lineRule="auto"/>
              <w:jc w:val="center"/>
              <w:rPr>
                <w:rFonts w:ascii="Arial" w:eastAsia="Times New Roman" w:hAnsi="Arial" w:cs="Arial"/>
                <w:sz w:val="12"/>
                <w:szCs w:val="12"/>
                <w:u w:val="single"/>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7040D15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1AB94E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2E7B3DE7" w14:textId="264FAC7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4902894E" w14:textId="59984B5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15A63A2" w14:textId="42900B7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03ACFFB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EDADC5C" w14:textId="5D1D2A5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4D44825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675532B8" w14:textId="77777777" w:rsidTr="003F623B">
        <w:trPr>
          <w:gridBefore w:val="1"/>
          <w:gridAfter w:val="1"/>
          <w:wBefore w:w="17" w:type="dxa"/>
          <w:wAfter w:w="180" w:type="dxa"/>
          <w:trHeight w:val="554"/>
          <w:jc w:val="center"/>
        </w:trPr>
        <w:tc>
          <w:tcPr>
            <w:tcW w:w="1288" w:type="dxa"/>
            <w:gridSpan w:val="3"/>
            <w:tcBorders>
              <w:top w:val="nil"/>
              <w:left w:val="nil"/>
              <w:bottom w:val="nil"/>
              <w:right w:val="nil"/>
            </w:tcBorders>
            <w:shd w:val="clear" w:color="auto" w:fill="auto"/>
            <w:noWrap/>
            <w:vAlign w:val="bottom"/>
            <w:hideMark/>
          </w:tcPr>
          <w:p w14:paraId="7B1334B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AD9EC2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54488E1" w14:textId="731A65BD" w:rsidR="00485BAA" w:rsidRPr="008C761D" w:rsidRDefault="00815A4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1.Strengthen the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supporting</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legal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framework</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PIM</w:t>
            </w:r>
          </w:p>
        </w:tc>
        <w:tc>
          <w:tcPr>
            <w:tcW w:w="1194" w:type="dxa"/>
            <w:gridSpan w:val="3"/>
            <w:shd w:val="clear" w:color="000000" w:fill="FFFF99"/>
            <w:vAlign w:val="center"/>
            <w:hideMark/>
          </w:tcPr>
          <w:p w14:paraId="3143DFE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815A4F"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 - 2025</w:t>
            </w:r>
          </w:p>
        </w:tc>
        <w:tc>
          <w:tcPr>
            <w:tcW w:w="1418" w:type="dxa"/>
            <w:gridSpan w:val="2"/>
            <w:shd w:val="clear" w:color="000000" w:fill="FFFF99"/>
            <w:vAlign w:val="center"/>
            <w:hideMark/>
          </w:tcPr>
          <w:p w14:paraId="13F080CD" w14:textId="2CF98F3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263A7B">
              <w:rPr>
                <w:rFonts w:ascii="Arial" w:eastAsia="Times New Roman" w:hAnsi="Arial" w:cs="Arial"/>
                <w:sz w:val="12"/>
                <w:szCs w:val="12"/>
                <w:lang w:val="en-US" w:eastAsia="mk-MK"/>
              </w:rPr>
              <w:t xml:space="preserve"> – PIM Department</w:t>
            </w:r>
          </w:p>
        </w:tc>
        <w:tc>
          <w:tcPr>
            <w:tcW w:w="1644" w:type="dxa"/>
            <w:gridSpan w:val="3"/>
            <w:shd w:val="clear" w:color="000000" w:fill="FFFF99"/>
            <w:vAlign w:val="center"/>
            <w:hideMark/>
          </w:tcPr>
          <w:p w14:paraId="0C89E595" w14:textId="2278D0A8" w:rsidR="00485BAA" w:rsidRPr="008C761D" w:rsidRDefault="00485BAA" w:rsidP="0035096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r>
            <w:r w:rsidR="009F0567" w:rsidRPr="008C761D">
              <w:rPr>
                <w:rFonts w:ascii="Arial" w:eastAsia="Times New Roman" w:hAnsi="Arial" w:cs="Arial"/>
                <w:sz w:val="12"/>
                <w:szCs w:val="12"/>
                <w:lang w:val="en-US" w:eastAsia="mk-MK"/>
              </w:rPr>
              <w:t>External</w:t>
            </w:r>
            <w:r w:rsidR="00AF1506" w:rsidRPr="008C761D">
              <w:rPr>
                <w:rFonts w:ascii="Arial" w:eastAsia="Times New Roman" w:hAnsi="Arial" w:cs="Arial"/>
                <w:sz w:val="12"/>
                <w:szCs w:val="12"/>
                <w:lang w:val="en-US" w:eastAsia="mk-MK"/>
              </w:rPr>
              <w:t xml:space="preserve"> </w:t>
            </w:r>
            <w:proofErr w:type="gramStart"/>
            <w:r w:rsidR="009F0567" w:rsidRPr="008C761D">
              <w:rPr>
                <w:rFonts w:ascii="Arial" w:eastAsia="Times New Roman" w:hAnsi="Arial" w:cs="Arial"/>
                <w:sz w:val="12"/>
                <w:szCs w:val="12"/>
                <w:lang w:val="en-US" w:eastAsia="mk-MK"/>
              </w:rPr>
              <w:t>expertise(</w:t>
            </w:r>
            <w:proofErr w:type="gramEnd"/>
            <w:r w:rsidR="009F0567" w:rsidRPr="008C761D">
              <w:rPr>
                <w:rFonts w:ascii="Arial" w:eastAsia="Times New Roman" w:hAnsi="Arial" w:cs="Arial"/>
                <w:sz w:val="12"/>
                <w:szCs w:val="12"/>
                <w:lang w:val="en-US" w:eastAsia="mk-MK"/>
              </w:rPr>
              <w:t>WB/IMF/EU)</w:t>
            </w:r>
          </w:p>
        </w:tc>
        <w:tc>
          <w:tcPr>
            <w:tcW w:w="1758" w:type="dxa"/>
            <w:gridSpan w:val="2"/>
            <w:shd w:val="clear" w:color="000000" w:fill="FFFF99"/>
            <w:vAlign w:val="center"/>
            <w:hideMark/>
          </w:tcPr>
          <w:p w14:paraId="213945F2" w14:textId="77777777" w:rsidR="00485BAA" w:rsidRPr="008C761D" w:rsidRDefault="00815A4F" w:rsidP="00DE715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30.000</w:t>
            </w:r>
          </w:p>
        </w:tc>
        <w:tc>
          <w:tcPr>
            <w:tcW w:w="1842" w:type="dxa"/>
            <w:gridSpan w:val="3"/>
            <w:shd w:val="clear" w:color="000000" w:fill="FFFF99"/>
            <w:vAlign w:val="center"/>
            <w:hideMark/>
          </w:tcPr>
          <w:p w14:paraId="2D3D0CF6" w14:textId="77777777" w:rsidR="00485BAA" w:rsidRPr="008C761D" w:rsidRDefault="00815A4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1A270E1D" w14:textId="400DC20E" w:rsidR="00485BAA" w:rsidRPr="00407B01" w:rsidRDefault="00485BAA" w:rsidP="00407B01">
            <w:pPr>
              <w:spacing w:after="0" w:line="240" w:lineRule="auto"/>
              <w:jc w:val="center"/>
              <w:rPr>
                <w:rFonts w:ascii="Arial" w:eastAsia="Times New Roman" w:hAnsi="Arial" w:cs="Arial"/>
                <w:sz w:val="12"/>
                <w:szCs w:val="12"/>
                <w:lang w:val="en-US" w:eastAsia="mk-MK"/>
              </w:rPr>
            </w:pPr>
          </w:p>
        </w:tc>
      </w:tr>
      <w:tr w:rsidR="00815A4F" w:rsidRPr="008C761D" w14:paraId="07D33052" w14:textId="77777777" w:rsidTr="003F623B">
        <w:trPr>
          <w:gridBefore w:val="1"/>
          <w:gridAfter w:val="1"/>
          <w:wBefore w:w="17" w:type="dxa"/>
          <w:wAfter w:w="180" w:type="dxa"/>
          <w:trHeight w:val="313"/>
          <w:jc w:val="center"/>
        </w:trPr>
        <w:tc>
          <w:tcPr>
            <w:tcW w:w="1288" w:type="dxa"/>
            <w:gridSpan w:val="3"/>
            <w:tcBorders>
              <w:top w:val="nil"/>
              <w:left w:val="nil"/>
              <w:bottom w:val="nil"/>
              <w:right w:val="nil"/>
            </w:tcBorders>
            <w:shd w:val="clear" w:color="auto" w:fill="auto"/>
            <w:noWrap/>
            <w:vAlign w:val="bottom"/>
          </w:tcPr>
          <w:p w14:paraId="4A87A1EC" w14:textId="77777777" w:rsidR="00815A4F" w:rsidRPr="008C761D" w:rsidRDefault="00815A4F" w:rsidP="00485BAA">
            <w:pPr>
              <w:spacing w:after="0" w:line="240" w:lineRule="auto"/>
              <w:jc w:val="both"/>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tcPr>
          <w:p w14:paraId="505BB5D9"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tcPr>
          <w:p w14:paraId="695C1AE0" w14:textId="0C0477E9" w:rsidR="00815A4F" w:rsidRPr="008C761D" w:rsidRDefault="00815A4F"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2.Strengthen the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institutional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capacity</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MoF</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 PIM system</w:t>
            </w:r>
          </w:p>
        </w:tc>
        <w:tc>
          <w:tcPr>
            <w:tcW w:w="1194" w:type="dxa"/>
            <w:gridSpan w:val="3"/>
            <w:vMerge w:val="restart"/>
            <w:shd w:val="clear" w:color="000000" w:fill="FFFF99"/>
            <w:vAlign w:val="center"/>
          </w:tcPr>
          <w:p w14:paraId="0D7FE370" w14:textId="559D4157" w:rsidR="00815A4F" w:rsidRPr="008C761D" w:rsidRDefault="00815A4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2024 - 202</w:t>
            </w:r>
            <w:r w:rsidR="00472503" w:rsidRPr="008C761D">
              <w:rPr>
                <w:rFonts w:ascii="Arial" w:eastAsia="Times New Roman" w:hAnsi="Arial" w:cs="Arial"/>
                <w:sz w:val="12"/>
                <w:szCs w:val="12"/>
                <w:lang w:val="en-US" w:eastAsia="mk-MK"/>
              </w:rPr>
              <w:t>7</w:t>
            </w:r>
          </w:p>
        </w:tc>
        <w:tc>
          <w:tcPr>
            <w:tcW w:w="1418" w:type="dxa"/>
            <w:gridSpan w:val="2"/>
            <w:vMerge w:val="restart"/>
            <w:shd w:val="clear" w:color="000000" w:fill="FFFF99"/>
            <w:vAlign w:val="center"/>
          </w:tcPr>
          <w:p w14:paraId="7E44EDEA" w14:textId="3239647D" w:rsidR="00815A4F"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vMerge w:val="restart"/>
            <w:shd w:val="clear" w:color="000000" w:fill="FFFF99"/>
            <w:vAlign w:val="center"/>
          </w:tcPr>
          <w:p w14:paraId="35682CFC" w14:textId="0FE97A8D" w:rsidR="009F0567" w:rsidRPr="008C761D" w:rsidRDefault="009F0567" w:rsidP="009F0567">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78928680" w14:textId="0CE08026" w:rsidR="00815A4F" w:rsidRPr="008C761D" w:rsidRDefault="009F0567" w:rsidP="009F0567">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(WB/IMF/EU)</w:t>
            </w:r>
          </w:p>
        </w:tc>
        <w:tc>
          <w:tcPr>
            <w:tcW w:w="1758" w:type="dxa"/>
            <w:gridSpan w:val="2"/>
            <w:vMerge w:val="restart"/>
            <w:shd w:val="clear" w:color="000000" w:fill="FFFF99"/>
            <w:vAlign w:val="center"/>
          </w:tcPr>
          <w:p w14:paraId="283EDD3B" w14:textId="1BA0E79B" w:rsidR="00815A4F" w:rsidRPr="008C761D" w:rsidRDefault="00815A4F" w:rsidP="00DE715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35</w:t>
            </w:r>
            <w:r w:rsidR="009F0567" w:rsidRPr="008C761D">
              <w:rPr>
                <w:rFonts w:ascii="Arial" w:eastAsia="Times New Roman" w:hAnsi="Arial" w:cs="Arial"/>
                <w:sz w:val="12"/>
                <w:szCs w:val="12"/>
                <w:lang w:val="en-US" w:eastAsia="mk-MK"/>
              </w:rPr>
              <w:t>0</w:t>
            </w:r>
            <w:r w:rsidRPr="008C761D">
              <w:rPr>
                <w:rFonts w:ascii="Arial" w:eastAsia="Times New Roman" w:hAnsi="Arial" w:cs="Arial"/>
                <w:sz w:val="12"/>
                <w:szCs w:val="12"/>
                <w:lang w:val="en-US" w:eastAsia="mk-MK"/>
              </w:rPr>
              <w:t>.000</w:t>
            </w:r>
          </w:p>
        </w:tc>
        <w:tc>
          <w:tcPr>
            <w:tcW w:w="1842" w:type="dxa"/>
            <w:gridSpan w:val="3"/>
            <w:shd w:val="clear" w:color="000000" w:fill="FFFF99"/>
            <w:vAlign w:val="center"/>
          </w:tcPr>
          <w:p w14:paraId="0EB9D64F" w14:textId="23AD8D05" w:rsidR="00815A4F" w:rsidRPr="008C761D" w:rsidRDefault="0047250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 budget</w:t>
            </w:r>
          </w:p>
        </w:tc>
        <w:tc>
          <w:tcPr>
            <w:tcW w:w="1506" w:type="dxa"/>
            <w:gridSpan w:val="3"/>
            <w:shd w:val="clear" w:color="000000" w:fill="FFFF99"/>
            <w:vAlign w:val="center"/>
          </w:tcPr>
          <w:p w14:paraId="0A5F5F2E" w14:textId="10F48726" w:rsidR="00815A4F" w:rsidRPr="00407B01" w:rsidRDefault="00815A4F" w:rsidP="00407B01">
            <w:pPr>
              <w:spacing w:after="0" w:line="240" w:lineRule="auto"/>
              <w:jc w:val="center"/>
              <w:rPr>
                <w:rFonts w:ascii="Arial" w:eastAsia="Times New Roman" w:hAnsi="Arial" w:cs="Arial"/>
                <w:sz w:val="12"/>
                <w:szCs w:val="12"/>
                <w:lang w:val="en-US" w:eastAsia="mk-MK"/>
              </w:rPr>
            </w:pPr>
          </w:p>
        </w:tc>
      </w:tr>
      <w:tr w:rsidR="00815A4F" w:rsidRPr="008C761D" w14:paraId="18180D42" w14:textId="77777777" w:rsidTr="003F623B">
        <w:trPr>
          <w:gridBefore w:val="1"/>
          <w:gridAfter w:val="1"/>
          <w:wBefore w:w="17" w:type="dxa"/>
          <w:wAfter w:w="180" w:type="dxa"/>
          <w:trHeight w:val="50"/>
          <w:jc w:val="center"/>
        </w:trPr>
        <w:tc>
          <w:tcPr>
            <w:tcW w:w="1288" w:type="dxa"/>
            <w:gridSpan w:val="3"/>
            <w:tcBorders>
              <w:top w:val="nil"/>
              <w:left w:val="nil"/>
              <w:bottom w:val="nil"/>
              <w:right w:val="nil"/>
            </w:tcBorders>
            <w:shd w:val="clear" w:color="auto" w:fill="auto"/>
            <w:noWrap/>
            <w:vAlign w:val="bottom"/>
            <w:hideMark/>
          </w:tcPr>
          <w:p w14:paraId="4BF16DA4" w14:textId="77777777" w:rsidR="00815A4F" w:rsidRPr="008C761D" w:rsidRDefault="00815A4F" w:rsidP="00485BAA">
            <w:pPr>
              <w:spacing w:after="0" w:line="240" w:lineRule="auto"/>
              <w:jc w:val="both"/>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807FABB"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771" w:type="dxa"/>
            <w:gridSpan w:val="3"/>
            <w:vMerge/>
            <w:tcBorders>
              <w:left w:val="single" w:sz="8" w:space="0" w:color="000000"/>
            </w:tcBorders>
            <w:shd w:val="clear" w:color="000000" w:fill="FFFF99"/>
            <w:vAlign w:val="center"/>
            <w:hideMark/>
          </w:tcPr>
          <w:p w14:paraId="352A9CB8"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194" w:type="dxa"/>
            <w:gridSpan w:val="3"/>
            <w:vMerge/>
            <w:shd w:val="clear" w:color="000000" w:fill="FFFF99"/>
            <w:vAlign w:val="center"/>
            <w:hideMark/>
          </w:tcPr>
          <w:p w14:paraId="3ECB0EF1" w14:textId="77777777" w:rsidR="00815A4F" w:rsidRPr="008C761D" w:rsidRDefault="00815A4F" w:rsidP="00485BAA">
            <w:pPr>
              <w:spacing w:after="0" w:line="240" w:lineRule="auto"/>
              <w:jc w:val="center"/>
              <w:rPr>
                <w:rFonts w:ascii="Arial" w:eastAsia="Times New Roman" w:hAnsi="Arial" w:cs="Arial"/>
                <w:sz w:val="12"/>
                <w:szCs w:val="12"/>
                <w:lang w:val="en-US" w:eastAsia="mk-MK"/>
              </w:rPr>
            </w:pPr>
          </w:p>
        </w:tc>
        <w:tc>
          <w:tcPr>
            <w:tcW w:w="1418" w:type="dxa"/>
            <w:gridSpan w:val="2"/>
            <w:vMerge/>
            <w:shd w:val="clear" w:color="000000" w:fill="FFFF99"/>
            <w:vAlign w:val="center"/>
            <w:hideMark/>
          </w:tcPr>
          <w:p w14:paraId="0F091410" w14:textId="77777777" w:rsidR="00815A4F" w:rsidRPr="008C761D" w:rsidRDefault="00815A4F" w:rsidP="00485BAA">
            <w:pPr>
              <w:spacing w:after="0" w:line="240" w:lineRule="auto"/>
              <w:jc w:val="center"/>
              <w:rPr>
                <w:rFonts w:ascii="Arial" w:eastAsia="Times New Roman" w:hAnsi="Arial" w:cs="Arial"/>
                <w:sz w:val="12"/>
                <w:szCs w:val="12"/>
                <w:lang w:val="en-US" w:eastAsia="mk-MK"/>
              </w:rPr>
            </w:pPr>
          </w:p>
        </w:tc>
        <w:tc>
          <w:tcPr>
            <w:tcW w:w="1644" w:type="dxa"/>
            <w:gridSpan w:val="3"/>
            <w:vMerge/>
            <w:shd w:val="clear" w:color="000000" w:fill="FFFF99"/>
            <w:vAlign w:val="center"/>
            <w:hideMark/>
          </w:tcPr>
          <w:p w14:paraId="6A535B7D" w14:textId="77777777" w:rsidR="00815A4F" w:rsidRPr="008C761D" w:rsidRDefault="00815A4F" w:rsidP="00485BAA">
            <w:pPr>
              <w:spacing w:after="0" w:line="240" w:lineRule="auto"/>
              <w:jc w:val="center"/>
              <w:rPr>
                <w:rFonts w:ascii="Arial" w:eastAsia="Times New Roman" w:hAnsi="Arial" w:cs="Arial"/>
                <w:sz w:val="12"/>
                <w:szCs w:val="12"/>
                <w:lang w:val="en-US" w:eastAsia="mk-MK"/>
              </w:rPr>
            </w:pPr>
          </w:p>
        </w:tc>
        <w:tc>
          <w:tcPr>
            <w:tcW w:w="1758" w:type="dxa"/>
            <w:gridSpan w:val="2"/>
            <w:vMerge/>
            <w:shd w:val="clear" w:color="000000" w:fill="FFFF99"/>
            <w:vAlign w:val="center"/>
            <w:hideMark/>
          </w:tcPr>
          <w:p w14:paraId="1AE9B4A9" w14:textId="77777777" w:rsidR="00815A4F" w:rsidRPr="008C761D" w:rsidRDefault="00815A4F" w:rsidP="00DE7154">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12C4809A" w14:textId="77777777" w:rsidR="00815A4F" w:rsidRPr="008C761D" w:rsidRDefault="00815A4F"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vMerge w:val="restart"/>
            <w:shd w:val="clear" w:color="000000" w:fill="FFFF99"/>
            <w:vAlign w:val="center"/>
            <w:hideMark/>
          </w:tcPr>
          <w:p w14:paraId="1786592F" w14:textId="0FF1887C" w:rsidR="00815A4F" w:rsidRPr="00407B01" w:rsidRDefault="00815A4F" w:rsidP="00407B01">
            <w:pPr>
              <w:spacing w:after="0" w:line="240" w:lineRule="auto"/>
              <w:jc w:val="center"/>
              <w:rPr>
                <w:rFonts w:ascii="Arial" w:eastAsia="Times New Roman" w:hAnsi="Arial" w:cs="Arial"/>
                <w:sz w:val="12"/>
                <w:szCs w:val="12"/>
                <w:lang w:val="en-US" w:eastAsia="mk-MK"/>
              </w:rPr>
            </w:pPr>
          </w:p>
        </w:tc>
      </w:tr>
      <w:tr w:rsidR="00815A4F" w:rsidRPr="008C761D" w14:paraId="6E00B614" w14:textId="77777777" w:rsidTr="003F623B">
        <w:trPr>
          <w:gridBefore w:val="1"/>
          <w:gridAfter w:val="1"/>
          <w:wBefore w:w="17" w:type="dxa"/>
          <w:wAfter w:w="180" w:type="dxa"/>
          <w:trHeight w:val="259"/>
          <w:jc w:val="center"/>
        </w:trPr>
        <w:tc>
          <w:tcPr>
            <w:tcW w:w="1288" w:type="dxa"/>
            <w:gridSpan w:val="3"/>
            <w:tcBorders>
              <w:top w:val="nil"/>
              <w:left w:val="nil"/>
              <w:bottom w:val="nil"/>
              <w:right w:val="nil"/>
            </w:tcBorders>
            <w:shd w:val="clear" w:color="auto" w:fill="auto"/>
            <w:noWrap/>
            <w:vAlign w:val="bottom"/>
            <w:hideMark/>
          </w:tcPr>
          <w:p w14:paraId="6DC164C1" w14:textId="77777777" w:rsidR="00815A4F" w:rsidRPr="008C761D" w:rsidRDefault="00815A4F"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F4340C4"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771" w:type="dxa"/>
            <w:gridSpan w:val="3"/>
            <w:vMerge/>
            <w:tcBorders>
              <w:left w:val="single" w:sz="8" w:space="0" w:color="000000"/>
            </w:tcBorders>
            <w:vAlign w:val="center"/>
            <w:hideMark/>
          </w:tcPr>
          <w:p w14:paraId="42187466"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3F3634B0"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1D90104B"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3ACDC43E"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758" w:type="dxa"/>
            <w:gridSpan w:val="2"/>
            <w:shd w:val="clear" w:color="000000" w:fill="FFFF99"/>
            <w:vAlign w:val="center"/>
            <w:hideMark/>
          </w:tcPr>
          <w:p w14:paraId="02EE64CE" w14:textId="77777777" w:rsidR="00815A4F" w:rsidRPr="008C761D" w:rsidRDefault="00815A4F" w:rsidP="00DE715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20.000</w:t>
            </w:r>
          </w:p>
        </w:tc>
        <w:tc>
          <w:tcPr>
            <w:tcW w:w="1842" w:type="dxa"/>
            <w:gridSpan w:val="3"/>
            <w:vMerge/>
            <w:vAlign w:val="center"/>
            <w:hideMark/>
          </w:tcPr>
          <w:p w14:paraId="0E9DE3FE" w14:textId="77777777" w:rsidR="00815A4F" w:rsidRPr="008C761D" w:rsidRDefault="00815A4F" w:rsidP="00485BAA">
            <w:pPr>
              <w:spacing w:after="0" w:line="240" w:lineRule="auto"/>
              <w:rPr>
                <w:rFonts w:ascii="Arial" w:eastAsia="Times New Roman" w:hAnsi="Arial" w:cs="Arial"/>
                <w:sz w:val="12"/>
                <w:szCs w:val="12"/>
                <w:lang w:val="en-US" w:eastAsia="mk-MK"/>
              </w:rPr>
            </w:pPr>
          </w:p>
        </w:tc>
        <w:tc>
          <w:tcPr>
            <w:tcW w:w="1506" w:type="dxa"/>
            <w:gridSpan w:val="3"/>
            <w:vMerge/>
            <w:vAlign w:val="center"/>
            <w:hideMark/>
          </w:tcPr>
          <w:p w14:paraId="5A4040BF" w14:textId="77777777" w:rsidR="00815A4F" w:rsidRPr="008C761D" w:rsidRDefault="00815A4F" w:rsidP="00485BAA">
            <w:pPr>
              <w:spacing w:after="0" w:line="240" w:lineRule="auto"/>
              <w:rPr>
                <w:rFonts w:ascii="Arial" w:eastAsia="Times New Roman" w:hAnsi="Arial" w:cs="Arial"/>
                <w:sz w:val="12"/>
                <w:szCs w:val="12"/>
                <w:lang w:val="en-US" w:eastAsia="mk-MK"/>
              </w:rPr>
            </w:pPr>
          </w:p>
        </w:tc>
      </w:tr>
      <w:tr w:rsidR="00485BAA" w:rsidRPr="008C761D" w14:paraId="79DE6E00" w14:textId="77777777" w:rsidTr="003F623B">
        <w:trPr>
          <w:gridBefore w:val="1"/>
          <w:gridAfter w:val="1"/>
          <w:wBefore w:w="17" w:type="dxa"/>
          <w:wAfter w:w="180" w:type="dxa"/>
          <w:trHeight w:val="205"/>
          <w:jc w:val="center"/>
        </w:trPr>
        <w:tc>
          <w:tcPr>
            <w:tcW w:w="13501" w:type="dxa"/>
            <w:gridSpan w:val="25"/>
            <w:shd w:val="clear" w:color="000000" w:fill="9BD2ED"/>
            <w:vAlign w:val="center"/>
            <w:hideMark/>
          </w:tcPr>
          <w:p w14:paraId="2C55FD2D" w14:textId="45483AEE"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lastRenderedPageBreak/>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Established</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single</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pipeline</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appraised</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capital</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public</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investment</w:t>
            </w:r>
            <w:r w:rsidR="00AF1506" w:rsidRPr="008C761D">
              <w:rPr>
                <w:rFonts w:ascii="Arial" w:eastAsia="Times New Roman" w:hAnsi="Arial" w:cs="Arial"/>
                <w:b/>
                <w:bCs/>
                <w:sz w:val="12"/>
                <w:szCs w:val="12"/>
                <w:lang w:val="en-US" w:eastAsia="mk-MK"/>
              </w:rPr>
              <w:t xml:space="preserve"> </w:t>
            </w:r>
            <w:r w:rsidR="00815A4F" w:rsidRPr="008C761D">
              <w:rPr>
                <w:rFonts w:ascii="Arial" w:eastAsia="Times New Roman" w:hAnsi="Arial" w:cs="Arial"/>
                <w:b/>
                <w:bCs/>
                <w:sz w:val="12"/>
                <w:szCs w:val="12"/>
                <w:lang w:val="en-US" w:eastAsia="mk-MK"/>
              </w:rPr>
              <w:t>projects</w:t>
            </w:r>
          </w:p>
        </w:tc>
      </w:tr>
      <w:tr w:rsidR="00485BAA" w:rsidRPr="008C761D" w14:paraId="57CDE474" w14:textId="77777777" w:rsidTr="003F623B">
        <w:trPr>
          <w:gridBefore w:val="1"/>
          <w:gridAfter w:val="1"/>
          <w:wBefore w:w="17" w:type="dxa"/>
          <w:wAfter w:w="180" w:type="dxa"/>
          <w:trHeight w:val="129"/>
          <w:jc w:val="center"/>
        </w:trPr>
        <w:tc>
          <w:tcPr>
            <w:tcW w:w="1288" w:type="dxa"/>
            <w:gridSpan w:val="3"/>
            <w:tcBorders>
              <w:top w:val="nil"/>
              <w:left w:val="nil"/>
              <w:bottom w:val="nil"/>
              <w:right w:val="nil"/>
            </w:tcBorders>
            <w:shd w:val="clear" w:color="auto" w:fill="auto"/>
            <w:noWrap/>
            <w:vAlign w:val="bottom"/>
            <w:hideMark/>
          </w:tcPr>
          <w:p w14:paraId="652F0137"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74E87B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AB8CD5E" w14:textId="2405061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EAB8C35" w14:textId="6FC8ABD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62E86E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15A4F"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1F90D0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3A7499B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63A87E2" w14:textId="77777777" w:rsidR="00485BAA" w:rsidRPr="008C761D" w:rsidRDefault="00485BAA" w:rsidP="00815A4F">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E7BA0A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5A4F" w:rsidRPr="008C761D">
              <w:rPr>
                <w:rFonts w:ascii="Arial" w:eastAsia="Times New Roman" w:hAnsi="Arial" w:cs="Arial"/>
                <w:b/>
                <w:bCs/>
                <w:sz w:val="12"/>
                <w:szCs w:val="12"/>
                <w:lang w:val="en-US" w:eastAsia="mk-MK"/>
              </w:rPr>
              <w:t>7</w:t>
            </w:r>
          </w:p>
        </w:tc>
      </w:tr>
      <w:tr w:rsidR="00485BAA" w:rsidRPr="008C761D" w14:paraId="61925511" w14:textId="77777777" w:rsidTr="003F623B">
        <w:trPr>
          <w:gridBefore w:val="1"/>
          <w:gridAfter w:val="1"/>
          <w:wBefore w:w="17" w:type="dxa"/>
          <w:wAfter w:w="180" w:type="dxa"/>
          <w:trHeight w:val="403"/>
          <w:jc w:val="center"/>
        </w:trPr>
        <w:tc>
          <w:tcPr>
            <w:tcW w:w="1288" w:type="dxa"/>
            <w:gridSpan w:val="3"/>
            <w:tcBorders>
              <w:top w:val="nil"/>
              <w:left w:val="nil"/>
              <w:bottom w:val="nil"/>
              <w:right w:val="nil"/>
            </w:tcBorders>
            <w:shd w:val="clear" w:color="auto" w:fill="auto"/>
            <w:noWrap/>
            <w:vAlign w:val="bottom"/>
            <w:hideMark/>
          </w:tcPr>
          <w:p w14:paraId="10C2172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0FFD57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1AC1D73" w14:textId="3EA73F0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Average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effectiveness</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score</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institutions 4 and 10 of PIMA</w:t>
            </w:r>
          </w:p>
        </w:tc>
        <w:tc>
          <w:tcPr>
            <w:tcW w:w="1194" w:type="dxa"/>
            <w:gridSpan w:val="3"/>
            <w:shd w:val="clear" w:color="000000" w:fill="FFFF99"/>
            <w:vAlign w:val="center"/>
            <w:hideMark/>
          </w:tcPr>
          <w:p w14:paraId="72F2B6F7" w14:textId="45698AEB" w:rsidR="00485BAA" w:rsidRPr="008C761D" w:rsidRDefault="008147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64622694" w14:textId="7EBF3110" w:rsidR="00485BAA" w:rsidRPr="008C761D" w:rsidRDefault="008147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246ED78E" w14:textId="5807C99D" w:rsidR="00485BAA" w:rsidRPr="008C761D" w:rsidRDefault="00404D96"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Cs/>
                <w:sz w:val="12"/>
                <w:szCs w:val="12"/>
                <w:lang w:val="en-US" w:eastAsia="mk-MK"/>
              </w:rPr>
              <w:t>Methodology</w:t>
            </w:r>
            <w:r w:rsidR="00814762" w:rsidRPr="008C761D">
              <w:rPr>
                <w:rFonts w:ascii="Arial" w:eastAsia="Times New Roman" w:hAnsi="Arial" w:cs="Arial"/>
                <w:bCs/>
                <w:sz w:val="12"/>
                <w:szCs w:val="12"/>
                <w:lang w:val="en-US" w:eastAsia="mk-MK"/>
              </w:rPr>
              <w:t xml:space="preserve"> for pre-appraisal, appraisal, prioritization of public investment project adopted</w:t>
            </w:r>
          </w:p>
        </w:tc>
        <w:tc>
          <w:tcPr>
            <w:tcW w:w="1758" w:type="dxa"/>
            <w:gridSpan w:val="2"/>
            <w:shd w:val="clear" w:color="000000" w:fill="FFFF99"/>
            <w:vAlign w:val="center"/>
            <w:hideMark/>
          </w:tcPr>
          <w:p w14:paraId="4B50299E" w14:textId="77777777" w:rsidR="00814762" w:rsidRPr="008C761D" w:rsidRDefault="00814762" w:rsidP="00814762">
            <w:pPr>
              <w:rPr>
                <w:rFonts w:ascii="Arial" w:eastAsia="Times New Roman" w:hAnsi="Arial" w:cs="Arial"/>
                <w:bCs/>
                <w:sz w:val="12"/>
                <w:szCs w:val="12"/>
                <w:lang w:val="en-US" w:eastAsia="mk-MK"/>
              </w:rPr>
            </w:pPr>
            <w:r w:rsidRPr="008C761D">
              <w:rPr>
                <w:rFonts w:ascii="Arial" w:eastAsia="Times New Roman" w:hAnsi="Arial" w:cs="Arial"/>
                <w:bCs/>
                <w:sz w:val="12"/>
                <w:szCs w:val="12"/>
                <w:lang w:val="en-US" w:eastAsia="mk-MK"/>
              </w:rPr>
              <w:t>Standard criteria for project selection/ prioritization adopted</w:t>
            </w:r>
          </w:p>
          <w:p w14:paraId="5D5973BB" w14:textId="6389AB70"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842" w:type="dxa"/>
            <w:gridSpan w:val="3"/>
            <w:shd w:val="clear" w:color="000000" w:fill="FFFF99"/>
            <w:vAlign w:val="center"/>
            <w:hideMark/>
          </w:tcPr>
          <w:p w14:paraId="4BB9A4E6" w14:textId="3382DE9A" w:rsidR="00485BAA" w:rsidRPr="008C761D" w:rsidRDefault="008147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bCs/>
                <w:sz w:val="12"/>
                <w:szCs w:val="12"/>
                <w:lang w:val="en-US" w:eastAsia="mk-MK"/>
              </w:rPr>
              <w:t>All budget users at central and local level prepare public investment proposals following the PIM methodology</w:t>
            </w:r>
          </w:p>
        </w:tc>
        <w:tc>
          <w:tcPr>
            <w:tcW w:w="1506" w:type="dxa"/>
            <w:gridSpan w:val="3"/>
            <w:shd w:val="clear" w:color="000000" w:fill="FFFF99"/>
            <w:vAlign w:val="center"/>
            <w:hideMark/>
          </w:tcPr>
          <w:p w14:paraId="2BF7EED6" w14:textId="79D0A872" w:rsidR="00485BAA" w:rsidRPr="008C761D" w:rsidRDefault="00814762" w:rsidP="00485BAA">
            <w:pPr>
              <w:spacing w:after="0" w:line="240" w:lineRule="auto"/>
              <w:jc w:val="center"/>
              <w:rPr>
                <w:rFonts w:ascii="Arial" w:eastAsia="Times New Roman" w:hAnsi="Arial" w:cs="Arial"/>
                <w:sz w:val="12"/>
                <w:szCs w:val="12"/>
                <w:u w:val="single"/>
                <w:lang w:val="en-US" w:eastAsia="mk-MK"/>
              </w:rPr>
            </w:pPr>
            <w:r w:rsidRPr="008C761D">
              <w:rPr>
                <w:rFonts w:ascii="Arial" w:eastAsia="Times New Roman" w:hAnsi="Arial" w:cs="Arial"/>
                <w:bCs/>
                <w:sz w:val="12"/>
                <w:szCs w:val="12"/>
                <w:lang w:val="en-US" w:eastAsia="mk-MK"/>
              </w:rPr>
              <w:t>Developed single pipeline of appraised capital public investment projects</w:t>
            </w:r>
          </w:p>
        </w:tc>
      </w:tr>
      <w:tr w:rsidR="00485BAA" w:rsidRPr="008C761D" w14:paraId="3546AFED" w14:textId="77777777" w:rsidTr="003F623B">
        <w:trPr>
          <w:gridBefore w:val="1"/>
          <w:gridAfter w:val="1"/>
          <w:wBefore w:w="17" w:type="dxa"/>
          <w:wAfter w:w="180" w:type="dxa"/>
          <w:trHeight w:val="375"/>
          <w:jc w:val="center"/>
        </w:trPr>
        <w:tc>
          <w:tcPr>
            <w:tcW w:w="1288" w:type="dxa"/>
            <w:gridSpan w:val="3"/>
            <w:tcBorders>
              <w:top w:val="nil"/>
              <w:left w:val="nil"/>
              <w:bottom w:val="nil"/>
              <w:right w:val="nil"/>
            </w:tcBorders>
            <w:shd w:val="clear" w:color="auto" w:fill="auto"/>
            <w:noWrap/>
            <w:vAlign w:val="bottom"/>
            <w:hideMark/>
          </w:tcPr>
          <w:p w14:paraId="45D65866" w14:textId="77777777" w:rsidR="00485BAA" w:rsidRPr="008C761D" w:rsidRDefault="00485BAA" w:rsidP="00485BAA">
            <w:pPr>
              <w:spacing w:after="0" w:line="240" w:lineRule="auto"/>
              <w:jc w:val="center"/>
              <w:rPr>
                <w:rFonts w:ascii="Arial" w:eastAsia="Times New Roman" w:hAnsi="Arial" w:cs="Arial"/>
                <w:sz w:val="12"/>
                <w:szCs w:val="12"/>
                <w:u w:val="single"/>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4B0A181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5D4C39A6" w14:textId="7CA951E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504C6DB8" w14:textId="312A692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1F1A1293" w14:textId="430FF28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46474600" w14:textId="55D8E3B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37555B7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60A2F2E4" w14:textId="5439C46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64D0F0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AFD11F1" w14:textId="77777777" w:rsidTr="003F623B">
        <w:trPr>
          <w:gridBefore w:val="1"/>
          <w:gridAfter w:val="1"/>
          <w:wBefore w:w="17" w:type="dxa"/>
          <w:wAfter w:w="180" w:type="dxa"/>
          <w:trHeight w:val="525"/>
          <w:jc w:val="center"/>
        </w:trPr>
        <w:tc>
          <w:tcPr>
            <w:tcW w:w="1288" w:type="dxa"/>
            <w:gridSpan w:val="3"/>
            <w:tcBorders>
              <w:top w:val="nil"/>
              <w:left w:val="nil"/>
              <w:bottom w:val="nil"/>
              <w:right w:val="nil"/>
            </w:tcBorders>
            <w:shd w:val="clear" w:color="auto" w:fill="auto"/>
            <w:noWrap/>
            <w:vAlign w:val="bottom"/>
            <w:hideMark/>
          </w:tcPr>
          <w:p w14:paraId="73D7E0E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3BDBD48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B7564B5" w14:textId="6545343B" w:rsidR="00485BAA" w:rsidRPr="008C761D" w:rsidRDefault="00AF150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Develop general public investment project appraisal methodology</w:t>
            </w:r>
          </w:p>
        </w:tc>
        <w:tc>
          <w:tcPr>
            <w:tcW w:w="1194" w:type="dxa"/>
            <w:gridSpan w:val="3"/>
            <w:shd w:val="clear" w:color="000000" w:fill="FFFF99"/>
            <w:vAlign w:val="center"/>
            <w:hideMark/>
          </w:tcPr>
          <w:p w14:paraId="61A564E5" w14:textId="54DB09E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240E9C"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 202</w:t>
            </w:r>
            <w:r w:rsidR="00814762"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211C89D3" w14:textId="5ED0D445"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shd w:val="clear" w:color="000000" w:fill="FFFF99"/>
            <w:vAlign w:val="center"/>
            <w:hideMark/>
          </w:tcPr>
          <w:p w14:paraId="5EE014F4" w14:textId="3C7D5FF3" w:rsidR="00485BAA" w:rsidRPr="008C761D" w:rsidRDefault="00814762" w:rsidP="0035096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 (WB/EU)</w:t>
            </w:r>
          </w:p>
        </w:tc>
        <w:tc>
          <w:tcPr>
            <w:tcW w:w="1758" w:type="dxa"/>
            <w:gridSpan w:val="2"/>
            <w:shd w:val="clear" w:color="000000" w:fill="FFFF99"/>
            <w:vAlign w:val="center"/>
            <w:hideMark/>
          </w:tcPr>
          <w:p w14:paraId="5590C269" w14:textId="3C4F8A50" w:rsidR="00485BAA" w:rsidRPr="008C761D" w:rsidRDefault="00240E9C" w:rsidP="008747A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25</w:t>
            </w:r>
            <w:r w:rsidR="00485BAA" w:rsidRPr="008C761D">
              <w:rPr>
                <w:rFonts w:ascii="Arial" w:eastAsia="Times New Roman" w:hAnsi="Arial" w:cs="Arial"/>
                <w:sz w:val="12"/>
                <w:szCs w:val="12"/>
                <w:lang w:val="en-US" w:eastAsia="mk-MK"/>
              </w:rPr>
              <w:t>,000</w:t>
            </w:r>
          </w:p>
        </w:tc>
        <w:tc>
          <w:tcPr>
            <w:tcW w:w="1842" w:type="dxa"/>
            <w:gridSpan w:val="3"/>
            <w:shd w:val="clear" w:color="000000" w:fill="FFFF99"/>
            <w:vAlign w:val="center"/>
            <w:hideMark/>
          </w:tcPr>
          <w:p w14:paraId="2D7F13F5" w14:textId="77777777" w:rsidR="00485BAA" w:rsidRPr="008C761D" w:rsidRDefault="00240E9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7F2D615C" w14:textId="5F71C6A2"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24E3BD7F" w14:textId="77777777" w:rsidTr="003F623B">
        <w:trPr>
          <w:gridBefore w:val="1"/>
          <w:gridAfter w:val="1"/>
          <w:wBefore w:w="17" w:type="dxa"/>
          <w:wAfter w:w="180" w:type="dxa"/>
          <w:trHeight w:val="570"/>
          <w:jc w:val="center"/>
        </w:trPr>
        <w:tc>
          <w:tcPr>
            <w:tcW w:w="1288" w:type="dxa"/>
            <w:gridSpan w:val="3"/>
            <w:tcBorders>
              <w:top w:val="nil"/>
              <w:left w:val="nil"/>
              <w:bottom w:val="nil"/>
              <w:right w:val="nil"/>
            </w:tcBorders>
            <w:shd w:val="clear" w:color="auto" w:fill="auto"/>
            <w:noWrap/>
            <w:vAlign w:val="bottom"/>
            <w:hideMark/>
          </w:tcPr>
          <w:p w14:paraId="29A6066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615115B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EBB7F1F" w14:textId="6EFAD936" w:rsidR="00485BAA" w:rsidRPr="008C761D" w:rsidRDefault="00AF150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Establish standard criteria for project selection/ prioritization</w:t>
            </w:r>
          </w:p>
        </w:tc>
        <w:tc>
          <w:tcPr>
            <w:tcW w:w="1194" w:type="dxa"/>
            <w:gridSpan w:val="3"/>
            <w:shd w:val="clear" w:color="000000" w:fill="FFFF99"/>
            <w:vAlign w:val="center"/>
            <w:hideMark/>
          </w:tcPr>
          <w:p w14:paraId="7A08C072" w14:textId="1F47AAB0"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240E9C"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 - 202</w:t>
            </w:r>
            <w:r w:rsidR="00472503"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3CCBBCBE" w14:textId="2DCC1EBD"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 and</w:t>
            </w:r>
            <w:r w:rsidR="00240E9C" w:rsidRPr="008C761D">
              <w:rPr>
                <w:rFonts w:ascii="Arial" w:eastAsia="Times New Roman" w:hAnsi="Arial" w:cs="Arial"/>
                <w:sz w:val="12"/>
                <w:szCs w:val="12"/>
                <w:lang w:val="en-US" w:eastAsia="mk-MK"/>
              </w:rPr>
              <w:t xml:space="preserve"> Government</w:t>
            </w:r>
          </w:p>
        </w:tc>
        <w:tc>
          <w:tcPr>
            <w:tcW w:w="1644" w:type="dxa"/>
            <w:gridSpan w:val="3"/>
            <w:shd w:val="clear" w:color="000000" w:fill="FFFF99"/>
            <w:vAlign w:val="center"/>
            <w:hideMark/>
          </w:tcPr>
          <w:p w14:paraId="6F148B14" w14:textId="30D6B18A" w:rsidR="00485BAA" w:rsidRPr="008C761D" w:rsidRDefault="00814762"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 (WB/EU)</w:t>
            </w:r>
          </w:p>
        </w:tc>
        <w:tc>
          <w:tcPr>
            <w:tcW w:w="1758" w:type="dxa"/>
            <w:gridSpan w:val="2"/>
            <w:shd w:val="clear" w:color="000000" w:fill="FFFF99"/>
            <w:vAlign w:val="center"/>
            <w:hideMark/>
          </w:tcPr>
          <w:p w14:paraId="0228781A" w14:textId="2C99443B" w:rsidR="00485BAA" w:rsidRPr="008C761D" w:rsidRDefault="00485BAA" w:rsidP="008747A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240E9C"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,000</w:t>
            </w:r>
          </w:p>
        </w:tc>
        <w:tc>
          <w:tcPr>
            <w:tcW w:w="1842" w:type="dxa"/>
            <w:gridSpan w:val="3"/>
            <w:shd w:val="clear" w:color="000000" w:fill="FFFF99"/>
            <w:vAlign w:val="center"/>
            <w:hideMark/>
          </w:tcPr>
          <w:p w14:paraId="65943E68" w14:textId="77777777" w:rsidR="00485BAA" w:rsidRPr="008C761D" w:rsidRDefault="00240E9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032B0822" w14:textId="28ABBCAB"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240E9C" w:rsidRPr="008C761D" w14:paraId="6F118576" w14:textId="77777777" w:rsidTr="003F623B">
        <w:trPr>
          <w:gridBefore w:val="1"/>
          <w:gridAfter w:val="1"/>
          <w:wBefore w:w="17" w:type="dxa"/>
          <w:wAfter w:w="180" w:type="dxa"/>
          <w:trHeight w:val="408"/>
          <w:jc w:val="center"/>
        </w:trPr>
        <w:tc>
          <w:tcPr>
            <w:tcW w:w="1288" w:type="dxa"/>
            <w:gridSpan w:val="3"/>
            <w:tcBorders>
              <w:top w:val="nil"/>
              <w:left w:val="nil"/>
              <w:bottom w:val="nil"/>
              <w:right w:val="nil"/>
            </w:tcBorders>
            <w:shd w:val="clear" w:color="auto" w:fill="auto"/>
            <w:noWrap/>
            <w:vAlign w:val="bottom"/>
            <w:hideMark/>
          </w:tcPr>
          <w:p w14:paraId="4FE96D02" w14:textId="77777777" w:rsidR="00240E9C" w:rsidRPr="008C761D" w:rsidRDefault="00240E9C" w:rsidP="00485BAA">
            <w:pPr>
              <w:spacing w:after="0" w:line="240" w:lineRule="auto"/>
              <w:jc w:val="both"/>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4907B53A"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47C04132" w14:textId="65133ECE" w:rsidR="00240E9C" w:rsidRPr="008C761D" w:rsidRDefault="00AF150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Provide training to MoF professionals on project appraisal and review of preinvestment studies</w:t>
            </w:r>
          </w:p>
        </w:tc>
        <w:tc>
          <w:tcPr>
            <w:tcW w:w="1194" w:type="dxa"/>
            <w:gridSpan w:val="3"/>
            <w:vMerge w:val="restart"/>
            <w:shd w:val="clear" w:color="000000" w:fill="FFFF99"/>
            <w:vAlign w:val="center"/>
            <w:hideMark/>
          </w:tcPr>
          <w:p w14:paraId="3591EDD0"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 2027</w:t>
            </w:r>
          </w:p>
        </w:tc>
        <w:tc>
          <w:tcPr>
            <w:tcW w:w="1418" w:type="dxa"/>
            <w:gridSpan w:val="2"/>
            <w:vMerge w:val="restart"/>
            <w:shd w:val="clear" w:color="000000" w:fill="FFFF99"/>
            <w:vAlign w:val="center"/>
            <w:hideMark/>
          </w:tcPr>
          <w:p w14:paraId="3A5D0573" w14:textId="0AC41114" w:rsidR="00240E9C"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r w:rsidRPr="008C761D" w:rsidDel="00263A7B">
              <w:rPr>
                <w:rFonts w:ascii="Arial" w:eastAsia="Times New Roman" w:hAnsi="Arial" w:cs="Arial"/>
                <w:sz w:val="12"/>
                <w:szCs w:val="12"/>
                <w:lang w:val="en-US" w:eastAsia="mk-MK"/>
              </w:rPr>
              <w:t xml:space="preserve"> </w:t>
            </w:r>
            <w:r>
              <w:rPr>
                <w:rFonts w:ascii="Arial" w:eastAsia="Times New Roman" w:hAnsi="Arial" w:cs="Arial"/>
                <w:sz w:val="12"/>
                <w:szCs w:val="12"/>
                <w:lang w:val="en-US" w:eastAsia="mk-MK"/>
              </w:rPr>
              <w:t xml:space="preserve">and </w:t>
            </w:r>
            <w:r w:rsidR="00240E9C" w:rsidRPr="008C761D">
              <w:rPr>
                <w:rFonts w:ascii="Arial" w:eastAsia="Times New Roman" w:hAnsi="Arial" w:cs="Arial"/>
                <w:sz w:val="12"/>
                <w:szCs w:val="12"/>
                <w:lang w:val="en-US" w:eastAsia="mk-MK"/>
              </w:rPr>
              <w:t>Government</w:t>
            </w:r>
          </w:p>
        </w:tc>
        <w:tc>
          <w:tcPr>
            <w:tcW w:w="1644" w:type="dxa"/>
            <w:gridSpan w:val="3"/>
            <w:vMerge w:val="restart"/>
            <w:shd w:val="clear" w:color="000000" w:fill="FFFF99"/>
            <w:vAlign w:val="center"/>
            <w:hideMark/>
          </w:tcPr>
          <w:p w14:paraId="1DA6F228" w14:textId="3765CC48" w:rsidR="00814762"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28A4B928" w14:textId="10D87FAB" w:rsidR="00240E9C"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(WB/IMF/EU)</w:t>
            </w:r>
          </w:p>
        </w:tc>
        <w:tc>
          <w:tcPr>
            <w:tcW w:w="1758" w:type="dxa"/>
            <w:gridSpan w:val="2"/>
            <w:vMerge w:val="restart"/>
            <w:shd w:val="clear" w:color="000000" w:fill="FFFF99"/>
            <w:vAlign w:val="center"/>
            <w:hideMark/>
          </w:tcPr>
          <w:p w14:paraId="525FF817" w14:textId="0EDB4668" w:rsidR="00240E9C" w:rsidRPr="008C761D" w:rsidRDefault="00240E9C" w:rsidP="008747A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50,000</w:t>
            </w:r>
          </w:p>
          <w:p w14:paraId="46BD6BE9" w14:textId="77777777" w:rsidR="00240E9C" w:rsidRPr="008C761D" w:rsidRDefault="00240E9C" w:rsidP="008747A1">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6BE1B683" w14:textId="77777777" w:rsidR="00240E9C" w:rsidRPr="008C761D" w:rsidRDefault="00240E9C" w:rsidP="00472503">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r w:rsidRPr="008C761D">
              <w:rPr>
                <w:rFonts w:ascii="Arial" w:eastAsia="Times New Roman" w:hAnsi="Arial" w:cs="Arial"/>
                <w:sz w:val="12"/>
                <w:szCs w:val="12"/>
                <w:lang w:val="en-US" w:eastAsia="mk-MK"/>
              </w:rPr>
              <w:br/>
            </w:r>
          </w:p>
        </w:tc>
        <w:tc>
          <w:tcPr>
            <w:tcW w:w="1506" w:type="dxa"/>
            <w:gridSpan w:val="3"/>
            <w:vMerge w:val="restart"/>
            <w:shd w:val="clear" w:color="000000" w:fill="FFFF99"/>
            <w:vAlign w:val="center"/>
            <w:hideMark/>
          </w:tcPr>
          <w:p w14:paraId="4D23BCDF" w14:textId="0089270D" w:rsidR="00240E9C" w:rsidRPr="008C761D" w:rsidRDefault="00240E9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240E9C" w:rsidRPr="008C761D" w14:paraId="5C4FE51D" w14:textId="77777777" w:rsidTr="003F623B">
        <w:trPr>
          <w:gridBefore w:val="1"/>
          <w:gridAfter w:val="1"/>
          <w:wBefore w:w="17" w:type="dxa"/>
          <w:wAfter w:w="180" w:type="dxa"/>
          <w:trHeight w:val="257"/>
          <w:jc w:val="center"/>
        </w:trPr>
        <w:tc>
          <w:tcPr>
            <w:tcW w:w="1288" w:type="dxa"/>
            <w:gridSpan w:val="3"/>
            <w:tcBorders>
              <w:top w:val="nil"/>
              <w:left w:val="nil"/>
              <w:bottom w:val="nil"/>
              <w:right w:val="nil"/>
            </w:tcBorders>
            <w:shd w:val="clear" w:color="auto" w:fill="auto"/>
            <w:noWrap/>
            <w:vAlign w:val="bottom"/>
            <w:hideMark/>
          </w:tcPr>
          <w:p w14:paraId="0E39E087"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D675ACE"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771" w:type="dxa"/>
            <w:gridSpan w:val="3"/>
            <w:vMerge/>
            <w:tcBorders>
              <w:left w:val="single" w:sz="8" w:space="0" w:color="000000"/>
            </w:tcBorders>
            <w:vAlign w:val="center"/>
            <w:hideMark/>
          </w:tcPr>
          <w:p w14:paraId="611380C7"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44403A5E"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6F0C0D73"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3C6CE4CC"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758" w:type="dxa"/>
            <w:gridSpan w:val="2"/>
            <w:vMerge/>
            <w:shd w:val="clear" w:color="000000" w:fill="FFFF99"/>
            <w:vAlign w:val="center"/>
            <w:hideMark/>
          </w:tcPr>
          <w:p w14:paraId="38922EDE" w14:textId="77777777" w:rsidR="00240E9C" w:rsidRPr="008C761D" w:rsidRDefault="00240E9C" w:rsidP="008747A1">
            <w:pPr>
              <w:spacing w:after="0" w:line="240" w:lineRule="auto"/>
              <w:jc w:val="center"/>
              <w:rPr>
                <w:rFonts w:ascii="Arial" w:eastAsia="Times New Roman" w:hAnsi="Arial" w:cs="Arial"/>
                <w:sz w:val="12"/>
                <w:szCs w:val="12"/>
                <w:lang w:val="en-US" w:eastAsia="mk-MK"/>
              </w:rPr>
            </w:pPr>
          </w:p>
        </w:tc>
        <w:tc>
          <w:tcPr>
            <w:tcW w:w="1842" w:type="dxa"/>
            <w:gridSpan w:val="3"/>
            <w:vMerge/>
            <w:vAlign w:val="center"/>
            <w:hideMark/>
          </w:tcPr>
          <w:p w14:paraId="5B1CBC6F"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506" w:type="dxa"/>
            <w:gridSpan w:val="3"/>
            <w:vMerge/>
            <w:vAlign w:val="center"/>
            <w:hideMark/>
          </w:tcPr>
          <w:p w14:paraId="7875DA98" w14:textId="77777777" w:rsidR="00240E9C" w:rsidRPr="008C761D" w:rsidRDefault="00240E9C" w:rsidP="00485BAA">
            <w:pPr>
              <w:spacing w:after="0" w:line="240" w:lineRule="auto"/>
              <w:rPr>
                <w:rFonts w:ascii="Arial" w:eastAsia="Times New Roman" w:hAnsi="Arial" w:cs="Arial"/>
                <w:sz w:val="12"/>
                <w:szCs w:val="12"/>
                <w:lang w:val="en-US" w:eastAsia="mk-MK"/>
              </w:rPr>
            </w:pPr>
          </w:p>
        </w:tc>
      </w:tr>
      <w:tr w:rsidR="00485BAA" w:rsidRPr="008C761D" w14:paraId="7E9E4F7B" w14:textId="77777777" w:rsidTr="003F623B">
        <w:trPr>
          <w:gridBefore w:val="1"/>
          <w:gridAfter w:val="1"/>
          <w:wBefore w:w="17" w:type="dxa"/>
          <w:wAfter w:w="180" w:type="dxa"/>
          <w:trHeight w:val="261"/>
          <w:jc w:val="center"/>
        </w:trPr>
        <w:tc>
          <w:tcPr>
            <w:tcW w:w="1288" w:type="dxa"/>
            <w:gridSpan w:val="3"/>
            <w:tcBorders>
              <w:top w:val="nil"/>
              <w:left w:val="nil"/>
              <w:bottom w:val="nil"/>
              <w:right w:val="nil"/>
            </w:tcBorders>
            <w:shd w:val="clear" w:color="auto" w:fill="auto"/>
            <w:noWrap/>
            <w:vAlign w:val="bottom"/>
            <w:hideMark/>
          </w:tcPr>
          <w:p w14:paraId="001578F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2CE064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44D493C3" w14:textId="00BF0DB4" w:rsidR="00485BAA" w:rsidRPr="008C761D" w:rsidRDefault="00AF150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Provide training to budget users/SoEs/LSGUs professionals on project formulation appraisal and selection</w:t>
            </w:r>
          </w:p>
        </w:tc>
        <w:tc>
          <w:tcPr>
            <w:tcW w:w="1194" w:type="dxa"/>
            <w:gridSpan w:val="3"/>
            <w:vMerge w:val="restart"/>
            <w:shd w:val="clear" w:color="000000" w:fill="FFFF99"/>
            <w:vAlign w:val="center"/>
            <w:hideMark/>
          </w:tcPr>
          <w:p w14:paraId="2A35748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240E9C"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 - 202</w:t>
            </w:r>
            <w:r w:rsidR="00240E9C" w:rsidRPr="008C761D">
              <w:rPr>
                <w:rFonts w:ascii="Arial" w:eastAsia="Times New Roman" w:hAnsi="Arial" w:cs="Arial"/>
                <w:sz w:val="12"/>
                <w:szCs w:val="12"/>
                <w:lang w:val="en-US" w:eastAsia="mk-MK"/>
              </w:rPr>
              <w:t>7</w:t>
            </w:r>
          </w:p>
        </w:tc>
        <w:tc>
          <w:tcPr>
            <w:tcW w:w="1418" w:type="dxa"/>
            <w:gridSpan w:val="2"/>
            <w:vMerge w:val="restart"/>
            <w:shd w:val="clear" w:color="000000" w:fill="FFFF99"/>
            <w:vAlign w:val="center"/>
            <w:hideMark/>
          </w:tcPr>
          <w:p w14:paraId="5FC382CE" w14:textId="1ECFECA2"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vMerge w:val="restart"/>
            <w:shd w:val="clear" w:color="000000" w:fill="FFFF99"/>
            <w:vAlign w:val="center"/>
            <w:hideMark/>
          </w:tcPr>
          <w:p w14:paraId="6A7E0208" w14:textId="575AB521" w:rsidR="00814762"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BU/SoEs/ LSGUs</w:t>
            </w:r>
            <w:r w:rsidRPr="008C761D">
              <w:rPr>
                <w:rFonts w:ascii="Arial" w:eastAsia="Times New Roman" w:hAnsi="Arial" w:cs="Arial"/>
                <w:sz w:val="12"/>
                <w:szCs w:val="12"/>
                <w:lang w:val="en-US" w:eastAsia="mk-MK"/>
              </w:rPr>
              <w:br/>
              <w:t>External</w:t>
            </w:r>
            <w:r w:rsidR="00AF150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7F20EE01" w14:textId="5CA68475" w:rsidR="00485BAA"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(WB/EU)</w:t>
            </w:r>
          </w:p>
        </w:tc>
        <w:tc>
          <w:tcPr>
            <w:tcW w:w="1758" w:type="dxa"/>
            <w:gridSpan w:val="2"/>
            <w:shd w:val="clear" w:color="000000" w:fill="FFFF99"/>
            <w:vAlign w:val="center"/>
            <w:hideMark/>
          </w:tcPr>
          <w:p w14:paraId="2D579B4B" w14:textId="0D28B563" w:rsidR="00485BAA" w:rsidRPr="008C761D" w:rsidRDefault="00240E9C" w:rsidP="008747A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r w:rsidR="00485BAA" w:rsidRPr="008C761D">
              <w:rPr>
                <w:rFonts w:ascii="Arial" w:eastAsia="Times New Roman" w:hAnsi="Arial" w:cs="Arial"/>
                <w:sz w:val="12"/>
                <w:szCs w:val="12"/>
                <w:lang w:val="en-US" w:eastAsia="mk-MK"/>
              </w:rPr>
              <w:t>0,000</w:t>
            </w:r>
          </w:p>
        </w:tc>
        <w:tc>
          <w:tcPr>
            <w:tcW w:w="1842" w:type="dxa"/>
            <w:gridSpan w:val="3"/>
            <w:vMerge w:val="restart"/>
            <w:shd w:val="clear" w:color="000000" w:fill="FFFF99"/>
            <w:vAlign w:val="center"/>
            <w:hideMark/>
          </w:tcPr>
          <w:p w14:paraId="14ED5AB3" w14:textId="7B346553" w:rsidR="00485BAA" w:rsidRPr="008C761D" w:rsidRDefault="0047250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 budget</w:t>
            </w:r>
            <w:r w:rsidR="00485BAA" w:rsidRPr="008C761D">
              <w:rPr>
                <w:rFonts w:ascii="Arial" w:eastAsia="Times New Roman" w:hAnsi="Arial" w:cs="Arial"/>
                <w:sz w:val="12"/>
                <w:szCs w:val="12"/>
                <w:lang w:val="en-US" w:eastAsia="mk-MK"/>
              </w:rPr>
              <w:br/>
            </w:r>
          </w:p>
          <w:p w14:paraId="70BD3F52"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p w14:paraId="273312C5" w14:textId="77777777" w:rsidR="00240E9C" w:rsidRPr="008C761D" w:rsidRDefault="00240E9C" w:rsidP="00240E9C">
            <w:pPr>
              <w:spacing w:after="0" w:line="240" w:lineRule="auto"/>
              <w:rPr>
                <w:rFonts w:ascii="Arial" w:eastAsia="Times New Roman" w:hAnsi="Arial" w:cs="Arial"/>
                <w:sz w:val="12"/>
                <w:szCs w:val="12"/>
                <w:lang w:val="en-US" w:eastAsia="mk-MK"/>
              </w:rPr>
            </w:pPr>
          </w:p>
          <w:p w14:paraId="6D63CB48" w14:textId="139ECBEA" w:rsidR="00240E9C" w:rsidRPr="008C761D" w:rsidRDefault="00240E9C" w:rsidP="00240E9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407B01">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External</w:t>
            </w:r>
          </w:p>
        </w:tc>
        <w:tc>
          <w:tcPr>
            <w:tcW w:w="1506" w:type="dxa"/>
            <w:gridSpan w:val="3"/>
            <w:vMerge w:val="restart"/>
            <w:shd w:val="clear" w:color="000000" w:fill="FFFF99"/>
            <w:vAlign w:val="center"/>
            <w:hideMark/>
          </w:tcPr>
          <w:p w14:paraId="287A8072" w14:textId="4F295AB1"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240E9C" w:rsidRPr="008C761D" w14:paraId="7880007C" w14:textId="77777777" w:rsidTr="003F623B">
        <w:trPr>
          <w:gridBefore w:val="1"/>
          <w:gridAfter w:val="1"/>
          <w:wBefore w:w="17" w:type="dxa"/>
          <w:wAfter w:w="180" w:type="dxa"/>
          <w:trHeight w:val="261"/>
          <w:jc w:val="center"/>
        </w:trPr>
        <w:tc>
          <w:tcPr>
            <w:tcW w:w="1288" w:type="dxa"/>
            <w:gridSpan w:val="3"/>
            <w:tcBorders>
              <w:top w:val="nil"/>
              <w:left w:val="nil"/>
              <w:bottom w:val="nil"/>
              <w:right w:val="nil"/>
            </w:tcBorders>
            <w:shd w:val="clear" w:color="auto" w:fill="auto"/>
            <w:noWrap/>
            <w:vAlign w:val="bottom"/>
          </w:tcPr>
          <w:p w14:paraId="1A5C191F"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tcPr>
          <w:p w14:paraId="5A3C826B"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771" w:type="dxa"/>
            <w:gridSpan w:val="3"/>
            <w:vMerge/>
            <w:tcBorders>
              <w:left w:val="single" w:sz="8" w:space="0" w:color="000000"/>
            </w:tcBorders>
            <w:shd w:val="clear" w:color="000000" w:fill="FFFF99"/>
            <w:vAlign w:val="center"/>
          </w:tcPr>
          <w:p w14:paraId="5E6419A3" w14:textId="77777777" w:rsidR="00240E9C" w:rsidRPr="008C761D" w:rsidRDefault="00240E9C" w:rsidP="00485BAA">
            <w:pPr>
              <w:spacing w:after="0" w:line="240" w:lineRule="auto"/>
              <w:rPr>
                <w:rFonts w:ascii="Arial" w:eastAsia="Times New Roman" w:hAnsi="Arial" w:cs="Arial"/>
                <w:sz w:val="12"/>
                <w:szCs w:val="12"/>
                <w:lang w:val="en-US" w:eastAsia="mk-MK"/>
              </w:rPr>
            </w:pPr>
          </w:p>
        </w:tc>
        <w:tc>
          <w:tcPr>
            <w:tcW w:w="1194" w:type="dxa"/>
            <w:gridSpan w:val="3"/>
            <w:vMerge/>
            <w:shd w:val="clear" w:color="000000" w:fill="FFFF99"/>
            <w:vAlign w:val="center"/>
          </w:tcPr>
          <w:p w14:paraId="41386917"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c>
          <w:tcPr>
            <w:tcW w:w="1418" w:type="dxa"/>
            <w:gridSpan w:val="2"/>
            <w:vMerge/>
            <w:shd w:val="clear" w:color="000000" w:fill="FFFF99"/>
            <w:vAlign w:val="center"/>
          </w:tcPr>
          <w:p w14:paraId="2C248042"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c>
          <w:tcPr>
            <w:tcW w:w="1644" w:type="dxa"/>
            <w:gridSpan w:val="3"/>
            <w:vMerge/>
            <w:shd w:val="clear" w:color="000000" w:fill="FFFF99"/>
            <w:vAlign w:val="center"/>
          </w:tcPr>
          <w:p w14:paraId="0F5922D8" w14:textId="77777777" w:rsidR="00240E9C" w:rsidRPr="008C761D" w:rsidRDefault="00240E9C" w:rsidP="0035096E">
            <w:pPr>
              <w:spacing w:after="0" w:line="240" w:lineRule="auto"/>
              <w:rPr>
                <w:rFonts w:ascii="Arial" w:eastAsia="Times New Roman" w:hAnsi="Arial" w:cs="Arial"/>
                <w:sz w:val="12"/>
                <w:szCs w:val="12"/>
                <w:lang w:val="en-US" w:eastAsia="mk-MK"/>
              </w:rPr>
            </w:pPr>
          </w:p>
        </w:tc>
        <w:tc>
          <w:tcPr>
            <w:tcW w:w="1758" w:type="dxa"/>
            <w:gridSpan w:val="2"/>
            <w:shd w:val="clear" w:color="000000" w:fill="FFFF99"/>
            <w:vAlign w:val="center"/>
          </w:tcPr>
          <w:p w14:paraId="699A7B27" w14:textId="77777777" w:rsidR="00240E9C" w:rsidRPr="008C761D" w:rsidRDefault="00240E9C" w:rsidP="008747A1">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tcPr>
          <w:p w14:paraId="66737A55"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c>
          <w:tcPr>
            <w:tcW w:w="1506" w:type="dxa"/>
            <w:gridSpan w:val="3"/>
            <w:vMerge/>
            <w:shd w:val="clear" w:color="000000" w:fill="FFFF99"/>
            <w:vAlign w:val="center"/>
          </w:tcPr>
          <w:p w14:paraId="7728EFAF" w14:textId="77777777" w:rsidR="00240E9C" w:rsidRPr="008C761D" w:rsidRDefault="00240E9C" w:rsidP="00485BAA">
            <w:pPr>
              <w:spacing w:after="0" w:line="240" w:lineRule="auto"/>
              <w:jc w:val="center"/>
              <w:rPr>
                <w:rFonts w:ascii="Arial" w:eastAsia="Times New Roman" w:hAnsi="Arial" w:cs="Arial"/>
                <w:sz w:val="12"/>
                <w:szCs w:val="12"/>
                <w:lang w:val="en-US" w:eastAsia="mk-MK"/>
              </w:rPr>
            </w:pPr>
          </w:p>
        </w:tc>
      </w:tr>
      <w:tr w:rsidR="00031ACD" w:rsidRPr="008C761D" w14:paraId="4BC51AB9" w14:textId="77777777" w:rsidTr="003F623B">
        <w:trPr>
          <w:gridBefore w:val="1"/>
          <w:gridAfter w:val="1"/>
          <w:wBefore w:w="17" w:type="dxa"/>
          <w:wAfter w:w="180" w:type="dxa"/>
          <w:trHeight w:val="267"/>
          <w:jc w:val="center"/>
        </w:trPr>
        <w:tc>
          <w:tcPr>
            <w:tcW w:w="1288" w:type="dxa"/>
            <w:gridSpan w:val="3"/>
            <w:tcBorders>
              <w:top w:val="nil"/>
              <w:left w:val="nil"/>
              <w:bottom w:val="nil"/>
              <w:right w:val="nil"/>
            </w:tcBorders>
            <w:shd w:val="clear" w:color="auto" w:fill="auto"/>
            <w:noWrap/>
            <w:vAlign w:val="bottom"/>
            <w:hideMark/>
          </w:tcPr>
          <w:p w14:paraId="619F953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422D89F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vMerge/>
            <w:tcBorders>
              <w:left w:val="single" w:sz="8" w:space="0" w:color="000000"/>
            </w:tcBorders>
            <w:vAlign w:val="center"/>
            <w:hideMark/>
          </w:tcPr>
          <w:p w14:paraId="6813DBF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5CEB8FB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53F6382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27D4F8A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58" w:type="dxa"/>
            <w:gridSpan w:val="2"/>
            <w:shd w:val="clear" w:color="000000" w:fill="FFFF99"/>
            <w:vAlign w:val="center"/>
            <w:hideMark/>
          </w:tcPr>
          <w:p w14:paraId="3052DE67" w14:textId="6DC353E1" w:rsidR="00485BAA" w:rsidRPr="008C761D" w:rsidRDefault="00240E9C" w:rsidP="008747A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485BAA" w:rsidRPr="008C761D">
              <w:rPr>
                <w:rFonts w:ascii="Arial" w:eastAsia="Times New Roman" w:hAnsi="Arial" w:cs="Arial"/>
                <w:sz w:val="12"/>
                <w:szCs w:val="12"/>
                <w:lang w:val="en-US" w:eastAsia="mk-MK"/>
              </w:rPr>
              <w:t>0,000</w:t>
            </w:r>
          </w:p>
        </w:tc>
        <w:tc>
          <w:tcPr>
            <w:tcW w:w="1842" w:type="dxa"/>
            <w:gridSpan w:val="3"/>
            <w:vMerge/>
            <w:vAlign w:val="center"/>
            <w:hideMark/>
          </w:tcPr>
          <w:p w14:paraId="762AEBC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506" w:type="dxa"/>
            <w:gridSpan w:val="3"/>
            <w:vMerge/>
            <w:vAlign w:val="center"/>
            <w:hideMark/>
          </w:tcPr>
          <w:p w14:paraId="67A54E98" w14:textId="77777777" w:rsidR="00485BAA" w:rsidRPr="008C761D" w:rsidRDefault="00485BAA" w:rsidP="00485BAA">
            <w:pPr>
              <w:spacing w:after="0" w:line="240" w:lineRule="auto"/>
              <w:rPr>
                <w:rFonts w:ascii="Arial" w:eastAsia="Times New Roman" w:hAnsi="Arial" w:cs="Arial"/>
                <w:sz w:val="12"/>
                <w:szCs w:val="12"/>
                <w:lang w:val="en-US" w:eastAsia="mk-MK"/>
              </w:rPr>
            </w:pPr>
          </w:p>
        </w:tc>
      </w:tr>
      <w:tr w:rsidR="00485BAA" w:rsidRPr="008C761D" w14:paraId="67FE7E9B" w14:textId="77777777" w:rsidTr="003F623B">
        <w:trPr>
          <w:gridBefore w:val="1"/>
          <w:gridAfter w:val="1"/>
          <w:wBefore w:w="17" w:type="dxa"/>
          <w:wAfter w:w="180" w:type="dxa"/>
          <w:trHeight w:val="263"/>
          <w:jc w:val="center"/>
        </w:trPr>
        <w:tc>
          <w:tcPr>
            <w:tcW w:w="13501" w:type="dxa"/>
            <w:gridSpan w:val="25"/>
            <w:shd w:val="clear" w:color="000000" w:fill="9BD2ED"/>
            <w:vAlign w:val="center"/>
            <w:hideMark/>
          </w:tcPr>
          <w:p w14:paraId="639F0E8F" w14:textId="434B088A"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Efficient</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effective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monitoring</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capital</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investments</w:t>
            </w:r>
          </w:p>
        </w:tc>
      </w:tr>
      <w:tr w:rsidR="00485BAA" w:rsidRPr="008C761D" w14:paraId="14E980D6" w14:textId="77777777" w:rsidTr="003F623B">
        <w:trPr>
          <w:gridBefore w:val="1"/>
          <w:gridAfter w:val="1"/>
          <w:wBefore w:w="17" w:type="dxa"/>
          <w:wAfter w:w="180" w:type="dxa"/>
          <w:trHeight w:val="267"/>
          <w:jc w:val="center"/>
        </w:trPr>
        <w:tc>
          <w:tcPr>
            <w:tcW w:w="1288" w:type="dxa"/>
            <w:gridSpan w:val="3"/>
            <w:tcBorders>
              <w:top w:val="nil"/>
              <w:left w:val="nil"/>
              <w:bottom w:val="nil"/>
              <w:right w:val="nil"/>
            </w:tcBorders>
            <w:shd w:val="clear" w:color="auto" w:fill="auto"/>
            <w:noWrap/>
            <w:vAlign w:val="bottom"/>
            <w:hideMark/>
          </w:tcPr>
          <w:p w14:paraId="294BE769"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FF97E9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17A195C" w14:textId="5840AC7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42BA23B" w14:textId="4425831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AF150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58FB9A0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F36B90"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751201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F36B90"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E48DD8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F36B90"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C66A530" w14:textId="77777777" w:rsidR="00485BAA" w:rsidRPr="008C761D" w:rsidRDefault="00485BAA" w:rsidP="00F36B90">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F36B90"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8DBD79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F36B90" w:rsidRPr="008C761D">
              <w:rPr>
                <w:rFonts w:ascii="Arial" w:eastAsia="Times New Roman" w:hAnsi="Arial" w:cs="Arial"/>
                <w:b/>
                <w:bCs/>
                <w:sz w:val="12"/>
                <w:szCs w:val="12"/>
                <w:lang w:val="en-US" w:eastAsia="mk-MK"/>
              </w:rPr>
              <w:t>7</w:t>
            </w:r>
          </w:p>
        </w:tc>
      </w:tr>
      <w:tr w:rsidR="00485BAA" w:rsidRPr="008C761D" w14:paraId="1825E13B" w14:textId="77777777" w:rsidTr="003F623B">
        <w:trPr>
          <w:gridBefore w:val="1"/>
          <w:gridAfter w:val="1"/>
          <w:wBefore w:w="17" w:type="dxa"/>
          <w:wAfter w:w="180" w:type="dxa"/>
          <w:trHeight w:val="406"/>
          <w:jc w:val="center"/>
        </w:trPr>
        <w:tc>
          <w:tcPr>
            <w:tcW w:w="1288" w:type="dxa"/>
            <w:gridSpan w:val="3"/>
            <w:tcBorders>
              <w:top w:val="nil"/>
              <w:left w:val="nil"/>
              <w:bottom w:val="nil"/>
              <w:right w:val="nil"/>
            </w:tcBorders>
            <w:shd w:val="clear" w:color="auto" w:fill="auto"/>
            <w:noWrap/>
            <w:vAlign w:val="bottom"/>
            <w:hideMark/>
          </w:tcPr>
          <w:p w14:paraId="5D005D3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72041DA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2F19ADB" w14:textId="77777777" w:rsidR="00814762" w:rsidRPr="008C761D" w:rsidRDefault="00814762" w:rsidP="00814762">
            <w:pPr>
              <w:tabs>
                <w:tab w:val="left" w:pos="160"/>
              </w:tabs>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Pr="008C761D">
              <w:rPr>
                <w:rFonts w:ascii="Arial" w:eastAsia="Times New Roman" w:hAnsi="Arial" w:cs="Arial"/>
                <w:sz w:val="12"/>
                <w:szCs w:val="12"/>
                <w:lang w:val="en-US" w:eastAsia="mk-MK"/>
              </w:rPr>
              <w:tab/>
              <w:t>Created database of public investment projects from which to select budget candidates and monitor financial implementation of projects</w:t>
            </w:r>
          </w:p>
          <w:p w14:paraId="29CE96A8" w14:textId="77777777" w:rsidR="00814762" w:rsidRPr="008C761D" w:rsidRDefault="00814762" w:rsidP="00814762">
            <w:pPr>
              <w:spacing w:after="0" w:line="240" w:lineRule="auto"/>
              <w:rPr>
                <w:rFonts w:ascii="Arial" w:eastAsia="Times New Roman" w:hAnsi="Arial" w:cs="Arial"/>
                <w:sz w:val="12"/>
                <w:szCs w:val="12"/>
                <w:lang w:val="en-US" w:eastAsia="mk-MK"/>
              </w:rPr>
            </w:pPr>
          </w:p>
          <w:p w14:paraId="75766F5D" w14:textId="77777777" w:rsidR="00814762" w:rsidRPr="008C761D" w:rsidRDefault="00814762" w:rsidP="00814762">
            <w:pPr>
              <w:tabs>
                <w:tab w:val="left" w:pos="160"/>
              </w:tabs>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Pr="008C761D">
              <w:rPr>
                <w:rFonts w:ascii="Arial" w:eastAsia="Times New Roman" w:hAnsi="Arial" w:cs="Arial"/>
                <w:sz w:val="12"/>
                <w:szCs w:val="12"/>
                <w:lang w:val="en-US" w:eastAsia="mk-MK"/>
              </w:rPr>
              <w:tab/>
              <w:t>Number of monitoring reports for the public investment portfolio prepared</w:t>
            </w:r>
          </w:p>
          <w:p w14:paraId="5B9B35CC" w14:textId="242025C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6C6BCC6A" w14:textId="00560A41" w:rsidR="00485BAA" w:rsidRPr="008C761D" w:rsidRDefault="008147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7E8E01A1" w14:textId="7FD4139C" w:rsidR="00485BAA" w:rsidRPr="008C761D" w:rsidRDefault="008147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28E178E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r w:rsidR="00814762" w:rsidRPr="008C761D">
              <w:rPr>
                <w:rFonts w:ascii="Arial" w:eastAsia="Times New Roman" w:hAnsi="Arial" w:cs="Arial"/>
                <w:b/>
                <w:bCs/>
                <w:sz w:val="12"/>
                <w:szCs w:val="12"/>
                <w:lang w:val="en-US" w:eastAsia="mk-MK"/>
              </w:rPr>
              <w:t>/</w:t>
            </w:r>
          </w:p>
        </w:tc>
        <w:tc>
          <w:tcPr>
            <w:tcW w:w="1758" w:type="dxa"/>
            <w:gridSpan w:val="2"/>
            <w:shd w:val="clear" w:color="000000" w:fill="FFFF99"/>
            <w:vAlign w:val="center"/>
            <w:hideMark/>
          </w:tcPr>
          <w:p w14:paraId="6CE7C952" w14:textId="77777777" w:rsidR="00814762" w:rsidRPr="008C761D" w:rsidRDefault="00814762" w:rsidP="003A338C">
            <w:pPr>
              <w:numPr>
                <w:ilvl w:val="0"/>
                <w:numId w:val="91"/>
              </w:numPr>
              <w:spacing w:after="0" w:line="240" w:lineRule="auto"/>
              <w:ind w:left="232" w:hanging="232"/>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Developed short - term IT solution that will provide the MoF with a database of projects</w:t>
            </w:r>
          </w:p>
          <w:p w14:paraId="132350B8" w14:textId="77777777" w:rsidR="00814762" w:rsidRPr="008C761D" w:rsidRDefault="00814762" w:rsidP="00814762">
            <w:pPr>
              <w:spacing w:after="0" w:line="240" w:lineRule="auto"/>
              <w:ind w:left="232" w:hanging="232"/>
              <w:rPr>
                <w:rFonts w:ascii="Arial" w:eastAsia="Times New Roman" w:hAnsi="Arial" w:cs="Arial"/>
                <w:sz w:val="12"/>
                <w:szCs w:val="12"/>
                <w:lang w:val="en-US" w:eastAsia="mk-MK"/>
              </w:rPr>
            </w:pPr>
          </w:p>
          <w:p w14:paraId="4CDC551F" w14:textId="77777777" w:rsidR="00814762" w:rsidRPr="008C761D" w:rsidRDefault="00814762" w:rsidP="003A338C">
            <w:pPr>
              <w:numPr>
                <w:ilvl w:val="0"/>
                <w:numId w:val="91"/>
              </w:numPr>
              <w:tabs>
                <w:tab w:val="left" w:pos="225"/>
              </w:tabs>
              <w:spacing w:after="0" w:line="240" w:lineRule="auto"/>
              <w:ind w:left="374"/>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p w14:paraId="3BBA5B88" w14:textId="7A8578A0"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842" w:type="dxa"/>
            <w:gridSpan w:val="3"/>
            <w:shd w:val="clear" w:color="000000" w:fill="FFFF99"/>
            <w:vAlign w:val="center"/>
            <w:hideMark/>
          </w:tcPr>
          <w:p w14:paraId="77563F01" w14:textId="77777777" w:rsidR="003C20E4" w:rsidRPr="008C761D" w:rsidRDefault="00485BAA" w:rsidP="00CE2D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814762" w:rsidRPr="008C761D">
              <w:rPr>
                <w:rFonts w:ascii="Arial" w:eastAsia="Times New Roman" w:hAnsi="Arial" w:cs="Arial"/>
                <w:sz w:val="12"/>
                <w:szCs w:val="12"/>
                <w:lang w:val="en-US" w:eastAsia="mk-MK"/>
              </w:rPr>
              <w:t>1) /</w:t>
            </w:r>
          </w:p>
          <w:p w14:paraId="42BBF7F5" w14:textId="77777777" w:rsidR="00814762" w:rsidRPr="008C761D" w:rsidRDefault="00814762" w:rsidP="00814762">
            <w:pPr>
              <w:spacing w:after="0" w:line="240" w:lineRule="auto"/>
              <w:jc w:val="center"/>
              <w:rPr>
                <w:rFonts w:ascii="Arial" w:eastAsia="Times New Roman" w:hAnsi="Arial" w:cs="Arial"/>
                <w:sz w:val="12"/>
                <w:szCs w:val="12"/>
                <w:lang w:val="en-US" w:eastAsia="mk-MK"/>
              </w:rPr>
            </w:pPr>
          </w:p>
          <w:p w14:paraId="40244FBD" w14:textId="77777777" w:rsidR="00485BAA" w:rsidRPr="008C761D" w:rsidRDefault="00814762" w:rsidP="00814762">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2</w:t>
            </w:r>
          </w:p>
        </w:tc>
        <w:tc>
          <w:tcPr>
            <w:tcW w:w="1506" w:type="dxa"/>
            <w:gridSpan w:val="3"/>
            <w:shd w:val="clear" w:color="000000" w:fill="FFFF99"/>
            <w:vAlign w:val="center"/>
            <w:hideMark/>
          </w:tcPr>
          <w:p w14:paraId="4C13E86A" w14:textId="77777777" w:rsidR="00814762" w:rsidRPr="008C761D" w:rsidRDefault="00814762" w:rsidP="00814762">
            <w:pPr>
              <w:spacing w:after="0" w:line="240" w:lineRule="auto"/>
              <w:jc w:val="center"/>
              <w:rPr>
                <w:rFonts w:ascii="Arial" w:eastAsia="Times New Roman" w:hAnsi="Arial" w:cs="Arial"/>
                <w:sz w:val="12"/>
                <w:szCs w:val="12"/>
                <w:u w:val="single"/>
                <w:lang w:val="en-US" w:eastAsia="mk-MK"/>
              </w:rPr>
            </w:pPr>
            <w:r w:rsidRPr="008C761D">
              <w:rPr>
                <w:rFonts w:ascii="Arial" w:eastAsia="Times New Roman" w:hAnsi="Arial" w:cs="Arial"/>
                <w:sz w:val="12"/>
                <w:szCs w:val="12"/>
                <w:u w:val="single"/>
                <w:lang w:val="en-US" w:eastAsia="mk-MK"/>
              </w:rPr>
              <w:t>1) /</w:t>
            </w:r>
          </w:p>
          <w:p w14:paraId="32C813C8" w14:textId="77777777" w:rsidR="00814762" w:rsidRPr="008C761D" w:rsidRDefault="00814762" w:rsidP="00814762">
            <w:pPr>
              <w:spacing w:after="0" w:line="240" w:lineRule="auto"/>
              <w:jc w:val="center"/>
              <w:rPr>
                <w:rFonts w:ascii="Arial" w:eastAsia="Times New Roman" w:hAnsi="Arial" w:cs="Arial"/>
                <w:sz w:val="12"/>
                <w:szCs w:val="12"/>
                <w:u w:val="single"/>
                <w:lang w:val="en-US" w:eastAsia="mk-MK"/>
              </w:rPr>
            </w:pPr>
          </w:p>
          <w:p w14:paraId="40ABC15D" w14:textId="3801DDF5" w:rsidR="00485BAA" w:rsidRPr="008C761D" w:rsidRDefault="00814762" w:rsidP="00814762">
            <w:pPr>
              <w:spacing w:after="0" w:line="240" w:lineRule="auto"/>
              <w:jc w:val="center"/>
              <w:rPr>
                <w:rFonts w:ascii="Arial" w:eastAsia="Times New Roman" w:hAnsi="Arial" w:cs="Arial"/>
                <w:sz w:val="12"/>
                <w:szCs w:val="12"/>
                <w:u w:val="single"/>
                <w:lang w:val="en-US" w:eastAsia="mk-MK"/>
              </w:rPr>
            </w:pPr>
            <w:r w:rsidRPr="008C761D">
              <w:rPr>
                <w:rFonts w:ascii="Arial" w:eastAsia="Times New Roman" w:hAnsi="Arial" w:cs="Arial"/>
                <w:sz w:val="12"/>
                <w:szCs w:val="12"/>
                <w:lang w:val="en-US" w:eastAsia="mk-MK"/>
              </w:rPr>
              <w:t>2) 2</w:t>
            </w:r>
          </w:p>
        </w:tc>
      </w:tr>
      <w:tr w:rsidR="00485BAA" w:rsidRPr="008C761D" w14:paraId="5637D7AD" w14:textId="77777777" w:rsidTr="003F623B">
        <w:trPr>
          <w:gridBefore w:val="1"/>
          <w:gridAfter w:val="1"/>
          <w:wBefore w:w="17" w:type="dxa"/>
          <w:wAfter w:w="180" w:type="dxa"/>
          <w:trHeight w:val="257"/>
          <w:jc w:val="center"/>
        </w:trPr>
        <w:tc>
          <w:tcPr>
            <w:tcW w:w="1288" w:type="dxa"/>
            <w:gridSpan w:val="3"/>
            <w:tcBorders>
              <w:top w:val="nil"/>
              <w:left w:val="nil"/>
              <w:bottom w:val="nil"/>
              <w:right w:val="nil"/>
            </w:tcBorders>
            <w:shd w:val="clear" w:color="auto" w:fill="auto"/>
            <w:noWrap/>
            <w:vAlign w:val="bottom"/>
            <w:hideMark/>
          </w:tcPr>
          <w:p w14:paraId="003E631D" w14:textId="77777777" w:rsidR="00485BAA" w:rsidRPr="008C761D" w:rsidRDefault="00485BAA" w:rsidP="00485BAA">
            <w:pPr>
              <w:spacing w:after="0" w:line="240" w:lineRule="auto"/>
              <w:jc w:val="center"/>
              <w:rPr>
                <w:rFonts w:ascii="Arial" w:eastAsia="Times New Roman" w:hAnsi="Arial" w:cs="Arial"/>
                <w:sz w:val="12"/>
                <w:szCs w:val="12"/>
                <w:u w:val="single"/>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746CF85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3812E21" w14:textId="309364C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5DD37324" w14:textId="6CEECD5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13F50D0A" w14:textId="07D40C7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3B01EDC2" w14:textId="737FC5C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40AFCF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498B474" w14:textId="14C8B9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14F9C9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4998A89D" w14:textId="77777777" w:rsidTr="003F623B">
        <w:trPr>
          <w:gridBefore w:val="1"/>
          <w:gridAfter w:val="1"/>
          <w:wBefore w:w="17" w:type="dxa"/>
          <w:wAfter w:w="180" w:type="dxa"/>
          <w:trHeight w:val="405"/>
          <w:jc w:val="center"/>
        </w:trPr>
        <w:tc>
          <w:tcPr>
            <w:tcW w:w="1288" w:type="dxa"/>
            <w:gridSpan w:val="3"/>
            <w:tcBorders>
              <w:top w:val="nil"/>
              <w:left w:val="nil"/>
              <w:bottom w:val="nil"/>
              <w:right w:val="nil"/>
            </w:tcBorders>
            <w:shd w:val="clear" w:color="auto" w:fill="auto"/>
            <w:noWrap/>
            <w:vAlign w:val="bottom"/>
            <w:hideMark/>
          </w:tcPr>
          <w:p w14:paraId="3759DAD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D2E5A6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64E0C03" w14:textId="5877C92B" w:rsidR="00485BAA" w:rsidRPr="008C761D" w:rsidRDefault="00F36B9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Introduce</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procedures</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risk-based</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centralized</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monitoring</w:t>
            </w:r>
          </w:p>
        </w:tc>
        <w:tc>
          <w:tcPr>
            <w:tcW w:w="1194" w:type="dxa"/>
            <w:gridSpan w:val="3"/>
            <w:shd w:val="clear" w:color="000000" w:fill="FFFF99"/>
            <w:vAlign w:val="center"/>
            <w:hideMark/>
          </w:tcPr>
          <w:p w14:paraId="3B2FA19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F36B90"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 202</w:t>
            </w:r>
            <w:r w:rsidR="00F36B90"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D56D0CF" w14:textId="29B5B774"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shd w:val="clear" w:color="000000" w:fill="FFFF99"/>
            <w:vAlign w:val="center"/>
            <w:hideMark/>
          </w:tcPr>
          <w:p w14:paraId="76955C74" w14:textId="420B31D9" w:rsidR="00814762"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5B08C460" w14:textId="3AACD0DA" w:rsidR="00485BAA" w:rsidRPr="008C761D" w:rsidRDefault="00814762" w:rsidP="008147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IMF/EU)</w:t>
            </w:r>
          </w:p>
        </w:tc>
        <w:tc>
          <w:tcPr>
            <w:tcW w:w="1758" w:type="dxa"/>
            <w:gridSpan w:val="2"/>
            <w:shd w:val="clear" w:color="000000" w:fill="FFFF99"/>
            <w:vAlign w:val="center"/>
            <w:hideMark/>
          </w:tcPr>
          <w:p w14:paraId="7A6288FD" w14:textId="77777777"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r w:rsidR="00485BAA" w:rsidRPr="008C761D">
              <w:rPr>
                <w:rFonts w:ascii="Arial" w:eastAsia="Times New Roman" w:hAnsi="Arial" w:cs="Arial"/>
                <w:sz w:val="12"/>
                <w:szCs w:val="12"/>
                <w:lang w:val="en-US" w:eastAsia="mk-MK"/>
              </w:rPr>
              <w:t xml:space="preserve">5,000     </w:t>
            </w:r>
          </w:p>
        </w:tc>
        <w:tc>
          <w:tcPr>
            <w:tcW w:w="1842" w:type="dxa"/>
            <w:gridSpan w:val="3"/>
            <w:shd w:val="clear" w:color="000000" w:fill="FFFF99"/>
            <w:vAlign w:val="center"/>
            <w:hideMark/>
          </w:tcPr>
          <w:p w14:paraId="312E4441" w14:textId="77777777"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56FD2C48" w14:textId="33AEACD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019C0751" w14:textId="77777777" w:rsidTr="003F623B">
        <w:trPr>
          <w:gridBefore w:val="1"/>
          <w:gridAfter w:val="1"/>
          <w:wBefore w:w="17" w:type="dxa"/>
          <w:wAfter w:w="180" w:type="dxa"/>
          <w:trHeight w:val="680"/>
          <w:jc w:val="center"/>
        </w:trPr>
        <w:tc>
          <w:tcPr>
            <w:tcW w:w="1288" w:type="dxa"/>
            <w:gridSpan w:val="3"/>
            <w:tcBorders>
              <w:top w:val="nil"/>
              <w:left w:val="nil"/>
              <w:bottom w:val="nil"/>
              <w:right w:val="nil"/>
            </w:tcBorders>
            <w:shd w:val="clear" w:color="auto" w:fill="auto"/>
            <w:noWrap/>
            <w:vAlign w:val="bottom"/>
            <w:hideMark/>
          </w:tcPr>
          <w:p w14:paraId="00895C7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30AC008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19C9AE6" w14:textId="320C0837" w:rsidR="00485BAA" w:rsidRPr="008C761D" w:rsidRDefault="00F36B9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Introduce</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formal</w:t>
            </w:r>
            <w:r w:rsidR="002371A1" w:rsidRPr="008C761D">
              <w:rPr>
                <w:rFonts w:ascii="Arial" w:eastAsia="Times New Roman" w:hAnsi="Arial" w:cs="Arial"/>
                <w:sz w:val="12"/>
                <w:szCs w:val="12"/>
                <w:lang w:val="en-US" w:eastAsia="mk-MK"/>
              </w:rPr>
              <w:t xml:space="preserve"> </w:t>
            </w:r>
            <w:r w:rsidR="00404D96" w:rsidRPr="008C761D">
              <w:rPr>
                <w:rFonts w:ascii="Arial" w:eastAsia="Times New Roman" w:hAnsi="Arial" w:cs="Arial"/>
                <w:sz w:val="12"/>
                <w:szCs w:val="12"/>
                <w:lang w:val="en-US" w:eastAsia="mk-MK"/>
              </w:rPr>
              <w:t>requirement</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ex-post</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review</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completed</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projects</w:t>
            </w:r>
          </w:p>
        </w:tc>
        <w:tc>
          <w:tcPr>
            <w:tcW w:w="1194" w:type="dxa"/>
            <w:gridSpan w:val="3"/>
            <w:shd w:val="clear" w:color="000000" w:fill="FFFF99"/>
            <w:vAlign w:val="center"/>
            <w:hideMark/>
          </w:tcPr>
          <w:p w14:paraId="7FEF51D0" w14:textId="12D514A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814762"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 xml:space="preserve"> - 202</w:t>
            </w:r>
            <w:r w:rsidR="00F36B90"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1B22A26F" w14:textId="3B4BA440"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shd w:val="clear" w:color="000000" w:fill="FFFF99"/>
            <w:vAlign w:val="center"/>
            <w:hideMark/>
          </w:tcPr>
          <w:p w14:paraId="1ABE3832" w14:textId="42842321" w:rsidR="00814762" w:rsidRPr="008C761D" w:rsidRDefault="00814762" w:rsidP="00814762">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0E7E8EAA" w14:textId="13866C97" w:rsidR="00485BAA" w:rsidRPr="008C761D" w:rsidRDefault="00814762" w:rsidP="00814762">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IMF/EU)</w:t>
            </w:r>
          </w:p>
        </w:tc>
        <w:tc>
          <w:tcPr>
            <w:tcW w:w="1758" w:type="dxa"/>
            <w:gridSpan w:val="2"/>
            <w:shd w:val="clear" w:color="000000" w:fill="FFFF99"/>
            <w:vAlign w:val="center"/>
            <w:hideMark/>
          </w:tcPr>
          <w:p w14:paraId="2833C196" w14:textId="77777777"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r w:rsidR="00485BAA" w:rsidRPr="008C761D">
              <w:rPr>
                <w:rFonts w:ascii="Arial" w:eastAsia="Times New Roman" w:hAnsi="Arial" w:cs="Arial"/>
                <w:sz w:val="12"/>
                <w:szCs w:val="12"/>
                <w:lang w:val="en-US" w:eastAsia="mk-MK"/>
              </w:rPr>
              <w:t xml:space="preserve">5,000     </w:t>
            </w:r>
          </w:p>
        </w:tc>
        <w:tc>
          <w:tcPr>
            <w:tcW w:w="1842" w:type="dxa"/>
            <w:gridSpan w:val="3"/>
            <w:shd w:val="clear" w:color="000000" w:fill="FFFF99"/>
            <w:vAlign w:val="center"/>
            <w:hideMark/>
          </w:tcPr>
          <w:p w14:paraId="64966950" w14:textId="77777777"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79530963" w14:textId="3DD1C63B"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51D2DD92" w14:textId="77777777" w:rsidTr="003F623B">
        <w:trPr>
          <w:gridBefore w:val="1"/>
          <w:gridAfter w:val="1"/>
          <w:wBefore w:w="17" w:type="dxa"/>
          <w:wAfter w:w="180" w:type="dxa"/>
          <w:trHeight w:val="818"/>
          <w:jc w:val="center"/>
        </w:trPr>
        <w:tc>
          <w:tcPr>
            <w:tcW w:w="1288" w:type="dxa"/>
            <w:gridSpan w:val="3"/>
            <w:tcBorders>
              <w:top w:val="nil"/>
              <w:left w:val="nil"/>
              <w:bottom w:val="nil"/>
              <w:right w:val="nil"/>
            </w:tcBorders>
            <w:shd w:val="clear" w:color="auto" w:fill="auto"/>
            <w:noWrap/>
            <w:vAlign w:val="bottom"/>
            <w:hideMark/>
          </w:tcPr>
          <w:p w14:paraId="59D154B7"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4EABC35A"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7234F4" w14:textId="6F14874F" w:rsidR="00485BAA" w:rsidRPr="008C761D" w:rsidRDefault="00F36B90"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3. Develop a short-term IT </w:t>
            </w:r>
            <w:r w:rsidR="00404D96" w:rsidRPr="008C761D">
              <w:rPr>
                <w:rFonts w:ascii="Arial" w:eastAsia="Times New Roman" w:hAnsi="Arial" w:cs="Arial"/>
                <w:sz w:val="12"/>
                <w:szCs w:val="12"/>
                <w:lang w:val="en-US" w:eastAsia="mk-MK"/>
              </w:rPr>
              <w:t>solution for</w:t>
            </w:r>
            <w:r w:rsidRPr="008C761D">
              <w:rPr>
                <w:rFonts w:ascii="Arial" w:eastAsia="Times New Roman" w:hAnsi="Arial" w:cs="Arial"/>
                <w:sz w:val="12"/>
                <w:szCs w:val="12"/>
                <w:lang w:val="en-US" w:eastAsia="mk-MK"/>
              </w:rPr>
              <w:t xml:space="preserve"> PIM</w:t>
            </w:r>
          </w:p>
        </w:tc>
        <w:tc>
          <w:tcPr>
            <w:tcW w:w="1194" w:type="dxa"/>
            <w:gridSpan w:val="3"/>
            <w:shd w:val="clear" w:color="000000" w:fill="FFFF99"/>
            <w:vAlign w:val="center"/>
            <w:hideMark/>
          </w:tcPr>
          <w:p w14:paraId="6E6645A3" w14:textId="5EB31BC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814762" w:rsidRPr="008C761D">
              <w:rPr>
                <w:rFonts w:ascii="Arial" w:eastAsia="Times New Roman" w:hAnsi="Arial" w:cs="Arial"/>
                <w:sz w:val="12"/>
                <w:szCs w:val="12"/>
                <w:lang w:val="en-US" w:eastAsia="mk-MK"/>
              </w:rPr>
              <w:t>4</w:t>
            </w:r>
            <w:r w:rsidR="00F36B90" w:rsidRPr="008C761D">
              <w:rPr>
                <w:rFonts w:ascii="Arial" w:eastAsia="Times New Roman" w:hAnsi="Arial" w:cs="Arial"/>
                <w:sz w:val="12"/>
                <w:szCs w:val="12"/>
                <w:lang w:val="en-US" w:eastAsia="mk-MK"/>
              </w:rPr>
              <w:t xml:space="preserve"> - 202</w:t>
            </w:r>
            <w:r w:rsidR="00814762"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648A659D" w14:textId="5FE8ED2F" w:rsidR="00485BAA" w:rsidRPr="008C761D" w:rsidRDefault="00263A7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PIM Department</w:t>
            </w:r>
          </w:p>
        </w:tc>
        <w:tc>
          <w:tcPr>
            <w:tcW w:w="1644" w:type="dxa"/>
            <w:gridSpan w:val="3"/>
            <w:shd w:val="clear" w:color="000000" w:fill="FFFF99"/>
            <w:vAlign w:val="center"/>
            <w:hideMark/>
          </w:tcPr>
          <w:p w14:paraId="2C692B5A" w14:textId="624485E6" w:rsidR="00814762" w:rsidRPr="008C761D" w:rsidRDefault="00814762" w:rsidP="00814762">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expertise</w:t>
            </w:r>
          </w:p>
          <w:p w14:paraId="59B0E413" w14:textId="183CE534" w:rsidR="00485BAA" w:rsidRPr="008C761D" w:rsidRDefault="00814762" w:rsidP="00814762">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(IMF)</w:t>
            </w:r>
          </w:p>
        </w:tc>
        <w:tc>
          <w:tcPr>
            <w:tcW w:w="1758" w:type="dxa"/>
            <w:gridSpan w:val="2"/>
            <w:shd w:val="clear" w:color="000000" w:fill="FFFF99"/>
            <w:vAlign w:val="center"/>
            <w:hideMark/>
          </w:tcPr>
          <w:p w14:paraId="722A9892" w14:textId="7331BBCD"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65</w:t>
            </w:r>
            <w:r w:rsidR="00485BAA" w:rsidRPr="008C761D">
              <w:rPr>
                <w:rFonts w:ascii="Arial" w:eastAsia="Times New Roman" w:hAnsi="Arial" w:cs="Arial"/>
                <w:sz w:val="12"/>
                <w:szCs w:val="12"/>
                <w:lang w:val="en-US" w:eastAsia="mk-MK"/>
              </w:rPr>
              <w:t xml:space="preserve">,000     </w:t>
            </w:r>
          </w:p>
        </w:tc>
        <w:tc>
          <w:tcPr>
            <w:tcW w:w="1842" w:type="dxa"/>
            <w:gridSpan w:val="3"/>
            <w:shd w:val="clear" w:color="000000" w:fill="FFFF99"/>
            <w:vAlign w:val="center"/>
            <w:hideMark/>
          </w:tcPr>
          <w:p w14:paraId="672C19EA" w14:textId="77777777" w:rsidR="00485BAA" w:rsidRPr="008C761D" w:rsidRDefault="00F36B9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472503" w:rsidRPr="008C761D">
              <w:rPr>
                <w:rFonts w:ascii="Arial" w:eastAsia="Times New Roman" w:hAnsi="Arial" w:cs="Arial"/>
                <w:sz w:val="12"/>
                <w:szCs w:val="12"/>
                <w:lang w:val="en-US" w:eastAsia="mk-MK"/>
              </w:rPr>
              <w:t xml:space="preserve"> funding</w:t>
            </w:r>
          </w:p>
        </w:tc>
        <w:tc>
          <w:tcPr>
            <w:tcW w:w="1506" w:type="dxa"/>
            <w:gridSpan w:val="3"/>
            <w:shd w:val="clear" w:color="000000" w:fill="FFFF99"/>
            <w:vAlign w:val="center"/>
            <w:hideMark/>
          </w:tcPr>
          <w:p w14:paraId="21EB1009" w14:textId="4BEF7E6C"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0A08F4" w:rsidRPr="008C761D" w14:paraId="6BE46EA2" w14:textId="77777777" w:rsidTr="003F623B">
        <w:trPr>
          <w:gridAfter w:val="1"/>
          <w:wAfter w:w="180" w:type="dxa"/>
          <w:trHeight w:val="169"/>
          <w:jc w:val="center"/>
        </w:trPr>
        <w:tc>
          <w:tcPr>
            <w:tcW w:w="13518" w:type="dxa"/>
            <w:gridSpan w:val="26"/>
            <w:shd w:val="clear" w:color="000000" w:fill="1F3864"/>
            <w:vAlign w:val="center"/>
            <w:hideMark/>
          </w:tcPr>
          <w:p w14:paraId="218AFBA3" w14:textId="665ADC0D" w:rsidR="000A08F4" w:rsidRPr="008C761D" w:rsidRDefault="00B91F4E" w:rsidP="008D17AC">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III</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Planning</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budget</w:t>
            </w:r>
          </w:p>
        </w:tc>
      </w:tr>
      <w:tr w:rsidR="000A08F4" w:rsidRPr="008C761D" w14:paraId="6C94A0C3" w14:textId="77777777" w:rsidTr="003F623B">
        <w:trPr>
          <w:gridAfter w:val="1"/>
          <w:wAfter w:w="180" w:type="dxa"/>
          <w:trHeight w:val="285"/>
          <w:jc w:val="center"/>
        </w:trPr>
        <w:tc>
          <w:tcPr>
            <w:tcW w:w="13518" w:type="dxa"/>
            <w:gridSpan w:val="26"/>
            <w:shd w:val="clear" w:color="000000" w:fill="1F3864"/>
            <w:vAlign w:val="center"/>
            <w:hideMark/>
          </w:tcPr>
          <w:p w14:paraId="35753590" w14:textId="3B44B32E" w:rsidR="000A08F4" w:rsidRPr="008C761D" w:rsidRDefault="000A08F4" w:rsidP="008D17AC">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lastRenderedPageBreak/>
              <w:t>PRIORITY 3</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Strengthen</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the</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accounting</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of</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budgets</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budget</w:t>
            </w:r>
            <w:r w:rsidR="002371A1"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users</w:t>
            </w:r>
          </w:p>
        </w:tc>
      </w:tr>
      <w:tr w:rsidR="000A08F4" w:rsidRPr="008C761D" w14:paraId="3EEA0149" w14:textId="77777777" w:rsidTr="003F623B">
        <w:trPr>
          <w:gridAfter w:val="1"/>
          <w:wAfter w:w="180" w:type="dxa"/>
          <w:trHeight w:val="315"/>
          <w:jc w:val="center"/>
        </w:trPr>
        <w:tc>
          <w:tcPr>
            <w:tcW w:w="2385" w:type="dxa"/>
            <w:gridSpan w:val="7"/>
            <w:shd w:val="clear" w:color="000000" w:fill="9BD2ED"/>
            <w:vAlign w:val="center"/>
            <w:hideMark/>
          </w:tcPr>
          <w:p w14:paraId="1CE855AC"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182B72A4" w14:textId="2235C911"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55D9B82C" w14:textId="046F5A16"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1C7B4B79"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410B327B"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758" w:type="dxa"/>
            <w:gridSpan w:val="2"/>
            <w:shd w:val="clear" w:color="000000" w:fill="9BD2ED"/>
            <w:vAlign w:val="center"/>
            <w:hideMark/>
          </w:tcPr>
          <w:p w14:paraId="659C6422"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42" w:type="dxa"/>
            <w:gridSpan w:val="3"/>
            <w:shd w:val="clear" w:color="000000" w:fill="9BD2ED"/>
            <w:vAlign w:val="center"/>
            <w:hideMark/>
          </w:tcPr>
          <w:p w14:paraId="3BBA692F"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506" w:type="dxa"/>
            <w:gridSpan w:val="3"/>
            <w:shd w:val="clear" w:color="000000" w:fill="9BD2ED"/>
            <w:vAlign w:val="center"/>
            <w:hideMark/>
          </w:tcPr>
          <w:p w14:paraId="7961FB13"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0A08F4" w:rsidRPr="008C761D" w14:paraId="0C7E828C" w14:textId="77777777" w:rsidTr="003F623B">
        <w:trPr>
          <w:gridAfter w:val="1"/>
          <w:wAfter w:w="180" w:type="dxa"/>
          <w:trHeight w:val="448"/>
          <w:jc w:val="center"/>
        </w:trPr>
        <w:tc>
          <w:tcPr>
            <w:tcW w:w="2385" w:type="dxa"/>
            <w:gridSpan w:val="7"/>
            <w:shd w:val="clear" w:color="000000" w:fill="FFFF99"/>
            <w:vAlign w:val="center"/>
            <w:hideMark/>
          </w:tcPr>
          <w:p w14:paraId="32403140" w14:textId="7BDB2791" w:rsidR="000A08F4" w:rsidRPr="008C761D" w:rsidRDefault="002371A1"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financial reporting by establishing new accounting practices.</w:t>
            </w:r>
          </w:p>
        </w:tc>
        <w:tc>
          <w:tcPr>
            <w:tcW w:w="1771" w:type="dxa"/>
            <w:gridSpan w:val="3"/>
            <w:shd w:val="clear" w:color="000000" w:fill="FFFF99"/>
            <w:vAlign w:val="center"/>
            <w:hideMark/>
          </w:tcPr>
          <w:p w14:paraId="63AE3505" w14:textId="5A5C4DB9" w:rsidR="000A08F4" w:rsidRPr="008C761D" w:rsidRDefault="002371A1"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budget users applying new accounting practices.</w:t>
            </w:r>
          </w:p>
        </w:tc>
        <w:tc>
          <w:tcPr>
            <w:tcW w:w="1194" w:type="dxa"/>
            <w:gridSpan w:val="3"/>
            <w:shd w:val="clear" w:color="000000" w:fill="FFFF99"/>
            <w:vAlign w:val="center"/>
            <w:hideMark/>
          </w:tcPr>
          <w:p w14:paraId="2D34F9AD"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645B3B29"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644" w:type="dxa"/>
            <w:gridSpan w:val="3"/>
            <w:shd w:val="clear" w:color="000000" w:fill="FFFF99"/>
            <w:vAlign w:val="center"/>
            <w:hideMark/>
          </w:tcPr>
          <w:p w14:paraId="1AF98184"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758" w:type="dxa"/>
            <w:gridSpan w:val="2"/>
            <w:shd w:val="clear" w:color="000000" w:fill="FFFF99"/>
            <w:vAlign w:val="center"/>
            <w:hideMark/>
          </w:tcPr>
          <w:p w14:paraId="70EA74D3"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6D90B49E" w14:textId="37A0ACF1" w:rsidR="000A08F4" w:rsidRPr="008C761D" w:rsidRDefault="002371A1"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 of budget users apply new accounting practices</w:t>
            </w:r>
          </w:p>
        </w:tc>
        <w:tc>
          <w:tcPr>
            <w:tcW w:w="1506" w:type="dxa"/>
            <w:gridSpan w:val="3"/>
            <w:shd w:val="clear" w:color="000000" w:fill="FFFF99"/>
            <w:vAlign w:val="center"/>
            <w:hideMark/>
          </w:tcPr>
          <w:p w14:paraId="636DF5E0" w14:textId="2DDDFB52" w:rsidR="000A08F4" w:rsidRPr="008C761D" w:rsidRDefault="002371A1"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 of budget users apply new accounting practices</w:t>
            </w:r>
          </w:p>
        </w:tc>
      </w:tr>
      <w:tr w:rsidR="000A08F4" w:rsidRPr="008C761D" w14:paraId="28FC627A" w14:textId="77777777" w:rsidTr="003F623B">
        <w:trPr>
          <w:gridAfter w:val="1"/>
          <w:wAfter w:w="180" w:type="dxa"/>
          <w:trHeight w:val="315"/>
          <w:jc w:val="center"/>
        </w:trPr>
        <w:tc>
          <w:tcPr>
            <w:tcW w:w="13518" w:type="dxa"/>
            <w:gridSpan w:val="26"/>
            <w:shd w:val="clear" w:color="000000" w:fill="9BD2ED"/>
            <w:vAlign w:val="center"/>
            <w:hideMark/>
          </w:tcPr>
          <w:p w14:paraId="6C62E51C" w14:textId="71BE1B4F" w:rsidR="000A08F4" w:rsidRPr="008C761D" w:rsidRDefault="000A08F4" w:rsidP="008D17AC">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 Strengthening</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accounting</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system</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by</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applying</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new</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accounting</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practices</w:t>
            </w:r>
            <w:r w:rsidR="000F5766">
              <w:rPr>
                <w:rFonts w:ascii="Arial" w:eastAsia="Times New Roman" w:hAnsi="Arial" w:cs="Arial"/>
                <w:b/>
                <w:bCs/>
                <w:sz w:val="12"/>
                <w:szCs w:val="12"/>
                <w:lang w:val="en-US" w:eastAsia="mk-MK"/>
              </w:rPr>
              <w:t xml:space="preserve"> and c</w:t>
            </w:r>
            <w:r w:rsidR="000F5766" w:rsidRPr="008C761D">
              <w:rPr>
                <w:rFonts w:ascii="Arial" w:eastAsia="Times New Roman" w:hAnsi="Arial" w:cs="Arial"/>
                <w:b/>
                <w:bCs/>
                <w:sz w:val="12"/>
                <w:szCs w:val="12"/>
                <w:lang w:val="en-US" w:eastAsia="mk-MK"/>
              </w:rPr>
              <w:t>apacity building of public sector accountants</w:t>
            </w:r>
          </w:p>
        </w:tc>
      </w:tr>
      <w:tr w:rsidR="000A08F4" w:rsidRPr="008C761D" w14:paraId="2A42A9E5" w14:textId="77777777" w:rsidTr="003F623B">
        <w:trPr>
          <w:gridAfter w:val="1"/>
          <w:wAfter w:w="180" w:type="dxa"/>
          <w:trHeight w:val="219"/>
          <w:jc w:val="center"/>
        </w:trPr>
        <w:tc>
          <w:tcPr>
            <w:tcW w:w="2385" w:type="dxa"/>
            <w:gridSpan w:val="7"/>
            <w:vMerge w:val="restart"/>
            <w:tcBorders>
              <w:top w:val="nil"/>
              <w:left w:val="nil"/>
              <w:bottom w:val="nil"/>
              <w:right w:val="single" w:sz="8" w:space="0" w:color="000000"/>
            </w:tcBorders>
            <w:shd w:val="clear" w:color="auto" w:fill="auto"/>
            <w:vAlign w:val="center"/>
            <w:hideMark/>
          </w:tcPr>
          <w:p w14:paraId="755AAD2C"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32B25C6F" w14:textId="4B6F281B"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F90D414" w14:textId="02626FE6"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72250796"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11A0FD4E"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758" w:type="dxa"/>
            <w:gridSpan w:val="2"/>
            <w:shd w:val="clear" w:color="000000" w:fill="9BD2ED"/>
            <w:vAlign w:val="center"/>
            <w:hideMark/>
          </w:tcPr>
          <w:p w14:paraId="68225DE5"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42" w:type="dxa"/>
            <w:gridSpan w:val="3"/>
            <w:shd w:val="clear" w:color="000000" w:fill="9BD2ED"/>
            <w:vAlign w:val="center"/>
            <w:hideMark/>
          </w:tcPr>
          <w:p w14:paraId="0978FBC0"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506" w:type="dxa"/>
            <w:gridSpan w:val="3"/>
            <w:shd w:val="clear" w:color="000000" w:fill="9BD2ED"/>
            <w:vAlign w:val="center"/>
            <w:hideMark/>
          </w:tcPr>
          <w:p w14:paraId="015EBB43"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0A08F4" w:rsidRPr="008C761D" w14:paraId="6B1122F4" w14:textId="77777777" w:rsidTr="003F623B">
        <w:trPr>
          <w:gridAfter w:val="1"/>
          <w:wAfter w:w="180" w:type="dxa"/>
          <w:trHeight w:val="973"/>
          <w:jc w:val="center"/>
        </w:trPr>
        <w:tc>
          <w:tcPr>
            <w:tcW w:w="2385" w:type="dxa"/>
            <w:gridSpan w:val="7"/>
            <w:vMerge/>
            <w:tcBorders>
              <w:top w:val="nil"/>
              <w:left w:val="nil"/>
              <w:bottom w:val="nil"/>
              <w:right w:val="single" w:sz="8" w:space="0" w:color="000000"/>
            </w:tcBorders>
            <w:vAlign w:val="center"/>
            <w:hideMark/>
          </w:tcPr>
          <w:p w14:paraId="5A7C84A4" w14:textId="77777777" w:rsidR="000A08F4" w:rsidRPr="008C761D" w:rsidRDefault="000A08F4" w:rsidP="008D17A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5F973BC" w14:textId="4B2DA254" w:rsidR="000A08F4" w:rsidRPr="008C761D" w:rsidRDefault="00DC30FD"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Adoption</w:t>
            </w:r>
            <w:r w:rsidR="00404D96">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404D96">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new</w:t>
            </w:r>
            <w:r w:rsidR="00404D96">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accounting</w:t>
            </w:r>
            <w:r w:rsidR="00404D96">
              <w:rPr>
                <w:rFonts w:ascii="Arial" w:eastAsia="Times New Roman" w:hAnsi="Arial" w:cs="Arial"/>
                <w:sz w:val="12"/>
                <w:szCs w:val="12"/>
                <w:lang w:val="en-US" w:eastAsia="mk-MK"/>
              </w:rPr>
              <w:t xml:space="preserve"> </w:t>
            </w:r>
            <w:r w:rsidR="00404D96" w:rsidRPr="008C761D">
              <w:rPr>
                <w:rFonts w:ascii="Arial" w:eastAsia="Times New Roman" w:hAnsi="Arial" w:cs="Arial"/>
                <w:sz w:val="12"/>
                <w:szCs w:val="12"/>
                <w:lang w:val="en-US" w:eastAsia="mk-MK"/>
              </w:rPr>
              <w:t>practices</w:t>
            </w:r>
          </w:p>
        </w:tc>
        <w:tc>
          <w:tcPr>
            <w:tcW w:w="1194" w:type="dxa"/>
            <w:gridSpan w:val="3"/>
            <w:shd w:val="clear" w:color="000000" w:fill="FFFF99"/>
            <w:vAlign w:val="center"/>
            <w:hideMark/>
          </w:tcPr>
          <w:p w14:paraId="7DD9E7E2"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2BA1BB38" w14:textId="77777777" w:rsidR="000A08F4" w:rsidRPr="008C761D" w:rsidRDefault="000A08F4"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644" w:type="dxa"/>
            <w:gridSpan w:val="3"/>
            <w:shd w:val="clear" w:color="000000" w:fill="FFFF99"/>
            <w:vAlign w:val="center"/>
            <w:hideMark/>
          </w:tcPr>
          <w:p w14:paraId="76981F65" w14:textId="15236C60" w:rsidR="000A08F4" w:rsidRPr="008C761D" w:rsidRDefault="00DC30FD"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Adoption</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Strategy</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improvement</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404D96">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accounting</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amendments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accounting</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w:t>
            </w:r>
          </w:p>
        </w:tc>
        <w:tc>
          <w:tcPr>
            <w:tcW w:w="1758" w:type="dxa"/>
            <w:gridSpan w:val="2"/>
            <w:shd w:val="clear" w:color="000000" w:fill="FFFF99"/>
            <w:vAlign w:val="center"/>
            <w:hideMark/>
          </w:tcPr>
          <w:p w14:paraId="44F94D8B" w14:textId="0C5CF16D" w:rsidR="000A08F4" w:rsidRPr="008C761D" w:rsidRDefault="00DC30FD"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regulatory</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framework</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accounting</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users</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bylaws</w:t>
            </w:r>
          </w:p>
        </w:tc>
        <w:tc>
          <w:tcPr>
            <w:tcW w:w="1842" w:type="dxa"/>
            <w:gridSpan w:val="3"/>
            <w:shd w:val="clear" w:color="000000" w:fill="FFFF99"/>
            <w:vAlign w:val="center"/>
            <w:hideMark/>
          </w:tcPr>
          <w:p w14:paraId="2B209E0C" w14:textId="609A96EE" w:rsidR="000A08F4" w:rsidRPr="008C761D" w:rsidRDefault="000A08F4"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DC30FD" w:rsidRPr="008C761D">
              <w:rPr>
                <w:rFonts w:ascii="Arial" w:eastAsia="Times New Roman" w:hAnsi="Arial" w:cs="Arial"/>
                <w:sz w:val="12"/>
                <w:szCs w:val="12"/>
                <w:lang w:val="en-US" w:eastAsia="mk-MK"/>
              </w:rPr>
              <w:t>Harmonizing</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information</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systems</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users</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with</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the</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new</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accounting</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requirements</w:t>
            </w:r>
          </w:p>
        </w:tc>
        <w:tc>
          <w:tcPr>
            <w:tcW w:w="1506" w:type="dxa"/>
            <w:gridSpan w:val="3"/>
            <w:shd w:val="clear" w:color="000000" w:fill="FFFF99"/>
            <w:vAlign w:val="center"/>
            <w:hideMark/>
          </w:tcPr>
          <w:p w14:paraId="1D5BEFF4" w14:textId="09B23E19" w:rsidR="000A08F4" w:rsidRPr="008C761D" w:rsidRDefault="000A08F4"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DC30FD" w:rsidRPr="008C761D">
              <w:rPr>
                <w:rFonts w:ascii="Arial" w:eastAsia="Times New Roman" w:hAnsi="Arial" w:cs="Arial"/>
                <w:sz w:val="12"/>
                <w:szCs w:val="12"/>
                <w:lang w:val="en-US" w:eastAsia="mk-MK"/>
              </w:rPr>
              <w:t>Harmonizing</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information</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systems</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and</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budget</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users</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with</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the</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new</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accounting</w:t>
            </w:r>
            <w:r w:rsidR="00F7037E" w:rsidRPr="008C761D">
              <w:rPr>
                <w:rFonts w:ascii="Arial" w:eastAsia="Times New Roman" w:hAnsi="Arial" w:cs="Arial"/>
                <w:sz w:val="12"/>
                <w:szCs w:val="12"/>
                <w:lang w:val="en-US" w:eastAsia="mk-MK"/>
              </w:rPr>
              <w:t xml:space="preserve"> </w:t>
            </w:r>
            <w:r w:rsidR="00DC30FD" w:rsidRPr="008C761D">
              <w:rPr>
                <w:rFonts w:ascii="Arial" w:eastAsia="Times New Roman" w:hAnsi="Arial" w:cs="Arial"/>
                <w:sz w:val="12"/>
                <w:szCs w:val="12"/>
                <w:lang w:val="en-US" w:eastAsia="mk-MK"/>
              </w:rPr>
              <w:t>requirements</w:t>
            </w:r>
          </w:p>
        </w:tc>
      </w:tr>
      <w:tr w:rsidR="000A08F4" w:rsidRPr="008C761D" w14:paraId="3FA2A170" w14:textId="77777777" w:rsidTr="003F623B">
        <w:trPr>
          <w:gridAfter w:val="1"/>
          <w:wAfter w:w="180" w:type="dxa"/>
          <w:trHeight w:val="264"/>
          <w:jc w:val="center"/>
        </w:trPr>
        <w:tc>
          <w:tcPr>
            <w:tcW w:w="2385" w:type="dxa"/>
            <w:gridSpan w:val="7"/>
            <w:vMerge/>
            <w:tcBorders>
              <w:top w:val="nil"/>
              <w:left w:val="nil"/>
              <w:bottom w:val="nil"/>
              <w:right w:val="single" w:sz="8" w:space="0" w:color="000000"/>
            </w:tcBorders>
            <w:vAlign w:val="center"/>
            <w:hideMark/>
          </w:tcPr>
          <w:p w14:paraId="0B76D724" w14:textId="77777777" w:rsidR="000A08F4" w:rsidRPr="008C761D" w:rsidRDefault="000A08F4" w:rsidP="008D17A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69283427" w14:textId="252A969E"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6659F39" w14:textId="156B871A"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439A2C7E" w14:textId="592A9AEE"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CA9AF00" w14:textId="52868CED"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4AB4294"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9260EB8" w14:textId="42423350" w:rsidR="000A08F4" w:rsidRPr="008C761D" w:rsidRDefault="000A08F4" w:rsidP="008D17A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371A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40F7259" w14:textId="77777777" w:rsidR="000A08F4" w:rsidRPr="008C761D" w:rsidRDefault="000A08F4" w:rsidP="008D17A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0A08F4" w:rsidRPr="008C761D" w14:paraId="7286867A" w14:textId="77777777" w:rsidTr="003F623B">
        <w:trPr>
          <w:gridAfter w:val="1"/>
          <w:wAfter w:w="180" w:type="dxa"/>
          <w:trHeight w:val="963"/>
          <w:jc w:val="center"/>
        </w:trPr>
        <w:tc>
          <w:tcPr>
            <w:tcW w:w="2385" w:type="dxa"/>
            <w:gridSpan w:val="7"/>
            <w:vMerge/>
            <w:tcBorders>
              <w:top w:val="nil"/>
              <w:left w:val="nil"/>
              <w:bottom w:val="nil"/>
              <w:right w:val="single" w:sz="8" w:space="0" w:color="000000"/>
            </w:tcBorders>
            <w:vAlign w:val="center"/>
            <w:hideMark/>
          </w:tcPr>
          <w:p w14:paraId="5D182F1C" w14:textId="77777777" w:rsidR="000A08F4" w:rsidRPr="008C761D" w:rsidRDefault="000A08F4" w:rsidP="008D17A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3D434D2" w14:textId="7F8EDFE9" w:rsidR="000A08F4" w:rsidRPr="008C761D" w:rsidRDefault="002371A1"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Adoption a Strategy for Improvement of the Budget Institutions’s Accounting with a gap analysis, setting priorities and goals and action plan and amendments </w:t>
            </w:r>
            <w:proofErr w:type="gramStart"/>
            <w:r w:rsidRPr="008C761D">
              <w:rPr>
                <w:rFonts w:ascii="Arial" w:eastAsia="Times New Roman" w:hAnsi="Arial" w:cs="Arial"/>
                <w:sz w:val="12"/>
                <w:szCs w:val="12"/>
                <w:lang w:val="en-US" w:eastAsia="mk-MK"/>
              </w:rPr>
              <w:t>of  the</w:t>
            </w:r>
            <w:proofErr w:type="gramEnd"/>
            <w:r w:rsidRPr="008C761D">
              <w:rPr>
                <w:rFonts w:ascii="Arial" w:eastAsia="Times New Roman" w:hAnsi="Arial" w:cs="Arial"/>
                <w:sz w:val="12"/>
                <w:szCs w:val="12"/>
                <w:lang w:val="en-US" w:eastAsia="mk-MK"/>
              </w:rPr>
              <w:t xml:space="preserve"> Law on accounting of budgets and budget users</w:t>
            </w:r>
          </w:p>
        </w:tc>
        <w:tc>
          <w:tcPr>
            <w:tcW w:w="1194" w:type="dxa"/>
            <w:gridSpan w:val="3"/>
            <w:shd w:val="clear" w:color="000000" w:fill="FFFF99"/>
            <w:vAlign w:val="center"/>
            <w:hideMark/>
          </w:tcPr>
          <w:p w14:paraId="7EFB0220"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DC30FD" w:rsidRPr="008C761D">
              <w:rPr>
                <w:rFonts w:ascii="Arial" w:eastAsia="Times New Roman" w:hAnsi="Arial" w:cs="Arial"/>
                <w:sz w:val="12"/>
                <w:szCs w:val="12"/>
                <w:lang w:val="en-US" w:eastAsia="mk-MK"/>
              </w:rPr>
              <w:t>4</w:t>
            </w:r>
          </w:p>
        </w:tc>
        <w:tc>
          <w:tcPr>
            <w:tcW w:w="1418" w:type="dxa"/>
            <w:gridSpan w:val="2"/>
            <w:shd w:val="clear" w:color="000000" w:fill="FFFF99"/>
            <w:vAlign w:val="center"/>
            <w:hideMark/>
          </w:tcPr>
          <w:p w14:paraId="7E8D7B69" w14:textId="64281E2C"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F90378">
              <w:rPr>
                <w:rFonts w:ascii="Arial" w:eastAsia="Times New Roman" w:hAnsi="Arial" w:cs="Arial"/>
                <w:sz w:val="12"/>
                <w:szCs w:val="12"/>
                <w:lang w:val="en-US" w:eastAsia="mk-MK"/>
              </w:rPr>
              <w:t xml:space="preserve"> – Financial System Department</w:t>
            </w:r>
          </w:p>
        </w:tc>
        <w:tc>
          <w:tcPr>
            <w:tcW w:w="1644" w:type="dxa"/>
            <w:gridSpan w:val="3"/>
            <w:shd w:val="clear" w:color="000000" w:fill="FFFF99"/>
            <w:vAlign w:val="center"/>
            <w:hideMark/>
          </w:tcPr>
          <w:p w14:paraId="14C459AB" w14:textId="7BC8F64E" w:rsidR="000A08F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BB0A599" w14:textId="77777777" w:rsidR="000A08F4" w:rsidRPr="008C761D" w:rsidRDefault="00472503"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0A08F4" w:rsidRPr="008C761D">
              <w:rPr>
                <w:rFonts w:ascii="Arial" w:eastAsia="Times New Roman" w:hAnsi="Arial" w:cs="Arial"/>
                <w:sz w:val="12"/>
                <w:szCs w:val="12"/>
                <w:lang w:val="en-US" w:eastAsia="mk-MK"/>
              </w:rPr>
              <w:t xml:space="preserve">0,000     </w:t>
            </w:r>
          </w:p>
        </w:tc>
        <w:tc>
          <w:tcPr>
            <w:tcW w:w="1842" w:type="dxa"/>
            <w:gridSpan w:val="3"/>
            <w:shd w:val="clear" w:color="000000" w:fill="FFFF99"/>
            <w:vAlign w:val="center"/>
            <w:hideMark/>
          </w:tcPr>
          <w:p w14:paraId="52CDCC6D"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UNDP</w:t>
            </w:r>
          </w:p>
        </w:tc>
        <w:tc>
          <w:tcPr>
            <w:tcW w:w="1506" w:type="dxa"/>
            <w:gridSpan w:val="3"/>
            <w:shd w:val="clear" w:color="000000" w:fill="FFFF99"/>
            <w:vAlign w:val="center"/>
            <w:hideMark/>
          </w:tcPr>
          <w:p w14:paraId="3C285660" w14:textId="2A77AB33" w:rsidR="000A08F4" w:rsidRPr="008C761D" w:rsidRDefault="000A08F4" w:rsidP="00407B01">
            <w:pPr>
              <w:spacing w:after="0" w:line="240" w:lineRule="auto"/>
              <w:jc w:val="center"/>
              <w:rPr>
                <w:rFonts w:ascii="Arial" w:eastAsia="Times New Roman" w:hAnsi="Arial" w:cs="Arial"/>
                <w:sz w:val="12"/>
                <w:szCs w:val="12"/>
                <w:lang w:val="en-US" w:eastAsia="mk-MK"/>
              </w:rPr>
            </w:pPr>
          </w:p>
        </w:tc>
      </w:tr>
      <w:tr w:rsidR="000A08F4" w:rsidRPr="008C761D" w14:paraId="37E4657C" w14:textId="77777777" w:rsidTr="003F623B">
        <w:trPr>
          <w:gridAfter w:val="1"/>
          <w:wAfter w:w="180" w:type="dxa"/>
          <w:trHeight w:val="680"/>
          <w:jc w:val="center"/>
        </w:trPr>
        <w:tc>
          <w:tcPr>
            <w:tcW w:w="2385" w:type="dxa"/>
            <w:gridSpan w:val="7"/>
            <w:vMerge/>
            <w:tcBorders>
              <w:top w:val="nil"/>
              <w:left w:val="nil"/>
              <w:bottom w:val="nil"/>
              <w:right w:val="single" w:sz="8" w:space="0" w:color="000000"/>
            </w:tcBorders>
            <w:vAlign w:val="center"/>
            <w:hideMark/>
          </w:tcPr>
          <w:p w14:paraId="2DE1DBD9" w14:textId="77777777" w:rsidR="000A08F4" w:rsidRPr="008C761D" w:rsidRDefault="000A08F4" w:rsidP="008D17AC">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CBBF277" w14:textId="7704064B" w:rsidR="000A08F4" w:rsidRPr="008C761D" w:rsidRDefault="002371A1"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Adopting a new regulatory framework on accounting of budgets and budget users and bylaws</w:t>
            </w:r>
          </w:p>
        </w:tc>
        <w:tc>
          <w:tcPr>
            <w:tcW w:w="1194" w:type="dxa"/>
            <w:gridSpan w:val="3"/>
            <w:shd w:val="clear" w:color="000000" w:fill="FFFF99"/>
            <w:vAlign w:val="center"/>
            <w:hideMark/>
          </w:tcPr>
          <w:p w14:paraId="6151A8E1"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DC30FD"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14C89DED" w14:textId="05E01E49" w:rsidR="000A08F4" w:rsidRPr="008C761D" w:rsidRDefault="00F90378"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Financial System Department</w:t>
            </w:r>
          </w:p>
        </w:tc>
        <w:tc>
          <w:tcPr>
            <w:tcW w:w="1644" w:type="dxa"/>
            <w:gridSpan w:val="3"/>
            <w:shd w:val="clear" w:color="000000" w:fill="FFFF99"/>
            <w:vAlign w:val="center"/>
            <w:hideMark/>
          </w:tcPr>
          <w:p w14:paraId="6F5F4CEF" w14:textId="679DF968" w:rsidR="000A08F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361763BD"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3A5A0754"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506" w:type="dxa"/>
            <w:gridSpan w:val="3"/>
            <w:shd w:val="clear" w:color="000000" w:fill="FFFF99"/>
            <w:vAlign w:val="center"/>
            <w:hideMark/>
          </w:tcPr>
          <w:p w14:paraId="2AD7E7CD" w14:textId="0C04AD43" w:rsidR="000A08F4" w:rsidRPr="008C761D" w:rsidRDefault="000A08F4" w:rsidP="00407B01">
            <w:pPr>
              <w:spacing w:after="0" w:line="240" w:lineRule="auto"/>
              <w:jc w:val="center"/>
              <w:rPr>
                <w:rFonts w:ascii="Arial" w:eastAsia="Times New Roman" w:hAnsi="Arial" w:cs="Arial"/>
                <w:sz w:val="12"/>
                <w:szCs w:val="12"/>
                <w:lang w:val="en-US" w:eastAsia="mk-MK"/>
              </w:rPr>
            </w:pPr>
          </w:p>
        </w:tc>
      </w:tr>
      <w:tr w:rsidR="000A08F4" w:rsidRPr="008C761D" w14:paraId="4591F543" w14:textId="77777777" w:rsidTr="003F623B">
        <w:trPr>
          <w:gridAfter w:val="1"/>
          <w:wAfter w:w="180" w:type="dxa"/>
          <w:trHeight w:val="546"/>
          <w:jc w:val="center"/>
        </w:trPr>
        <w:tc>
          <w:tcPr>
            <w:tcW w:w="2385" w:type="dxa"/>
            <w:gridSpan w:val="7"/>
            <w:tcBorders>
              <w:top w:val="nil"/>
              <w:left w:val="nil"/>
              <w:bottom w:val="nil"/>
              <w:right w:val="single" w:sz="8" w:space="0" w:color="000000"/>
            </w:tcBorders>
            <w:shd w:val="clear" w:color="auto" w:fill="auto"/>
            <w:vAlign w:val="center"/>
            <w:hideMark/>
          </w:tcPr>
          <w:p w14:paraId="501620DC" w14:textId="77777777" w:rsidR="000A08F4" w:rsidRPr="008C761D" w:rsidRDefault="000A08F4" w:rsidP="008D17AC">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7BF77774" w14:textId="102AC352" w:rsidR="000A08F4" w:rsidRPr="008C761D" w:rsidRDefault="002371A1" w:rsidP="008D17A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Harmonizing budget information systems and budget users with the new accounting requirements</w:t>
            </w:r>
          </w:p>
        </w:tc>
        <w:tc>
          <w:tcPr>
            <w:tcW w:w="1194" w:type="dxa"/>
            <w:gridSpan w:val="3"/>
            <w:shd w:val="clear" w:color="000000" w:fill="FFFF99"/>
            <w:vAlign w:val="center"/>
            <w:hideMark/>
          </w:tcPr>
          <w:p w14:paraId="5FAE8DAE"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DC30FD" w:rsidRPr="008C761D">
              <w:rPr>
                <w:rFonts w:ascii="Arial" w:eastAsia="Times New Roman" w:hAnsi="Arial" w:cs="Arial"/>
                <w:sz w:val="12"/>
                <w:szCs w:val="12"/>
                <w:lang w:val="en-US" w:eastAsia="mk-MK"/>
              </w:rPr>
              <w:t>6</w:t>
            </w:r>
            <w:r w:rsidRPr="008C761D">
              <w:rPr>
                <w:rFonts w:ascii="Arial" w:eastAsia="Times New Roman" w:hAnsi="Arial" w:cs="Arial"/>
                <w:sz w:val="12"/>
                <w:szCs w:val="12"/>
                <w:lang w:val="en-US" w:eastAsia="mk-MK"/>
              </w:rPr>
              <w:t>-2027</w:t>
            </w:r>
          </w:p>
        </w:tc>
        <w:tc>
          <w:tcPr>
            <w:tcW w:w="1418" w:type="dxa"/>
            <w:gridSpan w:val="2"/>
            <w:shd w:val="clear" w:color="000000" w:fill="FFFF99"/>
            <w:vAlign w:val="center"/>
            <w:hideMark/>
          </w:tcPr>
          <w:p w14:paraId="467E45D2" w14:textId="3955C1E4" w:rsidR="000A08F4" w:rsidRPr="008C761D" w:rsidRDefault="002371A1"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w:t>
            </w:r>
            <w:r w:rsidR="000A08F4" w:rsidRPr="008C761D">
              <w:rPr>
                <w:rFonts w:ascii="Arial" w:eastAsia="Times New Roman" w:hAnsi="Arial" w:cs="Arial"/>
                <w:sz w:val="12"/>
                <w:szCs w:val="12"/>
                <w:lang w:val="en-US" w:eastAsia="mk-MK"/>
              </w:rPr>
              <w:t>ll</w:t>
            </w:r>
            <w:r w:rsidRPr="008C761D">
              <w:rPr>
                <w:rFonts w:ascii="Arial" w:eastAsia="Times New Roman" w:hAnsi="Arial" w:cs="Arial"/>
                <w:sz w:val="12"/>
                <w:szCs w:val="12"/>
                <w:lang w:val="en-US" w:eastAsia="mk-MK"/>
              </w:rPr>
              <w:t xml:space="preserve"> </w:t>
            </w:r>
            <w:r w:rsidR="000A08F4" w:rsidRPr="008C761D">
              <w:rPr>
                <w:rFonts w:ascii="Arial" w:eastAsia="Times New Roman" w:hAnsi="Arial" w:cs="Arial"/>
                <w:sz w:val="12"/>
                <w:szCs w:val="12"/>
                <w:lang w:val="en-US" w:eastAsia="mk-MK"/>
              </w:rPr>
              <w:t>budget</w:t>
            </w:r>
            <w:r w:rsidRPr="008C761D">
              <w:rPr>
                <w:rFonts w:ascii="Arial" w:eastAsia="Times New Roman" w:hAnsi="Arial" w:cs="Arial"/>
                <w:sz w:val="12"/>
                <w:szCs w:val="12"/>
                <w:lang w:val="en-US" w:eastAsia="mk-MK"/>
              </w:rPr>
              <w:t xml:space="preserve"> </w:t>
            </w:r>
            <w:r w:rsidR="000A08F4" w:rsidRPr="008C761D">
              <w:rPr>
                <w:rFonts w:ascii="Arial" w:eastAsia="Times New Roman" w:hAnsi="Arial" w:cs="Arial"/>
                <w:sz w:val="12"/>
                <w:szCs w:val="12"/>
                <w:lang w:val="en-US" w:eastAsia="mk-MK"/>
              </w:rPr>
              <w:t>institutions</w:t>
            </w:r>
          </w:p>
        </w:tc>
        <w:tc>
          <w:tcPr>
            <w:tcW w:w="1644" w:type="dxa"/>
            <w:gridSpan w:val="3"/>
            <w:shd w:val="clear" w:color="000000" w:fill="FFFF99"/>
            <w:vAlign w:val="center"/>
            <w:hideMark/>
          </w:tcPr>
          <w:p w14:paraId="75495B8F" w14:textId="3275FA5A" w:rsidR="000A08F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1A4A67BA" w14:textId="77777777"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3379F7E7" w14:textId="29FC0C2A" w:rsidR="000A08F4" w:rsidRPr="008C761D" w:rsidRDefault="000A08F4"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w:t>
            </w:r>
            <w:r w:rsidR="002371A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institutions</w:t>
            </w:r>
          </w:p>
        </w:tc>
        <w:tc>
          <w:tcPr>
            <w:tcW w:w="1506" w:type="dxa"/>
            <w:gridSpan w:val="3"/>
            <w:shd w:val="clear" w:color="000000" w:fill="FFFF99"/>
            <w:vAlign w:val="center"/>
            <w:hideMark/>
          </w:tcPr>
          <w:p w14:paraId="69282EA2" w14:textId="66274811" w:rsidR="000A08F4" w:rsidRPr="008C761D" w:rsidRDefault="000A08F4" w:rsidP="00407B01">
            <w:pPr>
              <w:spacing w:after="0" w:line="240" w:lineRule="auto"/>
              <w:jc w:val="center"/>
              <w:rPr>
                <w:rFonts w:ascii="Arial" w:eastAsia="Times New Roman" w:hAnsi="Arial" w:cs="Arial"/>
                <w:sz w:val="12"/>
                <w:szCs w:val="12"/>
                <w:lang w:val="en-US" w:eastAsia="mk-MK"/>
              </w:rPr>
            </w:pPr>
          </w:p>
        </w:tc>
      </w:tr>
      <w:tr w:rsidR="00446404" w:rsidRPr="008C761D" w14:paraId="6A6192CA" w14:textId="77777777" w:rsidTr="003F623B">
        <w:trPr>
          <w:gridAfter w:val="1"/>
          <w:wAfter w:w="180" w:type="dxa"/>
          <w:trHeight w:val="546"/>
          <w:jc w:val="center"/>
        </w:trPr>
        <w:tc>
          <w:tcPr>
            <w:tcW w:w="2385" w:type="dxa"/>
            <w:gridSpan w:val="7"/>
            <w:tcBorders>
              <w:top w:val="nil"/>
              <w:left w:val="nil"/>
              <w:bottom w:val="nil"/>
              <w:right w:val="single" w:sz="8" w:space="0" w:color="000000"/>
            </w:tcBorders>
            <w:shd w:val="clear" w:color="auto" w:fill="auto"/>
            <w:vAlign w:val="center"/>
          </w:tcPr>
          <w:p w14:paraId="5F65A726" w14:textId="77777777" w:rsidR="00446404" w:rsidRPr="008C761D" w:rsidRDefault="00446404" w:rsidP="008D17AC">
            <w:pPr>
              <w:spacing w:after="0" w:line="240" w:lineRule="auto"/>
              <w:jc w:val="both"/>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59CA4D45" w14:textId="10BFDF10" w:rsidR="00446404" w:rsidRPr="008C761D" w:rsidRDefault="00446404" w:rsidP="008D17AC">
            <w:pPr>
              <w:spacing w:after="0" w:line="240" w:lineRule="auto"/>
              <w:rPr>
                <w:rFonts w:ascii="Arial" w:eastAsia="Times New Roman" w:hAnsi="Arial" w:cs="Arial"/>
                <w:sz w:val="12"/>
                <w:szCs w:val="12"/>
                <w:lang w:val="en-US" w:eastAsia="mk-MK"/>
              </w:rPr>
            </w:pPr>
            <w:r w:rsidRPr="00446404">
              <w:rPr>
                <w:rFonts w:ascii="Arial" w:eastAsia="Times New Roman" w:hAnsi="Arial" w:cs="Arial"/>
                <w:sz w:val="12"/>
                <w:szCs w:val="12"/>
                <w:lang w:val="en-US" w:eastAsia="mk-MK"/>
              </w:rPr>
              <w:t>4. Training and examination for accountants in the public sector</w:t>
            </w:r>
          </w:p>
        </w:tc>
        <w:tc>
          <w:tcPr>
            <w:tcW w:w="1194" w:type="dxa"/>
            <w:gridSpan w:val="3"/>
            <w:shd w:val="clear" w:color="000000" w:fill="FFFF99"/>
            <w:vAlign w:val="center"/>
          </w:tcPr>
          <w:p w14:paraId="4103428F" w14:textId="233897DA" w:rsidR="00446404" w:rsidRPr="008C761D" w:rsidRDefault="00446404" w:rsidP="008D17AC">
            <w:pPr>
              <w:spacing w:after="0" w:line="240" w:lineRule="auto"/>
              <w:jc w:val="center"/>
              <w:rPr>
                <w:rFonts w:ascii="Arial" w:eastAsia="Times New Roman" w:hAnsi="Arial" w:cs="Arial"/>
                <w:sz w:val="12"/>
                <w:szCs w:val="12"/>
                <w:lang w:val="en-US" w:eastAsia="mk-MK"/>
              </w:rPr>
            </w:pPr>
            <w:r w:rsidRPr="00446404">
              <w:rPr>
                <w:rFonts w:ascii="Arial" w:eastAsia="Times New Roman" w:hAnsi="Arial" w:cs="Arial"/>
                <w:sz w:val="12"/>
                <w:szCs w:val="12"/>
                <w:lang w:val="en-US" w:eastAsia="mk-MK"/>
              </w:rPr>
              <w:t>2025-2027</w:t>
            </w:r>
          </w:p>
        </w:tc>
        <w:tc>
          <w:tcPr>
            <w:tcW w:w="1418" w:type="dxa"/>
            <w:gridSpan w:val="2"/>
            <w:shd w:val="clear" w:color="000000" w:fill="FFFF99"/>
            <w:vAlign w:val="center"/>
          </w:tcPr>
          <w:p w14:paraId="351D3068" w14:textId="01F693D1" w:rsidR="00446404" w:rsidRPr="00446404" w:rsidRDefault="00F90378" w:rsidP="008D17A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Financial System Department</w:t>
            </w:r>
          </w:p>
        </w:tc>
        <w:tc>
          <w:tcPr>
            <w:tcW w:w="1644" w:type="dxa"/>
            <w:gridSpan w:val="3"/>
            <w:shd w:val="clear" w:color="000000" w:fill="FFFF99"/>
            <w:vAlign w:val="center"/>
          </w:tcPr>
          <w:p w14:paraId="43291BFD" w14:textId="77777777" w:rsidR="00446404" w:rsidRDefault="0044640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Universities</w:t>
            </w:r>
          </w:p>
          <w:p w14:paraId="3BD6D20F" w14:textId="731213ED" w:rsidR="00446404" w:rsidRPr="008C761D" w:rsidRDefault="0044640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CEF</w:t>
            </w:r>
          </w:p>
        </w:tc>
        <w:tc>
          <w:tcPr>
            <w:tcW w:w="1758" w:type="dxa"/>
            <w:gridSpan w:val="2"/>
            <w:shd w:val="clear" w:color="000000" w:fill="FFFF99"/>
            <w:vAlign w:val="center"/>
          </w:tcPr>
          <w:p w14:paraId="3B455FD8" w14:textId="40CCC9E3" w:rsidR="00446404" w:rsidRPr="008C761D" w:rsidRDefault="00446404" w:rsidP="008D17A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tcPr>
          <w:p w14:paraId="6F7AA580" w14:textId="0B69CDBA" w:rsidR="00446404" w:rsidRPr="008C761D" w:rsidRDefault="00446404" w:rsidP="008D17A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tcPr>
          <w:p w14:paraId="4F2C1D01" w14:textId="209A9A89" w:rsidR="00446404" w:rsidRPr="008C761D" w:rsidRDefault="00446404" w:rsidP="00407B01">
            <w:pPr>
              <w:spacing w:after="0" w:line="240" w:lineRule="auto"/>
              <w:jc w:val="center"/>
              <w:rPr>
                <w:rFonts w:ascii="Arial" w:eastAsia="Times New Roman" w:hAnsi="Arial" w:cs="Arial"/>
                <w:sz w:val="12"/>
                <w:szCs w:val="12"/>
                <w:lang w:val="en-US" w:eastAsia="mk-MK"/>
              </w:rPr>
            </w:pPr>
          </w:p>
        </w:tc>
      </w:tr>
      <w:tr w:rsidR="00485BAA" w:rsidRPr="008C761D" w14:paraId="080B2984" w14:textId="77777777" w:rsidTr="003F623B">
        <w:trPr>
          <w:gridBefore w:val="1"/>
          <w:gridAfter w:val="1"/>
          <w:wBefore w:w="17" w:type="dxa"/>
          <w:wAfter w:w="180" w:type="dxa"/>
          <w:trHeight w:val="214"/>
          <w:jc w:val="center"/>
        </w:trPr>
        <w:tc>
          <w:tcPr>
            <w:tcW w:w="13501" w:type="dxa"/>
            <w:gridSpan w:val="25"/>
            <w:shd w:val="clear" w:color="000000" w:fill="1F3864"/>
            <w:vAlign w:val="center"/>
            <w:hideMark/>
          </w:tcPr>
          <w:p w14:paraId="3525D939" w14:textId="6B0BD86B"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IV</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PUBLIC PROCUREMENT</w:t>
            </w:r>
          </w:p>
        </w:tc>
      </w:tr>
      <w:tr w:rsidR="00485BAA" w:rsidRPr="008C761D" w14:paraId="6CB89331" w14:textId="77777777" w:rsidTr="003F623B">
        <w:trPr>
          <w:gridBefore w:val="1"/>
          <w:gridAfter w:val="1"/>
          <w:wBefore w:w="17" w:type="dxa"/>
          <w:wAfter w:w="180" w:type="dxa"/>
          <w:trHeight w:val="255"/>
          <w:jc w:val="center"/>
        </w:trPr>
        <w:tc>
          <w:tcPr>
            <w:tcW w:w="13501" w:type="dxa"/>
            <w:gridSpan w:val="25"/>
            <w:shd w:val="clear" w:color="000000" w:fill="1F3864"/>
            <w:vAlign w:val="center"/>
            <w:hideMark/>
          </w:tcPr>
          <w:p w14:paraId="2F445D35" w14:textId="77777777"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 PUBLIC PROCUREMENT POLICY</w:t>
            </w:r>
          </w:p>
        </w:tc>
      </w:tr>
      <w:tr w:rsidR="00485BAA" w:rsidRPr="008C761D" w14:paraId="448C6520" w14:textId="77777777" w:rsidTr="003F623B">
        <w:trPr>
          <w:gridBefore w:val="1"/>
          <w:gridAfter w:val="1"/>
          <w:wBefore w:w="17" w:type="dxa"/>
          <w:wAfter w:w="180" w:type="dxa"/>
          <w:trHeight w:val="360"/>
          <w:jc w:val="center"/>
        </w:trPr>
        <w:tc>
          <w:tcPr>
            <w:tcW w:w="2368" w:type="dxa"/>
            <w:gridSpan w:val="6"/>
            <w:shd w:val="clear" w:color="000000" w:fill="9BD2ED"/>
            <w:vAlign w:val="center"/>
            <w:hideMark/>
          </w:tcPr>
          <w:p w14:paraId="7FF3AFF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42B1952E" w14:textId="216C5B7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B33D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31B4DD7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02A0798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DF6C91"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616296A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E39FBA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179147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D139D7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7</w:t>
            </w:r>
          </w:p>
        </w:tc>
      </w:tr>
      <w:tr w:rsidR="00275961" w:rsidRPr="008C761D" w14:paraId="1CF2930F" w14:textId="77777777" w:rsidTr="003F623B">
        <w:trPr>
          <w:gridBefore w:val="1"/>
          <w:gridAfter w:val="1"/>
          <w:wBefore w:w="17" w:type="dxa"/>
          <w:wAfter w:w="180" w:type="dxa"/>
          <w:trHeight w:val="450"/>
          <w:jc w:val="center"/>
        </w:trPr>
        <w:tc>
          <w:tcPr>
            <w:tcW w:w="2368" w:type="dxa"/>
            <w:gridSpan w:val="6"/>
            <w:vMerge w:val="restart"/>
            <w:shd w:val="clear" w:color="000000" w:fill="FFFF99"/>
            <w:vAlign w:val="center"/>
            <w:hideMark/>
          </w:tcPr>
          <w:p w14:paraId="59104B60" w14:textId="35D68081" w:rsidR="00275961" w:rsidRPr="008C761D" w:rsidRDefault="0027596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w:t>
            </w:r>
            <w:r w:rsidR="00236E9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public</w:t>
            </w:r>
            <w:r w:rsidR="00236E9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procurement</w:t>
            </w:r>
            <w:r w:rsidR="00236E9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process.</w:t>
            </w:r>
          </w:p>
        </w:tc>
        <w:tc>
          <w:tcPr>
            <w:tcW w:w="1771" w:type="dxa"/>
            <w:gridSpan w:val="3"/>
            <w:shd w:val="clear" w:color="000000" w:fill="FFFF99"/>
            <w:vAlign w:val="center"/>
            <w:hideMark/>
          </w:tcPr>
          <w:p w14:paraId="6128780A" w14:textId="18BB8E15" w:rsidR="00275961" w:rsidRPr="008C761D" w:rsidRDefault="00CB33DB"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w:t>
            </w:r>
            <w:r w:rsidR="00275961" w:rsidRPr="008C761D">
              <w:rPr>
                <w:rFonts w:ascii="Arial" w:eastAsia="Times New Roman" w:hAnsi="Arial" w:cs="Arial"/>
                <w:sz w:val="12"/>
                <w:szCs w:val="12"/>
                <w:lang w:val="en-US" w:eastAsia="mk-MK"/>
              </w:rPr>
              <w:t>ercentage</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one</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bid</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tenders</w:t>
            </w:r>
          </w:p>
        </w:tc>
        <w:tc>
          <w:tcPr>
            <w:tcW w:w="1194" w:type="dxa"/>
            <w:gridSpan w:val="3"/>
            <w:shd w:val="clear" w:color="000000" w:fill="FFFF99"/>
            <w:vAlign w:val="center"/>
            <w:hideMark/>
          </w:tcPr>
          <w:p w14:paraId="6892137D"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ESPP</w:t>
            </w:r>
          </w:p>
        </w:tc>
        <w:tc>
          <w:tcPr>
            <w:tcW w:w="1418" w:type="dxa"/>
            <w:gridSpan w:val="2"/>
            <w:shd w:val="clear" w:color="000000" w:fill="FFFF99"/>
            <w:vAlign w:val="center"/>
            <w:hideMark/>
          </w:tcPr>
          <w:p w14:paraId="470285EA"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29,70%</w:t>
            </w:r>
          </w:p>
        </w:tc>
        <w:tc>
          <w:tcPr>
            <w:tcW w:w="1644" w:type="dxa"/>
            <w:gridSpan w:val="3"/>
            <w:shd w:val="clear" w:color="000000" w:fill="FFFF99"/>
            <w:vAlign w:val="center"/>
            <w:hideMark/>
          </w:tcPr>
          <w:p w14:paraId="46D8443D"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29 %</w:t>
            </w:r>
          </w:p>
        </w:tc>
        <w:tc>
          <w:tcPr>
            <w:tcW w:w="1758" w:type="dxa"/>
            <w:gridSpan w:val="2"/>
            <w:shd w:val="clear" w:color="000000" w:fill="FFFF99"/>
            <w:vAlign w:val="center"/>
            <w:hideMark/>
          </w:tcPr>
          <w:p w14:paraId="71BEB704"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28 %</w:t>
            </w:r>
          </w:p>
        </w:tc>
        <w:tc>
          <w:tcPr>
            <w:tcW w:w="1842" w:type="dxa"/>
            <w:gridSpan w:val="3"/>
            <w:shd w:val="clear" w:color="000000" w:fill="FFFF99"/>
            <w:vAlign w:val="center"/>
            <w:hideMark/>
          </w:tcPr>
          <w:p w14:paraId="3C801302"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27 %</w:t>
            </w:r>
          </w:p>
        </w:tc>
        <w:tc>
          <w:tcPr>
            <w:tcW w:w="1506" w:type="dxa"/>
            <w:gridSpan w:val="3"/>
            <w:shd w:val="clear" w:color="000000" w:fill="FFFF99"/>
            <w:vAlign w:val="center"/>
            <w:hideMark/>
          </w:tcPr>
          <w:p w14:paraId="186605A0"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26 %</w:t>
            </w:r>
          </w:p>
        </w:tc>
      </w:tr>
      <w:tr w:rsidR="00275961" w:rsidRPr="008C761D" w14:paraId="3A80F3DD" w14:textId="77777777" w:rsidTr="003F623B">
        <w:trPr>
          <w:gridBefore w:val="1"/>
          <w:gridAfter w:val="1"/>
          <w:wBefore w:w="17" w:type="dxa"/>
          <w:wAfter w:w="180" w:type="dxa"/>
          <w:trHeight w:val="525"/>
          <w:jc w:val="center"/>
        </w:trPr>
        <w:tc>
          <w:tcPr>
            <w:tcW w:w="2368" w:type="dxa"/>
            <w:gridSpan w:val="6"/>
            <w:vMerge/>
            <w:vAlign w:val="center"/>
            <w:hideMark/>
          </w:tcPr>
          <w:p w14:paraId="21006850" w14:textId="77777777" w:rsidR="00275961" w:rsidRPr="008C761D" w:rsidRDefault="00275961"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27AE91F1" w14:textId="08D4189B" w:rsidR="00275961" w:rsidRPr="008C761D" w:rsidRDefault="00CB33DB"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w:t>
            </w:r>
            <w:r w:rsidR="00275961" w:rsidRPr="008C761D">
              <w:rPr>
                <w:rFonts w:ascii="Arial" w:eastAsia="Times New Roman" w:hAnsi="Arial" w:cs="Arial"/>
                <w:sz w:val="12"/>
                <w:szCs w:val="12"/>
                <w:lang w:val="en-US" w:eastAsia="mk-MK"/>
              </w:rPr>
              <w:t>ercentage</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cancelled</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procedures</w:t>
            </w:r>
          </w:p>
        </w:tc>
        <w:tc>
          <w:tcPr>
            <w:tcW w:w="1194" w:type="dxa"/>
            <w:gridSpan w:val="3"/>
            <w:shd w:val="clear" w:color="000000" w:fill="FFFF99"/>
            <w:vAlign w:val="center"/>
            <w:hideMark/>
          </w:tcPr>
          <w:p w14:paraId="6F218BF6"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ESPP</w:t>
            </w:r>
          </w:p>
        </w:tc>
        <w:tc>
          <w:tcPr>
            <w:tcW w:w="1418" w:type="dxa"/>
            <w:gridSpan w:val="2"/>
            <w:shd w:val="clear" w:color="000000" w:fill="FFFF99"/>
            <w:vAlign w:val="center"/>
            <w:hideMark/>
          </w:tcPr>
          <w:p w14:paraId="75034C28"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21,16%</w:t>
            </w:r>
          </w:p>
        </w:tc>
        <w:tc>
          <w:tcPr>
            <w:tcW w:w="1644" w:type="dxa"/>
            <w:gridSpan w:val="3"/>
            <w:shd w:val="clear" w:color="000000" w:fill="FFFF99"/>
            <w:vAlign w:val="center"/>
            <w:hideMark/>
          </w:tcPr>
          <w:p w14:paraId="1A8D9B09"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21 %</w:t>
            </w:r>
          </w:p>
        </w:tc>
        <w:tc>
          <w:tcPr>
            <w:tcW w:w="1758" w:type="dxa"/>
            <w:gridSpan w:val="2"/>
            <w:shd w:val="clear" w:color="000000" w:fill="FFFF99"/>
            <w:vAlign w:val="center"/>
            <w:hideMark/>
          </w:tcPr>
          <w:p w14:paraId="45816F87"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19,5 %</w:t>
            </w:r>
          </w:p>
        </w:tc>
        <w:tc>
          <w:tcPr>
            <w:tcW w:w="1842" w:type="dxa"/>
            <w:gridSpan w:val="3"/>
            <w:shd w:val="clear" w:color="000000" w:fill="FFFF99"/>
            <w:vAlign w:val="center"/>
            <w:hideMark/>
          </w:tcPr>
          <w:p w14:paraId="11A05DEB" w14:textId="77777777"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19 %</w:t>
            </w:r>
          </w:p>
        </w:tc>
        <w:tc>
          <w:tcPr>
            <w:tcW w:w="1506" w:type="dxa"/>
            <w:gridSpan w:val="3"/>
            <w:shd w:val="clear" w:color="000000" w:fill="FFFF99"/>
            <w:vAlign w:val="center"/>
            <w:hideMark/>
          </w:tcPr>
          <w:p w14:paraId="503FCBF9" w14:textId="77777777" w:rsidR="00275961" w:rsidRPr="008C761D" w:rsidRDefault="0027596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18,5 %</w:t>
            </w:r>
          </w:p>
        </w:tc>
      </w:tr>
      <w:tr w:rsidR="00275961" w:rsidRPr="008C761D" w14:paraId="6D9C8EF0" w14:textId="77777777" w:rsidTr="003F623B">
        <w:trPr>
          <w:gridBefore w:val="1"/>
          <w:gridAfter w:val="1"/>
          <w:wBefore w:w="17" w:type="dxa"/>
          <w:wAfter w:w="180" w:type="dxa"/>
          <w:trHeight w:val="525"/>
          <w:jc w:val="center"/>
        </w:trPr>
        <w:tc>
          <w:tcPr>
            <w:tcW w:w="2368" w:type="dxa"/>
            <w:gridSpan w:val="6"/>
            <w:vMerge/>
            <w:vAlign w:val="center"/>
            <w:hideMark/>
          </w:tcPr>
          <w:p w14:paraId="0018280D" w14:textId="77777777" w:rsidR="00275961" w:rsidRPr="008C761D" w:rsidRDefault="00275961"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39C52821" w14:textId="3A21159D" w:rsidR="00275961" w:rsidRPr="008C761D" w:rsidRDefault="00CB33DB"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w:t>
            </w:r>
            <w:r w:rsidR="00275961" w:rsidRPr="008C761D">
              <w:rPr>
                <w:rFonts w:ascii="Arial" w:eastAsia="Times New Roman" w:hAnsi="Arial" w:cs="Arial"/>
                <w:sz w:val="12"/>
                <w:szCs w:val="12"/>
                <w:lang w:val="en-US" w:eastAsia="mk-MK"/>
              </w:rPr>
              <w:t>umber</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of</w:t>
            </w:r>
            <w:r w:rsidRPr="008C761D">
              <w:rPr>
                <w:rFonts w:ascii="Arial" w:eastAsia="Times New Roman" w:hAnsi="Arial" w:cs="Arial"/>
                <w:sz w:val="12"/>
                <w:szCs w:val="12"/>
                <w:lang w:val="en-US" w:eastAsia="mk-MK"/>
              </w:rPr>
              <w:t xml:space="preserve"> </w:t>
            </w:r>
            <w:r w:rsidR="00275961" w:rsidRPr="008C761D">
              <w:rPr>
                <w:rFonts w:ascii="Arial" w:eastAsia="Times New Roman" w:hAnsi="Arial" w:cs="Arial"/>
                <w:sz w:val="12"/>
                <w:szCs w:val="12"/>
                <w:lang w:val="en-US" w:eastAsia="mk-MK"/>
              </w:rPr>
              <w:t>appeals</w:t>
            </w:r>
          </w:p>
        </w:tc>
        <w:tc>
          <w:tcPr>
            <w:tcW w:w="1194" w:type="dxa"/>
            <w:gridSpan w:val="3"/>
            <w:shd w:val="clear" w:color="000000" w:fill="FFFF99"/>
            <w:vAlign w:val="center"/>
            <w:hideMark/>
          </w:tcPr>
          <w:p w14:paraId="5BA156AD"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SAC/ESPP</w:t>
            </w:r>
          </w:p>
        </w:tc>
        <w:tc>
          <w:tcPr>
            <w:tcW w:w="1418" w:type="dxa"/>
            <w:gridSpan w:val="2"/>
            <w:shd w:val="clear" w:color="000000" w:fill="FFFF99"/>
            <w:vAlign w:val="center"/>
            <w:hideMark/>
          </w:tcPr>
          <w:p w14:paraId="57870669" w14:textId="17C50DE6" w:rsidR="00275961" w:rsidRPr="008C761D" w:rsidRDefault="00CB33D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Total number of received complaints before the SAC - 837</w:t>
            </w:r>
          </w:p>
        </w:tc>
        <w:tc>
          <w:tcPr>
            <w:tcW w:w="1644" w:type="dxa"/>
            <w:gridSpan w:val="3"/>
            <w:shd w:val="clear" w:color="000000" w:fill="FFFF99"/>
            <w:vAlign w:val="center"/>
            <w:hideMark/>
          </w:tcPr>
          <w:p w14:paraId="720DC2A2" w14:textId="20E70460"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0.5%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appeals</w:t>
            </w:r>
          </w:p>
        </w:tc>
        <w:tc>
          <w:tcPr>
            <w:tcW w:w="1758" w:type="dxa"/>
            <w:gridSpan w:val="2"/>
            <w:shd w:val="clear" w:color="000000" w:fill="FFFF99"/>
            <w:vAlign w:val="center"/>
            <w:hideMark/>
          </w:tcPr>
          <w:p w14:paraId="14F0AE8D" w14:textId="5D65387F"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1%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appeals</w:t>
            </w:r>
          </w:p>
        </w:tc>
        <w:tc>
          <w:tcPr>
            <w:tcW w:w="1842" w:type="dxa"/>
            <w:gridSpan w:val="3"/>
            <w:shd w:val="clear" w:color="000000" w:fill="FFFF99"/>
            <w:vAlign w:val="center"/>
            <w:hideMark/>
          </w:tcPr>
          <w:p w14:paraId="706507B3" w14:textId="16A2197F"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1.5%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appeals</w:t>
            </w:r>
          </w:p>
        </w:tc>
        <w:tc>
          <w:tcPr>
            <w:tcW w:w="1506" w:type="dxa"/>
            <w:gridSpan w:val="3"/>
            <w:shd w:val="clear" w:color="000000" w:fill="FFFF99"/>
            <w:vAlign w:val="center"/>
            <w:hideMark/>
          </w:tcPr>
          <w:p w14:paraId="6EE54BDF" w14:textId="605AF663" w:rsidR="00275961" w:rsidRPr="008C761D" w:rsidRDefault="0027596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2%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appeals</w:t>
            </w:r>
          </w:p>
        </w:tc>
      </w:tr>
      <w:tr w:rsidR="00275961" w:rsidRPr="008C761D" w14:paraId="5ED1C692" w14:textId="77777777" w:rsidTr="003F623B">
        <w:trPr>
          <w:gridBefore w:val="1"/>
          <w:gridAfter w:val="1"/>
          <w:wBefore w:w="17" w:type="dxa"/>
          <w:wAfter w:w="180" w:type="dxa"/>
          <w:trHeight w:val="525"/>
          <w:jc w:val="center"/>
        </w:trPr>
        <w:tc>
          <w:tcPr>
            <w:tcW w:w="2368" w:type="dxa"/>
            <w:gridSpan w:val="6"/>
            <w:vMerge/>
            <w:vAlign w:val="center"/>
            <w:hideMark/>
          </w:tcPr>
          <w:p w14:paraId="2A2480CE" w14:textId="77777777" w:rsidR="00275961" w:rsidRPr="008C761D" w:rsidRDefault="00275961"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556E1CCD" w14:textId="77777777" w:rsidR="00275961" w:rsidRPr="008C761D" w:rsidRDefault="0027596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numberofappealsbeforeboththeAdministrativeCourtandtheHigherAdministrativeCourt.</w:t>
            </w:r>
          </w:p>
        </w:tc>
        <w:tc>
          <w:tcPr>
            <w:tcW w:w="1194" w:type="dxa"/>
            <w:gridSpan w:val="3"/>
            <w:shd w:val="clear" w:color="000000" w:fill="FFFF99"/>
            <w:vAlign w:val="center"/>
            <w:hideMark/>
          </w:tcPr>
          <w:p w14:paraId="7C53C6A0" w14:textId="77777777" w:rsidR="00275961" w:rsidRPr="008C761D" w:rsidRDefault="002759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SAC</w:t>
            </w:r>
          </w:p>
        </w:tc>
        <w:tc>
          <w:tcPr>
            <w:tcW w:w="1418" w:type="dxa"/>
            <w:gridSpan w:val="2"/>
            <w:shd w:val="clear" w:color="000000" w:fill="FFFF99"/>
            <w:vAlign w:val="center"/>
            <w:hideMark/>
          </w:tcPr>
          <w:p w14:paraId="34F7E661" w14:textId="4A0EED23" w:rsidR="00275961" w:rsidRPr="008C761D" w:rsidRDefault="00CB33D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Lawsuits filed before the Administrative Court -10,58% Judgments of the Administrative Court - 54 Appeals before the High Administrative Court - 58</w:t>
            </w:r>
          </w:p>
        </w:tc>
        <w:tc>
          <w:tcPr>
            <w:tcW w:w="1644" w:type="dxa"/>
            <w:gridSpan w:val="3"/>
            <w:shd w:val="clear" w:color="000000" w:fill="FFFF99"/>
            <w:vAlign w:val="center"/>
            <w:hideMark/>
          </w:tcPr>
          <w:p w14:paraId="254DF3A0" w14:textId="08D1EDBF"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annulled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Decisions</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SAC</w:t>
            </w:r>
          </w:p>
        </w:tc>
        <w:tc>
          <w:tcPr>
            <w:tcW w:w="1758" w:type="dxa"/>
            <w:gridSpan w:val="2"/>
            <w:shd w:val="clear" w:color="000000" w:fill="FFFF99"/>
            <w:vAlign w:val="center"/>
            <w:hideMark/>
          </w:tcPr>
          <w:p w14:paraId="3A88198B" w14:textId="6D715FFF"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annulled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Decisions</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SAC</w:t>
            </w:r>
          </w:p>
        </w:tc>
        <w:tc>
          <w:tcPr>
            <w:tcW w:w="1842" w:type="dxa"/>
            <w:gridSpan w:val="3"/>
            <w:shd w:val="clear" w:color="000000" w:fill="FFFF99"/>
            <w:vAlign w:val="center"/>
            <w:hideMark/>
          </w:tcPr>
          <w:p w14:paraId="1248A9DD" w14:textId="557C5F09" w:rsidR="00275961" w:rsidRPr="008C761D" w:rsidRDefault="00275961"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annulled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Decisions</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SAC</w:t>
            </w:r>
          </w:p>
        </w:tc>
        <w:tc>
          <w:tcPr>
            <w:tcW w:w="1506" w:type="dxa"/>
            <w:gridSpan w:val="3"/>
            <w:shd w:val="clear" w:color="000000" w:fill="FFFF99"/>
            <w:vAlign w:val="center"/>
            <w:hideMark/>
          </w:tcPr>
          <w:p w14:paraId="08A937E3" w14:textId="2B1921E8" w:rsidR="00275961" w:rsidRPr="008C761D" w:rsidRDefault="0027596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 5% 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annulled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Decisions</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SAC</w:t>
            </w:r>
          </w:p>
        </w:tc>
      </w:tr>
      <w:tr w:rsidR="00485BAA" w:rsidRPr="008C761D" w14:paraId="2C755874" w14:textId="77777777" w:rsidTr="003F623B">
        <w:trPr>
          <w:gridBefore w:val="1"/>
          <w:gridAfter w:val="1"/>
          <w:wBefore w:w="17" w:type="dxa"/>
          <w:wAfter w:w="180" w:type="dxa"/>
          <w:trHeight w:val="315"/>
          <w:jc w:val="center"/>
        </w:trPr>
        <w:tc>
          <w:tcPr>
            <w:tcW w:w="13501" w:type="dxa"/>
            <w:gridSpan w:val="25"/>
            <w:shd w:val="clear" w:color="000000" w:fill="9BD2ED"/>
            <w:vAlign w:val="center"/>
            <w:hideMark/>
          </w:tcPr>
          <w:p w14:paraId="30BBB757" w14:textId="23ED76B1"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 </w:t>
            </w:r>
            <w:r w:rsidR="00241538" w:rsidRPr="00880CAA">
              <w:rPr>
                <w:rFonts w:ascii="Arial" w:eastAsia="Times New Roman" w:hAnsi="Arial" w:cs="Arial"/>
                <w:b/>
                <w:bCs/>
                <w:sz w:val="12"/>
                <w:szCs w:val="12"/>
                <w:lang w:val="en-US" w:eastAsia="mk-MK"/>
              </w:rPr>
              <w:t>Improving the cooperation among the key institutions in the public procurement system</w:t>
            </w:r>
          </w:p>
        </w:tc>
      </w:tr>
      <w:tr w:rsidR="00485BAA" w:rsidRPr="008C761D" w14:paraId="25373C4F" w14:textId="77777777" w:rsidTr="003F623B">
        <w:trPr>
          <w:gridBefore w:val="1"/>
          <w:gridAfter w:val="1"/>
          <w:wBefore w:w="17" w:type="dxa"/>
          <w:wAfter w:w="180" w:type="dxa"/>
          <w:trHeight w:val="405"/>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2CCF176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1FC2C722" w14:textId="6F6F213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B33D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E5E139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4A22FA4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DF6C91"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AE7340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2C3D50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DD010E9"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2258A4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DF6C91" w:rsidRPr="008C761D">
              <w:rPr>
                <w:rFonts w:ascii="Arial" w:eastAsia="Times New Roman" w:hAnsi="Arial" w:cs="Arial"/>
                <w:b/>
                <w:bCs/>
                <w:sz w:val="12"/>
                <w:szCs w:val="12"/>
                <w:lang w:val="en-US" w:eastAsia="mk-MK"/>
              </w:rPr>
              <w:t>7</w:t>
            </w:r>
          </w:p>
        </w:tc>
      </w:tr>
      <w:tr w:rsidR="00485BAA" w:rsidRPr="008C761D" w14:paraId="619E3C3C" w14:textId="77777777" w:rsidTr="003F623B">
        <w:trPr>
          <w:gridBefore w:val="1"/>
          <w:gridAfter w:val="1"/>
          <w:wBefore w:w="17" w:type="dxa"/>
          <w:wAfter w:w="180" w:type="dxa"/>
          <w:trHeight w:val="934"/>
          <w:jc w:val="center"/>
        </w:trPr>
        <w:tc>
          <w:tcPr>
            <w:tcW w:w="2368" w:type="dxa"/>
            <w:gridSpan w:val="6"/>
            <w:vMerge/>
            <w:tcBorders>
              <w:top w:val="nil"/>
              <w:left w:val="nil"/>
              <w:bottom w:val="nil"/>
              <w:right w:val="single" w:sz="8" w:space="0" w:color="000000"/>
            </w:tcBorders>
            <w:vAlign w:val="center"/>
            <w:hideMark/>
          </w:tcPr>
          <w:p w14:paraId="53116D4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CF5263E" w14:textId="77777777" w:rsidR="00241538" w:rsidRDefault="00241538" w:rsidP="00241538">
            <w:pPr>
              <w:spacing w:after="0" w:line="240" w:lineRule="auto"/>
              <w:rPr>
                <w:rFonts w:ascii="Arial" w:eastAsia="Times New Roman" w:hAnsi="Arial" w:cs="Arial"/>
                <w:sz w:val="12"/>
                <w:szCs w:val="12"/>
                <w:lang w:val="en-US" w:eastAsia="mk-MK"/>
              </w:rPr>
            </w:pPr>
            <w:r w:rsidRPr="00880CAA">
              <w:rPr>
                <w:rFonts w:ascii="Arial" w:eastAsia="Times New Roman" w:hAnsi="Arial" w:cs="Arial"/>
                <w:sz w:val="12"/>
                <w:szCs w:val="12"/>
                <w:lang w:val="en-US" w:eastAsia="mk-MK"/>
              </w:rPr>
              <w:t>Held working meetings</w:t>
            </w:r>
          </w:p>
          <w:p w14:paraId="5E992630" w14:textId="4B0F81D8"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345AD588" w14:textId="1D7701F0" w:rsidR="00485BAA" w:rsidRPr="008C761D" w:rsidRDefault="00C174C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418" w:type="dxa"/>
            <w:gridSpan w:val="2"/>
            <w:shd w:val="clear" w:color="000000" w:fill="FFFF99"/>
            <w:vAlign w:val="center"/>
            <w:hideMark/>
          </w:tcPr>
          <w:p w14:paraId="1BBE90EF" w14:textId="663E97B9" w:rsidR="00485BAA" w:rsidRPr="008C761D" w:rsidRDefault="00941F7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Advisory</w:t>
            </w:r>
            <w:r w:rsidR="00F7037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group is established and official communication and cooperation was initiated</w:t>
            </w:r>
          </w:p>
        </w:tc>
        <w:tc>
          <w:tcPr>
            <w:tcW w:w="1644" w:type="dxa"/>
            <w:gridSpan w:val="3"/>
            <w:shd w:val="clear" w:color="000000" w:fill="FFFF99"/>
            <w:vAlign w:val="center"/>
            <w:hideMark/>
          </w:tcPr>
          <w:p w14:paraId="78CAE215" w14:textId="73620D6E" w:rsidR="00485BAA" w:rsidRPr="008C761D" w:rsidRDefault="00C174C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Held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least</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2 meetings</w:t>
            </w:r>
          </w:p>
        </w:tc>
        <w:tc>
          <w:tcPr>
            <w:tcW w:w="1758" w:type="dxa"/>
            <w:gridSpan w:val="2"/>
            <w:shd w:val="clear" w:color="000000" w:fill="FFFF99"/>
            <w:vAlign w:val="center"/>
            <w:hideMark/>
          </w:tcPr>
          <w:p w14:paraId="1A5047DA" w14:textId="03114615" w:rsidR="00485BAA" w:rsidRPr="008C761D" w:rsidRDefault="0035363B" w:rsidP="00DF6C9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Held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least 2 meetings</w:t>
            </w:r>
          </w:p>
        </w:tc>
        <w:tc>
          <w:tcPr>
            <w:tcW w:w="1842" w:type="dxa"/>
            <w:gridSpan w:val="3"/>
            <w:shd w:val="clear" w:color="000000" w:fill="FFFF99"/>
            <w:vAlign w:val="center"/>
            <w:hideMark/>
          </w:tcPr>
          <w:p w14:paraId="14E1325E" w14:textId="2BDF58A6" w:rsidR="00485BAA" w:rsidRPr="008C761D" w:rsidRDefault="0035363B" w:rsidP="00DF6C9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Held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least 2 meetings</w:t>
            </w:r>
          </w:p>
        </w:tc>
        <w:tc>
          <w:tcPr>
            <w:tcW w:w="1506" w:type="dxa"/>
            <w:gridSpan w:val="3"/>
            <w:shd w:val="clear" w:color="000000" w:fill="FFFF99"/>
            <w:vAlign w:val="center"/>
            <w:hideMark/>
          </w:tcPr>
          <w:p w14:paraId="1E55EE28" w14:textId="0FCE0615" w:rsidR="00485BAA" w:rsidRPr="008C761D" w:rsidRDefault="0035363B" w:rsidP="00DF6C9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Held</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at</w:t>
            </w:r>
            <w:r w:rsidR="00CB33D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least 2 meetings</w:t>
            </w:r>
          </w:p>
        </w:tc>
      </w:tr>
      <w:tr w:rsidR="00485BAA" w:rsidRPr="008C761D" w14:paraId="109D9F45" w14:textId="77777777" w:rsidTr="003F623B">
        <w:trPr>
          <w:gridBefore w:val="1"/>
          <w:gridAfter w:val="1"/>
          <w:wBefore w:w="17" w:type="dxa"/>
          <w:wAfter w:w="180" w:type="dxa"/>
          <w:trHeight w:val="365"/>
          <w:jc w:val="center"/>
        </w:trPr>
        <w:tc>
          <w:tcPr>
            <w:tcW w:w="2368" w:type="dxa"/>
            <w:gridSpan w:val="6"/>
            <w:vMerge/>
            <w:tcBorders>
              <w:top w:val="nil"/>
              <w:left w:val="nil"/>
              <w:bottom w:val="nil"/>
              <w:right w:val="single" w:sz="8" w:space="0" w:color="000000"/>
            </w:tcBorders>
            <w:vAlign w:val="center"/>
            <w:hideMark/>
          </w:tcPr>
          <w:p w14:paraId="701F4FC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C455A5D" w14:textId="1C98B9F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0BA89B66" w14:textId="7E0248A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5E5E4409" w14:textId="3CAE190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164FF02" w14:textId="5B2BDC4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A97E59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04FA0FB" w14:textId="43CAEE7C"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9DF8FD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1219C36" w14:textId="77777777" w:rsidTr="003F623B">
        <w:trPr>
          <w:gridBefore w:val="1"/>
          <w:gridAfter w:val="1"/>
          <w:wBefore w:w="17" w:type="dxa"/>
          <w:wAfter w:w="180" w:type="dxa"/>
          <w:trHeight w:val="689"/>
          <w:jc w:val="center"/>
        </w:trPr>
        <w:tc>
          <w:tcPr>
            <w:tcW w:w="2368" w:type="dxa"/>
            <w:gridSpan w:val="6"/>
            <w:vMerge/>
            <w:tcBorders>
              <w:top w:val="nil"/>
              <w:left w:val="nil"/>
              <w:bottom w:val="nil"/>
              <w:right w:val="single" w:sz="8" w:space="0" w:color="000000"/>
            </w:tcBorders>
            <w:vAlign w:val="center"/>
            <w:hideMark/>
          </w:tcPr>
          <w:p w14:paraId="09F3D93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CDFC3FF" w14:textId="79A49149" w:rsidR="00241538" w:rsidRDefault="00193232" w:rsidP="0024153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241538" w:rsidRPr="00880CAA">
              <w:rPr>
                <w:rFonts w:ascii="Arial" w:eastAsia="Times New Roman" w:hAnsi="Arial" w:cs="Arial"/>
                <w:sz w:val="12"/>
                <w:szCs w:val="12"/>
                <w:lang w:val="en-US" w:eastAsia="mk-MK"/>
              </w:rPr>
              <w:t>Regular communication and coordination of Advisory group of the key institutions in the procurement system</w:t>
            </w:r>
          </w:p>
          <w:p w14:paraId="6AE18AFE" w14:textId="035B9E9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699E14F4" w14:textId="77777777" w:rsidR="00485BAA" w:rsidRPr="008C761D" w:rsidRDefault="001F6E4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7096B70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644" w:type="dxa"/>
            <w:gridSpan w:val="3"/>
            <w:shd w:val="clear" w:color="000000" w:fill="FFFF99"/>
            <w:vAlign w:val="center"/>
            <w:hideMark/>
          </w:tcPr>
          <w:p w14:paraId="60F8279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roofErr w:type="gramStart"/>
            <w:r w:rsidRPr="008C761D">
              <w:rPr>
                <w:rFonts w:ascii="Arial" w:eastAsia="Times New Roman" w:hAnsi="Arial" w:cs="Arial"/>
                <w:sz w:val="12"/>
                <w:szCs w:val="12"/>
                <w:lang w:val="en-US" w:eastAsia="mk-MK"/>
              </w:rPr>
              <w:t xml:space="preserve">PPB,   </w:t>
            </w:r>
            <w:proofErr w:type="gramEnd"/>
            <w:r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br/>
              <w:t xml:space="preserve">SA Commission, </w:t>
            </w:r>
            <w:r w:rsidRPr="008C761D">
              <w:rPr>
                <w:rFonts w:ascii="Arial" w:eastAsia="Times New Roman" w:hAnsi="Arial" w:cs="Arial"/>
                <w:sz w:val="12"/>
                <w:szCs w:val="12"/>
                <w:lang w:val="en-US" w:eastAsia="mk-MK"/>
              </w:rPr>
              <w:br/>
              <w:t>SA Office,</w:t>
            </w:r>
            <w:r w:rsidRPr="008C761D">
              <w:rPr>
                <w:rFonts w:ascii="Arial" w:eastAsia="Times New Roman" w:hAnsi="Arial" w:cs="Arial"/>
                <w:sz w:val="12"/>
                <w:szCs w:val="12"/>
                <w:lang w:val="en-US" w:eastAsia="mk-MK"/>
              </w:rPr>
              <w:br/>
              <w:t xml:space="preserve">SCP Corruption, SCP Competition, </w:t>
            </w:r>
            <w:r w:rsidRPr="008C761D">
              <w:rPr>
                <w:rFonts w:ascii="Arial" w:eastAsia="Times New Roman" w:hAnsi="Arial" w:cs="Arial"/>
                <w:sz w:val="12"/>
                <w:szCs w:val="12"/>
                <w:lang w:val="en-US" w:eastAsia="mk-MK"/>
              </w:rPr>
              <w:br/>
              <w:t>ME</w:t>
            </w:r>
            <w:r w:rsidRPr="008C761D">
              <w:rPr>
                <w:rFonts w:ascii="Arial" w:eastAsia="Times New Roman" w:hAnsi="Arial" w:cs="Arial"/>
                <w:sz w:val="12"/>
                <w:szCs w:val="12"/>
                <w:lang w:val="en-US" w:eastAsia="mk-MK"/>
              </w:rPr>
              <w:br/>
            </w:r>
          </w:p>
        </w:tc>
        <w:tc>
          <w:tcPr>
            <w:tcW w:w="1758" w:type="dxa"/>
            <w:gridSpan w:val="2"/>
            <w:shd w:val="clear" w:color="000000" w:fill="FFFF99"/>
            <w:vAlign w:val="center"/>
            <w:hideMark/>
          </w:tcPr>
          <w:p w14:paraId="2B1481F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4CCB731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p>
        </w:tc>
        <w:tc>
          <w:tcPr>
            <w:tcW w:w="1506" w:type="dxa"/>
            <w:gridSpan w:val="3"/>
            <w:shd w:val="clear" w:color="000000" w:fill="FFFF99"/>
            <w:vAlign w:val="center"/>
            <w:hideMark/>
          </w:tcPr>
          <w:p w14:paraId="340C262F" w14:textId="70EBC96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5223DD" w:rsidRPr="008C761D" w14:paraId="6A25CAFE" w14:textId="77777777" w:rsidTr="003F623B">
        <w:trPr>
          <w:gridBefore w:val="3"/>
          <w:gridAfter w:val="1"/>
          <w:wBefore w:w="224" w:type="dxa"/>
          <w:wAfter w:w="180" w:type="dxa"/>
          <w:trHeight w:val="315"/>
          <w:jc w:val="center"/>
        </w:trPr>
        <w:tc>
          <w:tcPr>
            <w:tcW w:w="13294" w:type="dxa"/>
            <w:gridSpan w:val="23"/>
            <w:shd w:val="clear" w:color="000000" w:fill="9BD2ED"/>
            <w:vAlign w:val="center"/>
            <w:hideMark/>
          </w:tcPr>
          <w:p w14:paraId="230DF968" w14:textId="77777777" w:rsidR="005223DD" w:rsidRPr="008C761D" w:rsidRDefault="005223DD" w:rsidP="005742CC">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w:t>
            </w:r>
            <w:r>
              <w:rPr>
                <w:rFonts w:ascii="Arial" w:eastAsia="Times New Roman" w:hAnsi="Arial" w:cs="Arial"/>
                <w:b/>
                <w:bCs/>
                <w:sz w:val="12"/>
                <w:szCs w:val="12"/>
                <w:lang w:val="en-US" w:eastAsia="mk-MK"/>
              </w:rPr>
              <w:t>2</w:t>
            </w:r>
            <w:r w:rsidRPr="008C761D">
              <w:rPr>
                <w:rFonts w:ascii="Arial" w:eastAsia="Times New Roman" w:hAnsi="Arial" w:cs="Arial"/>
                <w:b/>
                <w:bCs/>
                <w:sz w:val="12"/>
                <w:szCs w:val="12"/>
                <w:lang w:val="en-US" w:eastAsia="mk-MK"/>
              </w:rPr>
              <w:t xml:space="preserve">. </w:t>
            </w:r>
            <w:r w:rsidRPr="00880CAA">
              <w:rPr>
                <w:rFonts w:ascii="Arial" w:eastAsia="Times New Roman" w:hAnsi="Arial" w:cs="Arial"/>
                <w:b/>
                <w:bCs/>
                <w:sz w:val="12"/>
                <w:szCs w:val="12"/>
                <w:lang w:val="en-US" w:eastAsia="mk-MK"/>
              </w:rPr>
              <w:t>Combating corruption in public procurement</w:t>
            </w:r>
          </w:p>
        </w:tc>
      </w:tr>
      <w:tr w:rsidR="005223DD" w:rsidRPr="008C761D" w14:paraId="43B59692" w14:textId="77777777" w:rsidTr="003F623B">
        <w:trPr>
          <w:gridBefore w:val="3"/>
          <w:gridAfter w:val="1"/>
          <w:wBefore w:w="224" w:type="dxa"/>
          <w:wAfter w:w="180" w:type="dxa"/>
          <w:trHeight w:val="405"/>
          <w:jc w:val="center"/>
        </w:trPr>
        <w:tc>
          <w:tcPr>
            <w:tcW w:w="2134" w:type="dxa"/>
            <w:gridSpan w:val="3"/>
            <w:vMerge w:val="restart"/>
            <w:tcBorders>
              <w:top w:val="nil"/>
              <w:left w:val="nil"/>
              <w:bottom w:val="nil"/>
              <w:right w:val="single" w:sz="8" w:space="0" w:color="000000"/>
            </w:tcBorders>
            <w:shd w:val="clear" w:color="auto" w:fill="auto"/>
            <w:vAlign w:val="center"/>
            <w:hideMark/>
          </w:tcPr>
          <w:p w14:paraId="46E965AA"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98" w:type="dxa"/>
            <w:gridSpan w:val="4"/>
            <w:tcBorders>
              <w:left w:val="single" w:sz="8" w:space="0" w:color="000000"/>
            </w:tcBorders>
            <w:shd w:val="clear" w:color="000000" w:fill="9BD2ED"/>
            <w:vAlign w:val="center"/>
            <w:hideMark/>
          </w:tcPr>
          <w:p w14:paraId="02EDFA1C"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 Indicator</w:t>
            </w:r>
          </w:p>
        </w:tc>
        <w:tc>
          <w:tcPr>
            <w:tcW w:w="1170" w:type="dxa"/>
            <w:gridSpan w:val="2"/>
            <w:shd w:val="clear" w:color="000000" w:fill="9BD2ED"/>
            <w:vAlign w:val="center"/>
            <w:hideMark/>
          </w:tcPr>
          <w:p w14:paraId="7EA0C55B"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42" w:type="dxa"/>
            <w:gridSpan w:val="3"/>
            <w:shd w:val="clear" w:color="000000" w:fill="9BD2ED"/>
            <w:vAlign w:val="center"/>
            <w:hideMark/>
          </w:tcPr>
          <w:p w14:paraId="78C0354F"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20" w:type="dxa"/>
            <w:gridSpan w:val="2"/>
            <w:shd w:val="clear" w:color="000000" w:fill="9BD2ED"/>
            <w:vAlign w:val="center"/>
            <w:hideMark/>
          </w:tcPr>
          <w:p w14:paraId="00CA1535"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800" w:type="dxa"/>
            <w:gridSpan w:val="4"/>
            <w:shd w:val="clear" w:color="000000" w:fill="9BD2ED"/>
            <w:vAlign w:val="center"/>
            <w:hideMark/>
          </w:tcPr>
          <w:p w14:paraId="639C4F52"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90" w:type="dxa"/>
            <w:gridSpan w:val="3"/>
            <w:shd w:val="clear" w:color="000000" w:fill="9BD2ED"/>
            <w:vAlign w:val="center"/>
            <w:hideMark/>
          </w:tcPr>
          <w:p w14:paraId="7E9BD80D"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440" w:type="dxa"/>
            <w:gridSpan w:val="2"/>
            <w:shd w:val="clear" w:color="000000" w:fill="9BD2ED"/>
            <w:vAlign w:val="center"/>
            <w:hideMark/>
          </w:tcPr>
          <w:p w14:paraId="3BBC592B"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5223DD" w:rsidRPr="008C761D" w14:paraId="1B504F8B" w14:textId="77777777" w:rsidTr="003F623B">
        <w:trPr>
          <w:gridBefore w:val="3"/>
          <w:gridAfter w:val="1"/>
          <w:wBefore w:w="224" w:type="dxa"/>
          <w:wAfter w:w="180" w:type="dxa"/>
          <w:trHeight w:val="934"/>
          <w:jc w:val="center"/>
        </w:trPr>
        <w:tc>
          <w:tcPr>
            <w:tcW w:w="2134" w:type="dxa"/>
            <w:gridSpan w:val="3"/>
            <w:vMerge/>
            <w:tcBorders>
              <w:top w:val="nil"/>
              <w:left w:val="nil"/>
              <w:bottom w:val="nil"/>
              <w:right w:val="single" w:sz="8" w:space="0" w:color="000000"/>
            </w:tcBorders>
            <w:vAlign w:val="center"/>
            <w:hideMark/>
          </w:tcPr>
          <w:p w14:paraId="285E319D"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40A20DF4" w14:textId="77777777" w:rsidR="005223DD" w:rsidRPr="008C761D" w:rsidRDefault="005223DD" w:rsidP="005742CC">
            <w:pPr>
              <w:spacing w:after="0" w:line="240" w:lineRule="auto"/>
              <w:rPr>
                <w:rFonts w:ascii="Arial" w:eastAsia="Times New Roman" w:hAnsi="Arial" w:cs="Arial"/>
                <w:sz w:val="12"/>
                <w:szCs w:val="12"/>
                <w:lang w:val="en-US" w:eastAsia="mk-MK"/>
              </w:rPr>
            </w:pPr>
            <w:r w:rsidRPr="00880CAA">
              <w:rPr>
                <w:rFonts w:ascii="Arial" w:eastAsia="Times New Roman" w:hAnsi="Arial" w:cs="Arial"/>
                <w:sz w:val="12"/>
                <w:szCs w:val="12"/>
                <w:lang w:val="en-US" w:eastAsia="mk-MK"/>
              </w:rPr>
              <w:t>Template of Statement for impartiality and confidentiality (SI&amp;C)</w:t>
            </w:r>
          </w:p>
        </w:tc>
        <w:tc>
          <w:tcPr>
            <w:tcW w:w="1170" w:type="dxa"/>
            <w:gridSpan w:val="2"/>
            <w:shd w:val="clear" w:color="000000" w:fill="FFFF99"/>
            <w:vAlign w:val="center"/>
            <w:hideMark/>
          </w:tcPr>
          <w:p w14:paraId="23FE3324"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442" w:type="dxa"/>
            <w:gridSpan w:val="3"/>
            <w:shd w:val="clear" w:color="000000" w:fill="FFFF99"/>
            <w:vAlign w:val="center"/>
            <w:hideMark/>
          </w:tcPr>
          <w:p w14:paraId="69FCBC53"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Advisory group is established and official communication and cooperation was initiated</w:t>
            </w:r>
          </w:p>
        </w:tc>
        <w:tc>
          <w:tcPr>
            <w:tcW w:w="1620" w:type="dxa"/>
            <w:gridSpan w:val="2"/>
            <w:shd w:val="clear" w:color="000000" w:fill="FFFF99"/>
            <w:vAlign w:val="center"/>
            <w:hideMark/>
          </w:tcPr>
          <w:p w14:paraId="1FD1AA99"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80CAA">
              <w:rPr>
                <w:rFonts w:ascii="Arial" w:eastAsia="Times New Roman" w:hAnsi="Arial" w:cs="Arial"/>
                <w:sz w:val="12"/>
                <w:szCs w:val="12"/>
                <w:lang w:val="en-US" w:eastAsia="mk-MK"/>
              </w:rPr>
              <w:t>Template of SI&amp;C published on PPB</w:t>
            </w:r>
          </w:p>
        </w:tc>
        <w:tc>
          <w:tcPr>
            <w:tcW w:w="1800" w:type="dxa"/>
            <w:gridSpan w:val="4"/>
            <w:shd w:val="clear" w:color="000000" w:fill="FFFF99"/>
            <w:vAlign w:val="center"/>
          </w:tcPr>
          <w:p w14:paraId="498A7F61"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90" w:type="dxa"/>
            <w:gridSpan w:val="3"/>
            <w:shd w:val="clear" w:color="000000" w:fill="FFFF99"/>
            <w:vAlign w:val="center"/>
          </w:tcPr>
          <w:p w14:paraId="6145973C"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440" w:type="dxa"/>
            <w:gridSpan w:val="2"/>
            <w:shd w:val="clear" w:color="000000" w:fill="FFFF99"/>
            <w:vAlign w:val="center"/>
          </w:tcPr>
          <w:p w14:paraId="45C7C152"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5223DD" w:rsidRPr="008C761D" w14:paraId="30761CA3" w14:textId="77777777" w:rsidTr="003F623B">
        <w:trPr>
          <w:gridBefore w:val="3"/>
          <w:gridAfter w:val="1"/>
          <w:wBefore w:w="224" w:type="dxa"/>
          <w:wAfter w:w="180" w:type="dxa"/>
          <w:trHeight w:val="365"/>
          <w:jc w:val="center"/>
        </w:trPr>
        <w:tc>
          <w:tcPr>
            <w:tcW w:w="2134" w:type="dxa"/>
            <w:gridSpan w:val="3"/>
            <w:vMerge/>
            <w:tcBorders>
              <w:top w:val="nil"/>
              <w:left w:val="nil"/>
              <w:bottom w:val="nil"/>
              <w:right w:val="single" w:sz="8" w:space="0" w:color="000000"/>
            </w:tcBorders>
            <w:vAlign w:val="center"/>
            <w:hideMark/>
          </w:tcPr>
          <w:p w14:paraId="7308386C"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9BD2ED"/>
            <w:vAlign w:val="center"/>
            <w:hideMark/>
          </w:tcPr>
          <w:p w14:paraId="1D697887"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70" w:type="dxa"/>
            <w:gridSpan w:val="2"/>
            <w:shd w:val="clear" w:color="000000" w:fill="9BD2ED"/>
            <w:vAlign w:val="center"/>
            <w:hideMark/>
          </w:tcPr>
          <w:p w14:paraId="72419F18"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 period</w:t>
            </w:r>
          </w:p>
        </w:tc>
        <w:tc>
          <w:tcPr>
            <w:tcW w:w="1442" w:type="dxa"/>
            <w:gridSpan w:val="3"/>
            <w:shd w:val="clear" w:color="000000" w:fill="9BD2ED"/>
            <w:vAlign w:val="center"/>
            <w:hideMark/>
          </w:tcPr>
          <w:p w14:paraId="5A814391"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 institution</w:t>
            </w:r>
          </w:p>
        </w:tc>
        <w:tc>
          <w:tcPr>
            <w:tcW w:w="1620" w:type="dxa"/>
            <w:gridSpan w:val="2"/>
            <w:shd w:val="clear" w:color="000000" w:fill="9BD2ED"/>
            <w:vAlign w:val="center"/>
            <w:hideMark/>
          </w:tcPr>
          <w:p w14:paraId="2C0A0897"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 partners</w:t>
            </w:r>
          </w:p>
        </w:tc>
        <w:tc>
          <w:tcPr>
            <w:tcW w:w="1800" w:type="dxa"/>
            <w:gridSpan w:val="4"/>
            <w:shd w:val="clear" w:color="000000" w:fill="9BD2ED"/>
            <w:vAlign w:val="center"/>
            <w:hideMark/>
          </w:tcPr>
          <w:p w14:paraId="17F84673"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90" w:type="dxa"/>
            <w:gridSpan w:val="3"/>
            <w:shd w:val="clear" w:color="000000" w:fill="9BD2ED"/>
            <w:vAlign w:val="center"/>
            <w:hideMark/>
          </w:tcPr>
          <w:p w14:paraId="2AB36918"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 of financing</w:t>
            </w:r>
          </w:p>
        </w:tc>
        <w:tc>
          <w:tcPr>
            <w:tcW w:w="1440" w:type="dxa"/>
            <w:gridSpan w:val="2"/>
            <w:shd w:val="clear" w:color="000000" w:fill="9BD2ED"/>
            <w:vAlign w:val="center"/>
            <w:hideMark/>
          </w:tcPr>
          <w:p w14:paraId="3FD383DA"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5223DD" w:rsidRPr="008C761D" w14:paraId="5370C0DF" w14:textId="77777777" w:rsidTr="003F623B">
        <w:trPr>
          <w:gridBefore w:val="3"/>
          <w:gridAfter w:val="1"/>
          <w:wBefore w:w="224" w:type="dxa"/>
          <w:wAfter w:w="180" w:type="dxa"/>
          <w:trHeight w:val="689"/>
          <w:jc w:val="center"/>
        </w:trPr>
        <w:tc>
          <w:tcPr>
            <w:tcW w:w="2134" w:type="dxa"/>
            <w:gridSpan w:val="3"/>
            <w:vMerge/>
            <w:tcBorders>
              <w:top w:val="nil"/>
              <w:left w:val="nil"/>
              <w:bottom w:val="nil"/>
              <w:right w:val="single" w:sz="8" w:space="0" w:color="000000"/>
            </w:tcBorders>
            <w:vAlign w:val="center"/>
            <w:hideMark/>
          </w:tcPr>
          <w:p w14:paraId="3E3555E8"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1F2D8411" w14:textId="654239E0" w:rsidR="005223DD" w:rsidRPr="008C761D" w:rsidRDefault="005742CC" w:rsidP="005742CC">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1.</w:t>
            </w:r>
            <w:r w:rsidR="005223DD" w:rsidRPr="00E10F3B">
              <w:rPr>
                <w:rFonts w:ascii="Arial" w:eastAsia="Times New Roman" w:hAnsi="Arial" w:cs="Arial"/>
                <w:sz w:val="12"/>
                <w:szCs w:val="12"/>
                <w:lang w:val="en-US" w:eastAsia="mk-MK"/>
              </w:rPr>
              <w:t>Introducing documents for strengthening the integrity of the procurement process</w:t>
            </w:r>
          </w:p>
        </w:tc>
        <w:tc>
          <w:tcPr>
            <w:tcW w:w="1170" w:type="dxa"/>
            <w:gridSpan w:val="2"/>
            <w:shd w:val="clear" w:color="000000" w:fill="FFFF99"/>
            <w:vAlign w:val="center"/>
            <w:hideMark/>
          </w:tcPr>
          <w:p w14:paraId="30305166"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w:t>
            </w:r>
            <w:r>
              <w:rPr>
                <w:rFonts w:ascii="Arial" w:eastAsia="Times New Roman" w:hAnsi="Arial" w:cs="Arial"/>
                <w:sz w:val="12"/>
                <w:szCs w:val="12"/>
                <w:lang w:val="en-US" w:eastAsia="mk-MK"/>
              </w:rPr>
              <w:t>5</w:t>
            </w:r>
          </w:p>
        </w:tc>
        <w:tc>
          <w:tcPr>
            <w:tcW w:w="1442" w:type="dxa"/>
            <w:gridSpan w:val="3"/>
            <w:shd w:val="clear" w:color="000000" w:fill="FFFF99"/>
            <w:vAlign w:val="center"/>
            <w:hideMark/>
          </w:tcPr>
          <w:p w14:paraId="48AF8BFF"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620" w:type="dxa"/>
            <w:gridSpan w:val="2"/>
            <w:shd w:val="clear" w:color="000000" w:fill="FFFF99"/>
            <w:vAlign w:val="center"/>
            <w:hideMark/>
          </w:tcPr>
          <w:p w14:paraId="119A9C97"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SCP Corruption,</w:t>
            </w:r>
          </w:p>
        </w:tc>
        <w:tc>
          <w:tcPr>
            <w:tcW w:w="1800" w:type="dxa"/>
            <w:gridSpan w:val="4"/>
            <w:shd w:val="clear" w:color="000000" w:fill="FFFF99"/>
            <w:vAlign w:val="center"/>
            <w:hideMark/>
          </w:tcPr>
          <w:p w14:paraId="7376165B"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90" w:type="dxa"/>
            <w:gridSpan w:val="3"/>
            <w:shd w:val="clear" w:color="000000" w:fill="FFFF99"/>
            <w:vAlign w:val="center"/>
            <w:hideMark/>
          </w:tcPr>
          <w:p w14:paraId="1444A888"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p>
        </w:tc>
        <w:tc>
          <w:tcPr>
            <w:tcW w:w="1440" w:type="dxa"/>
            <w:gridSpan w:val="2"/>
            <w:shd w:val="clear" w:color="000000" w:fill="FFFF99"/>
            <w:vAlign w:val="center"/>
            <w:hideMark/>
          </w:tcPr>
          <w:p w14:paraId="29022C78" w14:textId="2E5E40E1" w:rsidR="005223DD" w:rsidRPr="008C761D" w:rsidRDefault="00407B01"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5223DD" w:rsidRPr="008C761D" w14:paraId="5E0F8630" w14:textId="77777777" w:rsidTr="003F623B">
        <w:trPr>
          <w:gridBefore w:val="3"/>
          <w:gridAfter w:val="1"/>
          <w:wBefore w:w="224" w:type="dxa"/>
          <w:wAfter w:w="180" w:type="dxa"/>
          <w:trHeight w:val="315"/>
          <w:jc w:val="center"/>
        </w:trPr>
        <w:tc>
          <w:tcPr>
            <w:tcW w:w="13294" w:type="dxa"/>
            <w:gridSpan w:val="23"/>
            <w:shd w:val="clear" w:color="000000" w:fill="9BD2ED"/>
            <w:vAlign w:val="center"/>
            <w:hideMark/>
          </w:tcPr>
          <w:p w14:paraId="27A41D94" w14:textId="77777777" w:rsidR="005223DD" w:rsidRPr="008C761D" w:rsidRDefault="005223DD" w:rsidP="005742CC">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w:t>
            </w:r>
            <w:r>
              <w:rPr>
                <w:rFonts w:ascii="Arial" w:eastAsia="Times New Roman" w:hAnsi="Arial" w:cs="Arial"/>
                <w:b/>
                <w:bCs/>
                <w:sz w:val="12"/>
                <w:szCs w:val="12"/>
                <w:lang w:val="en-US" w:eastAsia="mk-MK"/>
              </w:rPr>
              <w:t>3</w:t>
            </w:r>
            <w:r w:rsidRPr="008C761D">
              <w:rPr>
                <w:rFonts w:ascii="Arial" w:eastAsia="Times New Roman" w:hAnsi="Arial" w:cs="Arial"/>
                <w:b/>
                <w:bCs/>
                <w:sz w:val="12"/>
                <w:szCs w:val="12"/>
                <w:lang w:val="en-US" w:eastAsia="mk-MK"/>
              </w:rPr>
              <w:t xml:space="preserve">. </w:t>
            </w:r>
            <w:r w:rsidRPr="00E10F3B">
              <w:rPr>
                <w:rFonts w:ascii="Arial" w:eastAsia="Times New Roman" w:hAnsi="Arial" w:cs="Arial"/>
                <w:b/>
                <w:bCs/>
                <w:sz w:val="12"/>
                <w:szCs w:val="12"/>
                <w:lang w:val="en-US" w:eastAsia="mk-MK"/>
              </w:rPr>
              <w:t>Introducing new system for education within PPB</w:t>
            </w:r>
          </w:p>
        </w:tc>
      </w:tr>
      <w:tr w:rsidR="005223DD" w:rsidRPr="008C761D" w14:paraId="1271427C" w14:textId="77777777" w:rsidTr="003F623B">
        <w:trPr>
          <w:gridBefore w:val="3"/>
          <w:gridAfter w:val="1"/>
          <w:wBefore w:w="224" w:type="dxa"/>
          <w:wAfter w:w="180" w:type="dxa"/>
          <w:trHeight w:val="405"/>
          <w:jc w:val="center"/>
        </w:trPr>
        <w:tc>
          <w:tcPr>
            <w:tcW w:w="2134" w:type="dxa"/>
            <w:gridSpan w:val="3"/>
            <w:vMerge w:val="restart"/>
            <w:tcBorders>
              <w:top w:val="nil"/>
              <w:left w:val="nil"/>
              <w:bottom w:val="nil"/>
              <w:right w:val="single" w:sz="8" w:space="0" w:color="000000"/>
            </w:tcBorders>
            <w:shd w:val="clear" w:color="auto" w:fill="auto"/>
            <w:vAlign w:val="center"/>
            <w:hideMark/>
          </w:tcPr>
          <w:p w14:paraId="149BCDF6"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98" w:type="dxa"/>
            <w:gridSpan w:val="4"/>
            <w:tcBorders>
              <w:left w:val="single" w:sz="8" w:space="0" w:color="000000"/>
            </w:tcBorders>
            <w:shd w:val="clear" w:color="000000" w:fill="9BD2ED"/>
            <w:vAlign w:val="center"/>
            <w:hideMark/>
          </w:tcPr>
          <w:p w14:paraId="383906C6"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 Indicator</w:t>
            </w:r>
          </w:p>
        </w:tc>
        <w:tc>
          <w:tcPr>
            <w:tcW w:w="1170" w:type="dxa"/>
            <w:gridSpan w:val="2"/>
            <w:shd w:val="clear" w:color="000000" w:fill="9BD2ED"/>
            <w:vAlign w:val="center"/>
            <w:hideMark/>
          </w:tcPr>
          <w:p w14:paraId="7EC59A70"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42" w:type="dxa"/>
            <w:gridSpan w:val="3"/>
            <w:shd w:val="clear" w:color="000000" w:fill="9BD2ED"/>
            <w:vAlign w:val="center"/>
            <w:hideMark/>
          </w:tcPr>
          <w:p w14:paraId="7DC2C9F2"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20" w:type="dxa"/>
            <w:gridSpan w:val="2"/>
            <w:shd w:val="clear" w:color="000000" w:fill="9BD2ED"/>
            <w:vAlign w:val="center"/>
            <w:hideMark/>
          </w:tcPr>
          <w:p w14:paraId="34CA5482"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800" w:type="dxa"/>
            <w:gridSpan w:val="4"/>
            <w:shd w:val="clear" w:color="000000" w:fill="9BD2ED"/>
            <w:vAlign w:val="center"/>
            <w:hideMark/>
          </w:tcPr>
          <w:p w14:paraId="5118C1FD"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90" w:type="dxa"/>
            <w:gridSpan w:val="3"/>
            <w:shd w:val="clear" w:color="000000" w:fill="9BD2ED"/>
            <w:vAlign w:val="center"/>
            <w:hideMark/>
          </w:tcPr>
          <w:p w14:paraId="3DD6DAAE"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440" w:type="dxa"/>
            <w:gridSpan w:val="2"/>
            <w:shd w:val="clear" w:color="000000" w:fill="9BD2ED"/>
            <w:vAlign w:val="center"/>
            <w:hideMark/>
          </w:tcPr>
          <w:p w14:paraId="769021E5"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5223DD" w:rsidRPr="008C761D" w14:paraId="5BAEC971" w14:textId="77777777" w:rsidTr="003F623B">
        <w:trPr>
          <w:gridBefore w:val="3"/>
          <w:gridAfter w:val="1"/>
          <w:wBefore w:w="224" w:type="dxa"/>
          <w:wAfter w:w="180" w:type="dxa"/>
          <w:trHeight w:val="525"/>
          <w:jc w:val="center"/>
        </w:trPr>
        <w:tc>
          <w:tcPr>
            <w:tcW w:w="2134" w:type="dxa"/>
            <w:gridSpan w:val="3"/>
            <w:vMerge/>
            <w:tcBorders>
              <w:top w:val="nil"/>
              <w:left w:val="nil"/>
              <w:bottom w:val="nil"/>
              <w:right w:val="single" w:sz="8" w:space="0" w:color="000000"/>
            </w:tcBorders>
            <w:vAlign w:val="center"/>
            <w:hideMark/>
          </w:tcPr>
          <w:p w14:paraId="1E103EEE"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704AE68E" w14:textId="103866DC" w:rsidR="005223DD" w:rsidRPr="008C761D" w:rsidRDefault="00FC63A0" w:rsidP="005742CC">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1.</w:t>
            </w:r>
            <w:r w:rsidR="005223DD" w:rsidRPr="008C761D">
              <w:rPr>
                <w:rFonts w:ascii="Arial" w:eastAsia="Times New Roman" w:hAnsi="Arial" w:cs="Arial"/>
                <w:sz w:val="12"/>
                <w:szCs w:val="12"/>
                <w:lang w:val="en-US" w:eastAsia="mk-MK"/>
              </w:rPr>
              <w:t>Established new system for education within PPB</w:t>
            </w:r>
          </w:p>
        </w:tc>
        <w:tc>
          <w:tcPr>
            <w:tcW w:w="1170" w:type="dxa"/>
            <w:gridSpan w:val="2"/>
            <w:shd w:val="clear" w:color="000000" w:fill="FFFF99"/>
            <w:vAlign w:val="center"/>
            <w:hideMark/>
          </w:tcPr>
          <w:p w14:paraId="047BDB56"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442" w:type="dxa"/>
            <w:gridSpan w:val="3"/>
            <w:shd w:val="clear" w:color="000000" w:fill="FFFF99"/>
            <w:vAlign w:val="center"/>
            <w:hideMark/>
          </w:tcPr>
          <w:p w14:paraId="1E9A2E90"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Analysis of the system for education with in PPB</w:t>
            </w:r>
          </w:p>
        </w:tc>
        <w:tc>
          <w:tcPr>
            <w:tcW w:w="1620" w:type="dxa"/>
            <w:gridSpan w:val="2"/>
            <w:shd w:val="clear" w:color="000000" w:fill="FFFF99"/>
            <w:vAlign w:val="center"/>
            <w:hideMark/>
          </w:tcPr>
          <w:p w14:paraId="1BF90642"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00" w:type="dxa"/>
            <w:gridSpan w:val="4"/>
            <w:shd w:val="clear" w:color="000000" w:fill="FFFF99"/>
            <w:vAlign w:val="center"/>
            <w:hideMark/>
          </w:tcPr>
          <w:p w14:paraId="3B71D171"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90" w:type="dxa"/>
            <w:gridSpan w:val="3"/>
            <w:shd w:val="clear" w:color="000000" w:fill="FFFF99"/>
            <w:vAlign w:val="center"/>
            <w:hideMark/>
          </w:tcPr>
          <w:p w14:paraId="187CB020"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Established new system for education within PPB</w:t>
            </w:r>
          </w:p>
          <w:p w14:paraId="027D6776"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p>
        </w:tc>
        <w:tc>
          <w:tcPr>
            <w:tcW w:w="1440" w:type="dxa"/>
            <w:gridSpan w:val="2"/>
            <w:shd w:val="clear" w:color="000000" w:fill="FFFF99"/>
            <w:vAlign w:val="center"/>
            <w:hideMark/>
          </w:tcPr>
          <w:p w14:paraId="1FF6D750"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15 organized trainings according new established system for education within PPB  </w:t>
            </w:r>
          </w:p>
        </w:tc>
      </w:tr>
      <w:tr w:rsidR="005223DD" w:rsidRPr="008C761D" w14:paraId="271CDDAF" w14:textId="77777777" w:rsidTr="003F623B">
        <w:trPr>
          <w:gridBefore w:val="3"/>
          <w:gridAfter w:val="1"/>
          <w:wBefore w:w="224" w:type="dxa"/>
          <w:wAfter w:w="180" w:type="dxa"/>
          <w:trHeight w:val="365"/>
          <w:jc w:val="center"/>
        </w:trPr>
        <w:tc>
          <w:tcPr>
            <w:tcW w:w="2134" w:type="dxa"/>
            <w:gridSpan w:val="3"/>
            <w:vMerge/>
            <w:tcBorders>
              <w:top w:val="nil"/>
              <w:left w:val="nil"/>
              <w:bottom w:val="nil"/>
              <w:right w:val="single" w:sz="8" w:space="0" w:color="000000"/>
            </w:tcBorders>
            <w:vAlign w:val="center"/>
            <w:hideMark/>
          </w:tcPr>
          <w:p w14:paraId="5B72D96D"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9BD2ED"/>
            <w:vAlign w:val="center"/>
            <w:hideMark/>
          </w:tcPr>
          <w:p w14:paraId="600C2195"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70" w:type="dxa"/>
            <w:gridSpan w:val="2"/>
            <w:shd w:val="clear" w:color="000000" w:fill="9BD2ED"/>
            <w:vAlign w:val="center"/>
            <w:hideMark/>
          </w:tcPr>
          <w:p w14:paraId="4C713C0D"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 period</w:t>
            </w:r>
          </w:p>
        </w:tc>
        <w:tc>
          <w:tcPr>
            <w:tcW w:w="1442" w:type="dxa"/>
            <w:gridSpan w:val="3"/>
            <w:shd w:val="clear" w:color="000000" w:fill="9BD2ED"/>
            <w:vAlign w:val="center"/>
            <w:hideMark/>
          </w:tcPr>
          <w:p w14:paraId="2F19A048"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 institution</w:t>
            </w:r>
          </w:p>
        </w:tc>
        <w:tc>
          <w:tcPr>
            <w:tcW w:w="1620" w:type="dxa"/>
            <w:gridSpan w:val="2"/>
            <w:shd w:val="clear" w:color="000000" w:fill="9BD2ED"/>
            <w:vAlign w:val="center"/>
            <w:hideMark/>
          </w:tcPr>
          <w:p w14:paraId="0526B0AB"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 partners</w:t>
            </w:r>
          </w:p>
        </w:tc>
        <w:tc>
          <w:tcPr>
            <w:tcW w:w="1800" w:type="dxa"/>
            <w:gridSpan w:val="4"/>
            <w:shd w:val="clear" w:color="000000" w:fill="9BD2ED"/>
            <w:vAlign w:val="center"/>
            <w:hideMark/>
          </w:tcPr>
          <w:p w14:paraId="385440AD"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90" w:type="dxa"/>
            <w:gridSpan w:val="3"/>
            <w:shd w:val="clear" w:color="000000" w:fill="9BD2ED"/>
            <w:vAlign w:val="center"/>
            <w:hideMark/>
          </w:tcPr>
          <w:p w14:paraId="1341FB4D"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 of financing</w:t>
            </w:r>
          </w:p>
        </w:tc>
        <w:tc>
          <w:tcPr>
            <w:tcW w:w="1440" w:type="dxa"/>
            <w:gridSpan w:val="2"/>
            <w:shd w:val="clear" w:color="000000" w:fill="9BD2ED"/>
            <w:vAlign w:val="center"/>
            <w:hideMark/>
          </w:tcPr>
          <w:p w14:paraId="65527344"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5223DD" w:rsidRPr="008C761D" w14:paraId="378F49CE" w14:textId="77777777" w:rsidTr="003F623B">
        <w:trPr>
          <w:gridBefore w:val="3"/>
          <w:gridAfter w:val="1"/>
          <w:wBefore w:w="224" w:type="dxa"/>
          <w:wAfter w:w="180" w:type="dxa"/>
          <w:trHeight w:val="420"/>
          <w:jc w:val="center"/>
        </w:trPr>
        <w:tc>
          <w:tcPr>
            <w:tcW w:w="2134" w:type="dxa"/>
            <w:gridSpan w:val="3"/>
            <w:vMerge/>
            <w:tcBorders>
              <w:top w:val="nil"/>
              <w:left w:val="nil"/>
              <w:bottom w:val="nil"/>
              <w:right w:val="single" w:sz="8" w:space="0" w:color="000000"/>
            </w:tcBorders>
            <w:vAlign w:val="center"/>
            <w:hideMark/>
          </w:tcPr>
          <w:p w14:paraId="19713E38"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286CB44D" w14:textId="1EF8338B" w:rsidR="005223DD" w:rsidRPr="008C761D" w:rsidRDefault="00FC63A0" w:rsidP="005742CC">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1.</w:t>
            </w:r>
            <w:r w:rsidR="005223DD" w:rsidRPr="00282384">
              <w:rPr>
                <w:rFonts w:ascii="Arial" w:eastAsia="Times New Roman" w:hAnsi="Arial" w:cs="Arial"/>
                <w:sz w:val="12"/>
                <w:szCs w:val="12"/>
                <w:lang w:val="en-US" w:eastAsia="mk-MK"/>
              </w:rPr>
              <w:t>Revision of the programme</w:t>
            </w:r>
            <w:r w:rsidR="005223DD">
              <w:rPr>
                <w:rFonts w:ascii="Arial" w:eastAsia="Times New Roman" w:hAnsi="Arial" w:cs="Arial"/>
                <w:sz w:val="12"/>
                <w:szCs w:val="12"/>
                <w:lang w:val="en-US" w:eastAsia="mk-MK"/>
              </w:rPr>
              <w:t xml:space="preserve"> for </w:t>
            </w:r>
            <w:r w:rsidR="005223DD" w:rsidRPr="00282384">
              <w:rPr>
                <w:rFonts w:ascii="Arial" w:eastAsia="Times New Roman" w:hAnsi="Arial" w:cs="Arial"/>
                <w:sz w:val="12"/>
                <w:szCs w:val="12"/>
                <w:lang w:val="en-US" w:eastAsia="mk-MK"/>
              </w:rPr>
              <w:t>education</w:t>
            </w:r>
          </w:p>
        </w:tc>
        <w:tc>
          <w:tcPr>
            <w:tcW w:w="1170" w:type="dxa"/>
            <w:gridSpan w:val="2"/>
            <w:shd w:val="clear" w:color="000000" w:fill="FFFF99"/>
            <w:vAlign w:val="center"/>
            <w:hideMark/>
          </w:tcPr>
          <w:p w14:paraId="6D4DAC29"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2024-2026</w:t>
            </w:r>
          </w:p>
        </w:tc>
        <w:tc>
          <w:tcPr>
            <w:tcW w:w="1442" w:type="dxa"/>
            <w:gridSpan w:val="3"/>
            <w:shd w:val="clear" w:color="000000" w:fill="FFFF99"/>
            <w:vAlign w:val="center"/>
            <w:hideMark/>
          </w:tcPr>
          <w:p w14:paraId="57D297F4"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p>
        </w:tc>
        <w:tc>
          <w:tcPr>
            <w:tcW w:w="1620" w:type="dxa"/>
            <w:gridSpan w:val="2"/>
            <w:shd w:val="clear" w:color="000000" w:fill="FFFF99"/>
            <w:vAlign w:val="center"/>
            <w:hideMark/>
          </w:tcPr>
          <w:p w14:paraId="451C5D9B"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00" w:type="dxa"/>
            <w:gridSpan w:val="4"/>
            <w:shd w:val="clear" w:color="000000" w:fill="FFFF99"/>
            <w:vAlign w:val="center"/>
            <w:hideMark/>
          </w:tcPr>
          <w:p w14:paraId="6C3FE7B6"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90" w:type="dxa"/>
            <w:gridSpan w:val="3"/>
            <w:shd w:val="clear" w:color="000000" w:fill="FFFF99"/>
            <w:vAlign w:val="center"/>
            <w:hideMark/>
          </w:tcPr>
          <w:p w14:paraId="6AA91A3D"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440" w:type="dxa"/>
            <w:gridSpan w:val="2"/>
            <w:shd w:val="clear" w:color="000000" w:fill="FFFF99"/>
            <w:vAlign w:val="center"/>
            <w:hideMark/>
          </w:tcPr>
          <w:p w14:paraId="7460905E" w14:textId="10A53E93"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5223DD" w:rsidRPr="008C761D" w14:paraId="545C82F0" w14:textId="77777777" w:rsidTr="003F623B">
        <w:trPr>
          <w:gridBefore w:val="3"/>
          <w:gridAfter w:val="1"/>
          <w:wBefore w:w="224" w:type="dxa"/>
          <w:wAfter w:w="180" w:type="dxa"/>
          <w:trHeight w:val="315"/>
          <w:jc w:val="center"/>
        </w:trPr>
        <w:tc>
          <w:tcPr>
            <w:tcW w:w="13294" w:type="dxa"/>
            <w:gridSpan w:val="23"/>
            <w:shd w:val="clear" w:color="000000" w:fill="9BD2ED"/>
            <w:vAlign w:val="center"/>
            <w:hideMark/>
          </w:tcPr>
          <w:p w14:paraId="0F0F2DCB" w14:textId="77777777" w:rsidR="005223DD" w:rsidRPr="008C761D" w:rsidRDefault="005223DD" w:rsidP="005742CC">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w:t>
            </w:r>
            <w:r>
              <w:rPr>
                <w:rFonts w:ascii="Arial" w:eastAsia="Times New Roman" w:hAnsi="Arial" w:cs="Arial"/>
                <w:b/>
                <w:bCs/>
                <w:sz w:val="12"/>
                <w:szCs w:val="12"/>
                <w:lang w:val="en-US" w:eastAsia="mk-MK"/>
              </w:rPr>
              <w:t>4</w:t>
            </w:r>
            <w:r w:rsidRPr="008C761D">
              <w:rPr>
                <w:rFonts w:ascii="Arial" w:eastAsia="Times New Roman" w:hAnsi="Arial" w:cs="Arial"/>
                <w:b/>
                <w:bCs/>
                <w:sz w:val="12"/>
                <w:szCs w:val="12"/>
                <w:lang w:val="en-US" w:eastAsia="mk-MK"/>
              </w:rPr>
              <w:t xml:space="preserve">. </w:t>
            </w:r>
            <w:r w:rsidRPr="00E10F3B">
              <w:rPr>
                <w:rFonts w:ascii="Arial" w:eastAsia="Times New Roman" w:hAnsi="Arial" w:cs="Arial"/>
                <w:b/>
                <w:bCs/>
                <w:sz w:val="12"/>
                <w:szCs w:val="12"/>
                <w:lang w:val="en-US" w:eastAsia="mk-MK"/>
              </w:rPr>
              <w:t>Increasing the administrative capacities of the SAC</w:t>
            </w:r>
          </w:p>
        </w:tc>
      </w:tr>
      <w:tr w:rsidR="005223DD" w:rsidRPr="008C761D" w14:paraId="56C8FFCF" w14:textId="77777777" w:rsidTr="003F623B">
        <w:trPr>
          <w:gridBefore w:val="3"/>
          <w:gridAfter w:val="1"/>
          <w:wBefore w:w="224" w:type="dxa"/>
          <w:wAfter w:w="180" w:type="dxa"/>
          <w:trHeight w:val="405"/>
          <w:jc w:val="center"/>
        </w:trPr>
        <w:tc>
          <w:tcPr>
            <w:tcW w:w="2134" w:type="dxa"/>
            <w:gridSpan w:val="3"/>
            <w:vMerge w:val="restart"/>
            <w:tcBorders>
              <w:top w:val="nil"/>
              <w:left w:val="nil"/>
              <w:bottom w:val="nil"/>
              <w:right w:val="single" w:sz="8" w:space="0" w:color="000000"/>
            </w:tcBorders>
            <w:shd w:val="clear" w:color="auto" w:fill="auto"/>
            <w:vAlign w:val="center"/>
            <w:hideMark/>
          </w:tcPr>
          <w:p w14:paraId="7C1801E2"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98" w:type="dxa"/>
            <w:gridSpan w:val="4"/>
            <w:tcBorders>
              <w:left w:val="single" w:sz="8" w:space="0" w:color="000000"/>
            </w:tcBorders>
            <w:shd w:val="clear" w:color="000000" w:fill="9BD2ED"/>
            <w:vAlign w:val="center"/>
            <w:hideMark/>
          </w:tcPr>
          <w:p w14:paraId="400D2CFE"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 Indicator</w:t>
            </w:r>
          </w:p>
        </w:tc>
        <w:tc>
          <w:tcPr>
            <w:tcW w:w="1170" w:type="dxa"/>
            <w:gridSpan w:val="2"/>
            <w:shd w:val="clear" w:color="000000" w:fill="9BD2ED"/>
            <w:vAlign w:val="center"/>
            <w:hideMark/>
          </w:tcPr>
          <w:p w14:paraId="5483E9B5"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42" w:type="dxa"/>
            <w:gridSpan w:val="3"/>
            <w:shd w:val="clear" w:color="000000" w:fill="9BD2ED"/>
            <w:vAlign w:val="center"/>
            <w:hideMark/>
          </w:tcPr>
          <w:p w14:paraId="63A9B1FF"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20" w:type="dxa"/>
            <w:gridSpan w:val="2"/>
            <w:shd w:val="clear" w:color="000000" w:fill="9BD2ED"/>
            <w:vAlign w:val="center"/>
            <w:hideMark/>
          </w:tcPr>
          <w:p w14:paraId="001E7D66"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800" w:type="dxa"/>
            <w:gridSpan w:val="4"/>
            <w:shd w:val="clear" w:color="000000" w:fill="9BD2ED"/>
            <w:vAlign w:val="center"/>
            <w:hideMark/>
          </w:tcPr>
          <w:p w14:paraId="2CBD6BE7"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90" w:type="dxa"/>
            <w:gridSpan w:val="3"/>
            <w:shd w:val="clear" w:color="000000" w:fill="9BD2ED"/>
            <w:vAlign w:val="center"/>
            <w:hideMark/>
          </w:tcPr>
          <w:p w14:paraId="79E13915"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440" w:type="dxa"/>
            <w:gridSpan w:val="2"/>
            <w:shd w:val="clear" w:color="000000" w:fill="9BD2ED"/>
            <w:vAlign w:val="center"/>
            <w:hideMark/>
          </w:tcPr>
          <w:p w14:paraId="5057E3BF"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5223DD" w:rsidRPr="008C761D" w14:paraId="6289D3E8" w14:textId="77777777" w:rsidTr="003F623B">
        <w:trPr>
          <w:gridBefore w:val="3"/>
          <w:gridAfter w:val="1"/>
          <w:wBefore w:w="224" w:type="dxa"/>
          <w:wAfter w:w="180" w:type="dxa"/>
          <w:trHeight w:val="443"/>
          <w:jc w:val="center"/>
        </w:trPr>
        <w:tc>
          <w:tcPr>
            <w:tcW w:w="2134" w:type="dxa"/>
            <w:gridSpan w:val="3"/>
            <w:vMerge/>
            <w:tcBorders>
              <w:top w:val="nil"/>
              <w:left w:val="nil"/>
              <w:bottom w:val="nil"/>
              <w:right w:val="single" w:sz="8" w:space="0" w:color="000000"/>
            </w:tcBorders>
            <w:vAlign w:val="center"/>
            <w:hideMark/>
          </w:tcPr>
          <w:p w14:paraId="780A97D7"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497005AC" w14:textId="7008BCF9" w:rsidR="005223DD" w:rsidRPr="008C761D" w:rsidRDefault="00FC63A0" w:rsidP="005742CC">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1.</w:t>
            </w:r>
            <w:r w:rsidR="005223DD" w:rsidRPr="008C761D">
              <w:rPr>
                <w:rFonts w:ascii="Arial" w:eastAsia="Times New Roman" w:hAnsi="Arial" w:cs="Arial"/>
                <w:sz w:val="12"/>
                <w:szCs w:val="12"/>
                <w:lang w:val="en-US" w:eastAsia="mk-MK"/>
              </w:rPr>
              <w:t>Number of new employments in SAC</w:t>
            </w:r>
          </w:p>
        </w:tc>
        <w:tc>
          <w:tcPr>
            <w:tcW w:w="1170" w:type="dxa"/>
            <w:gridSpan w:val="2"/>
            <w:shd w:val="clear" w:color="000000" w:fill="FFFF99"/>
            <w:vAlign w:val="center"/>
            <w:hideMark/>
          </w:tcPr>
          <w:p w14:paraId="699666FB"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SAC</w:t>
            </w:r>
          </w:p>
        </w:tc>
        <w:tc>
          <w:tcPr>
            <w:tcW w:w="1442" w:type="dxa"/>
            <w:gridSpan w:val="3"/>
            <w:shd w:val="clear" w:color="000000" w:fill="FFFF99"/>
            <w:vAlign w:val="center"/>
            <w:hideMark/>
          </w:tcPr>
          <w:p w14:paraId="49F9A0AC"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20" w:type="dxa"/>
            <w:gridSpan w:val="2"/>
            <w:shd w:val="clear" w:color="000000" w:fill="FFFF99"/>
            <w:vAlign w:val="center"/>
            <w:hideMark/>
          </w:tcPr>
          <w:p w14:paraId="0895B922"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 new employees</w:t>
            </w:r>
          </w:p>
        </w:tc>
        <w:tc>
          <w:tcPr>
            <w:tcW w:w="1800" w:type="dxa"/>
            <w:gridSpan w:val="4"/>
            <w:shd w:val="clear" w:color="000000" w:fill="FFFF99"/>
            <w:vAlign w:val="center"/>
            <w:hideMark/>
          </w:tcPr>
          <w:p w14:paraId="72EC0E3D" w14:textId="481C3F23" w:rsidR="005223DD" w:rsidRPr="008C761D" w:rsidRDefault="00407B01"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90" w:type="dxa"/>
            <w:gridSpan w:val="3"/>
            <w:shd w:val="clear" w:color="000000" w:fill="FFFF99"/>
            <w:vAlign w:val="center"/>
            <w:hideMark/>
          </w:tcPr>
          <w:p w14:paraId="64EB1F89" w14:textId="1A14E6D6" w:rsidR="005223DD" w:rsidRPr="008C761D" w:rsidRDefault="00407B01" w:rsidP="005742CC">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440" w:type="dxa"/>
            <w:gridSpan w:val="2"/>
            <w:shd w:val="clear" w:color="000000" w:fill="FFFF99"/>
            <w:vAlign w:val="center"/>
            <w:hideMark/>
          </w:tcPr>
          <w:p w14:paraId="2B25C1D5" w14:textId="5ECEBBB8" w:rsidR="005223DD" w:rsidRPr="008C761D" w:rsidRDefault="005223DD" w:rsidP="00FC63A0">
            <w:pPr>
              <w:spacing w:after="0" w:line="240" w:lineRule="auto"/>
              <w:rPr>
                <w:rFonts w:ascii="Arial" w:eastAsia="Times New Roman" w:hAnsi="Arial" w:cs="Arial"/>
                <w:sz w:val="12"/>
                <w:szCs w:val="12"/>
                <w:lang w:val="en-US" w:eastAsia="mk-MK"/>
              </w:rPr>
            </w:pPr>
          </w:p>
        </w:tc>
      </w:tr>
      <w:tr w:rsidR="005223DD" w:rsidRPr="008C761D" w14:paraId="432D7B37" w14:textId="77777777" w:rsidTr="003F623B">
        <w:trPr>
          <w:gridBefore w:val="3"/>
          <w:gridAfter w:val="1"/>
          <w:wBefore w:w="224" w:type="dxa"/>
          <w:wAfter w:w="180" w:type="dxa"/>
          <w:trHeight w:val="365"/>
          <w:jc w:val="center"/>
        </w:trPr>
        <w:tc>
          <w:tcPr>
            <w:tcW w:w="2134" w:type="dxa"/>
            <w:gridSpan w:val="3"/>
            <w:vMerge/>
            <w:tcBorders>
              <w:top w:val="nil"/>
              <w:left w:val="nil"/>
              <w:bottom w:val="nil"/>
              <w:right w:val="single" w:sz="8" w:space="0" w:color="000000"/>
            </w:tcBorders>
            <w:vAlign w:val="center"/>
            <w:hideMark/>
          </w:tcPr>
          <w:p w14:paraId="5C9348B7"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9BD2ED"/>
            <w:vAlign w:val="center"/>
            <w:hideMark/>
          </w:tcPr>
          <w:p w14:paraId="195981BB"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70" w:type="dxa"/>
            <w:gridSpan w:val="2"/>
            <w:shd w:val="clear" w:color="000000" w:fill="9BD2ED"/>
            <w:vAlign w:val="center"/>
            <w:hideMark/>
          </w:tcPr>
          <w:p w14:paraId="19D28FF8"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 period</w:t>
            </w:r>
          </w:p>
        </w:tc>
        <w:tc>
          <w:tcPr>
            <w:tcW w:w="1442" w:type="dxa"/>
            <w:gridSpan w:val="3"/>
            <w:shd w:val="clear" w:color="000000" w:fill="9BD2ED"/>
            <w:vAlign w:val="center"/>
            <w:hideMark/>
          </w:tcPr>
          <w:p w14:paraId="3DE9D6F0"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 institution</w:t>
            </w:r>
          </w:p>
        </w:tc>
        <w:tc>
          <w:tcPr>
            <w:tcW w:w="1620" w:type="dxa"/>
            <w:gridSpan w:val="2"/>
            <w:shd w:val="clear" w:color="000000" w:fill="9BD2ED"/>
            <w:vAlign w:val="center"/>
            <w:hideMark/>
          </w:tcPr>
          <w:p w14:paraId="4EE797B8"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 partners</w:t>
            </w:r>
          </w:p>
        </w:tc>
        <w:tc>
          <w:tcPr>
            <w:tcW w:w="1800" w:type="dxa"/>
            <w:gridSpan w:val="4"/>
            <w:shd w:val="clear" w:color="000000" w:fill="9BD2ED"/>
            <w:vAlign w:val="center"/>
            <w:hideMark/>
          </w:tcPr>
          <w:p w14:paraId="25B44237"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90" w:type="dxa"/>
            <w:gridSpan w:val="3"/>
            <w:shd w:val="clear" w:color="000000" w:fill="9BD2ED"/>
            <w:vAlign w:val="center"/>
            <w:hideMark/>
          </w:tcPr>
          <w:p w14:paraId="0F5CFFB1" w14:textId="77777777" w:rsidR="005223DD" w:rsidRPr="008C761D" w:rsidRDefault="005223DD" w:rsidP="005742CC">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 of financing</w:t>
            </w:r>
          </w:p>
        </w:tc>
        <w:tc>
          <w:tcPr>
            <w:tcW w:w="1440" w:type="dxa"/>
            <w:gridSpan w:val="2"/>
            <w:shd w:val="clear" w:color="000000" w:fill="9BD2ED"/>
            <w:vAlign w:val="center"/>
            <w:hideMark/>
          </w:tcPr>
          <w:p w14:paraId="7DC9D641" w14:textId="77777777" w:rsidR="005223DD" w:rsidRPr="008C761D" w:rsidRDefault="005223DD" w:rsidP="005742CC">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5223DD" w:rsidRPr="008C761D" w14:paraId="0AA11760" w14:textId="77777777" w:rsidTr="003F623B">
        <w:trPr>
          <w:gridBefore w:val="3"/>
          <w:gridAfter w:val="1"/>
          <w:wBefore w:w="224" w:type="dxa"/>
          <w:wAfter w:w="180" w:type="dxa"/>
          <w:trHeight w:val="420"/>
          <w:jc w:val="center"/>
        </w:trPr>
        <w:tc>
          <w:tcPr>
            <w:tcW w:w="2134" w:type="dxa"/>
            <w:gridSpan w:val="3"/>
            <w:tcBorders>
              <w:top w:val="nil"/>
              <w:left w:val="nil"/>
              <w:bottom w:val="nil"/>
              <w:right w:val="single" w:sz="8" w:space="0" w:color="000000"/>
            </w:tcBorders>
            <w:vAlign w:val="center"/>
            <w:hideMark/>
          </w:tcPr>
          <w:p w14:paraId="42DCD3B5" w14:textId="77777777" w:rsidR="005223DD" w:rsidRPr="008C761D" w:rsidRDefault="005223DD" w:rsidP="005742CC">
            <w:pPr>
              <w:spacing w:after="0" w:line="240" w:lineRule="auto"/>
              <w:rPr>
                <w:rFonts w:ascii="Arial" w:eastAsia="Times New Roman" w:hAnsi="Arial" w:cs="Arial"/>
                <w:sz w:val="12"/>
                <w:szCs w:val="12"/>
                <w:lang w:val="en-US" w:eastAsia="mk-MK"/>
              </w:rPr>
            </w:pPr>
          </w:p>
        </w:tc>
        <w:tc>
          <w:tcPr>
            <w:tcW w:w="1798" w:type="dxa"/>
            <w:gridSpan w:val="4"/>
            <w:tcBorders>
              <w:left w:val="single" w:sz="8" w:space="0" w:color="000000"/>
            </w:tcBorders>
            <w:shd w:val="clear" w:color="000000" w:fill="FFFF99"/>
            <w:vAlign w:val="center"/>
            <w:hideMark/>
          </w:tcPr>
          <w:p w14:paraId="2CB2A1B8" w14:textId="047C5E07" w:rsidR="005223DD" w:rsidRPr="008C761D" w:rsidRDefault="00FC63A0" w:rsidP="005742CC">
            <w:pPr>
              <w:spacing w:after="0" w:line="240" w:lineRule="auto"/>
              <w:rPr>
                <w:rFonts w:ascii="Arial" w:eastAsia="Times New Roman" w:hAnsi="Arial" w:cs="Arial"/>
                <w:sz w:val="12"/>
                <w:szCs w:val="12"/>
                <w:lang w:val="en-US" w:eastAsia="mk-MK"/>
              </w:rPr>
            </w:pPr>
            <w:r>
              <w:rPr>
                <w:rFonts w:ascii="Arial" w:eastAsia="Times New Roman" w:hAnsi="Arial" w:cs="Arial"/>
                <w:sz w:val="12"/>
                <w:szCs w:val="12"/>
                <w:lang w:val="en-US" w:eastAsia="mk-MK"/>
              </w:rPr>
              <w:t>1.</w:t>
            </w:r>
            <w:r w:rsidR="005223DD" w:rsidRPr="008C761D">
              <w:rPr>
                <w:rFonts w:ascii="Arial" w:eastAsia="Times New Roman" w:hAnsi="Arial" w:cs="Arial"/>
                <w:sz w:val="12"/>
                <w:szCs w:val="12"/>
                <w:lang w:val="en-US" w:eastAsia="mk-MK"/>
              </w:rPr>
              <w:t>Increasing the administrative capacities of the SAC</w:t>
            </w:r>
          </w:p>
        </w:tc>
        <w:tc>
          <w:tcPr>
            <w:tcW w:w="1170" w:type="dxa"/>
            <w:gridSpan w:val="2"/>
            <w:shd w:val="clear" w:color="000000" w:fill="FFFF99"/>
            <w:vAlign w:val="center"/>
            <w:hideMark/>
          </w:tcPr>
          <w:p w14:paraId="5BF2D6F3"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2024-2025</w:t>
            </w:r>
          </w:p>
        </w:tc>
        <w:tc>
          <w:tcPr>
            <w:tcW w:w="1442" w:type="dxa"/>
            <w:gridSpan w:val="3"/>
            <w:shd w:val="clear" w:color="000000" w:fill="FFFF99"/>
            <w:vAlign w:val="center"/>
            <w:hideMark/>
          </w:tcPr>
          <w:p w14:paraId="0E2D1095"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SAC</w:t>
            </w:r>
          </w:p>
        </w:tc>
        <w:tc>
          <w:tcPr>
            <w:tcW w:w="1620" w:type="dxa"/>
            <w:gridSpan w:val="2"/>
            <w:shd w:val="clear" w:color="000000" w:fill="FFFF99"/>
            <w:vAlign w:val="center"/>
            <w:hideMark/>
          </w:tcPr>
          <w:p w14:paraId="71E1D19C"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800" w:type="dxa"/>
            <w:gridSpan w:val="4"/>
            <w:shd w:val="clear" w:color="000000" w:fill="FFFF99"/>
            <w:vAlign w:val="center"/>
            <w:hideMark/>
          </w:tcPr>
          <w:p w14:paraId="7F333153"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84.000</w:t>
            </w:r>
          </w:p>
        </w:tc>
        <w:tc>
          <w:tcPr>
            <w:tcW w:w="1890" w:type="dxa"/>
            <w:gridSpan w:val="3"/>
            <w:shd w:val="clear" w:color="000000" w:fill="FFFF99"/>
            <w:vAlign w:val="center"/>
            <w:hideMark/>
          </w:tcPr>
          <w:p w14:paraId="69F82D78" w14:textId="77777777" w:rsidR="005223DD" w:rsidRPr="008C761D" w:rsidRDefault="005223DD" w:rsidP="005742C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 budget</w:t>
            </w:r>
          </w:p>
        </w:tc>
        <w:tc>
          <w:tcPr>
            <w:tcW w:w="1440" w:type="dxa"/>
            <w:gridSpan w:val="2"/>
            <w:shd w:val="clear" w:color="000000" w:fill="FFFF99"/>
            <w:vAlign w:val="center"/>
            <w:hideMark/>
          </w:tcPr>
          <w:p w14:paraId="70F53938" w14:textId="3C046BB8" w:rsidR="005223DD" w:rsidRPr="008C761D" w:rsidRDefault="005223DD" w:rsidP="005742CC">
            <w:pPr>
              <w:spacing w:after="0" w:line="240" w:lineRule="auto"/>
              <w:jc w:val="center"/>
              <w:rPr>
                <w:rFonts w:ascii="Arial" w:eastAsia="Times New Roman" w:hAnsi="Arial" w:cs="Arial"/>
                <w:sz w:val="12"/>
                <w:szCs w:val="12"/>
                <w:lang w:val="en-US" w:eastAsia="mk-MK"/>
              </w:rPr>
            </w:pPr>
          </w:p>
        </w:tc>
      </w:tr>
      <w:tr w:rsidR="00485BAA" w:rsidRPr="008C761D" w14:paraId="3401E0AF" w14:textId="77777777" w:rsidTr="003F623B">
        <w:trPr>
          <w:gridBefore w:val="1"/>
          <w:gridAfter w:val="1"/>
          <w:wBefore w:w="17" w:type="dxa"/>
          <w:wAfter w:w="180" w:type="dxa"/>
          <w:trHeight w:val="205"/>
          <w:jc w:val="center"/>
        </w:trPr>
        <w:tc>
          <w:tcPr>
            <w:tcW w:w="13501" w:type="dxa"/>
            <w:gridSpan w:val="25"/>
            <w:shd w:val="clear" w:color="000000" w:fill="1F3864"/>
            <w:vAlign w:val="center"/>
            <w:hideMark/>
          </w:tcPr>
          <w:p w14:paraId="04E3D8D4" w14:textId="3F107CC1"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IV</w:t>
            </w:r>
            <w:r w:rsidR="00577A56">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PUBLIC PROCUREMENT</w:t>
            </w:r>
          </w:p>
        </w:tc>
      </w:tr>
      <w:tr w:rsidR="00485BAA" w:rsidRPr="008C761D" w14:paraId="19E01EE0" w14:textId="77777777" w:rsidTr="003F623B">
        <w:trPr>
          <w:gridBefore w:val="1"/>
          <w:gridAfter w:val="1"/>
          <w:wBefore w:w="17" w:type="dxa"/>
          <w:wAfter w:w="180" w:type="dxa"/>
          <w:trHeight w:val="259"/>
          <w:jc w:val="center"/>
        </w:trPr>
        <w:tc>
          <w:tcPr>
            <w:tcW w:w="13501" w:type="dxa"/>
            <w:gridSpan w:val="25"/>
            <w:shd w:val="clear" w:color="000000" w:fill="1F3864"/>
            <w:vAlign w:val="center"/>
            <w:hideMark/>
          </w:tcPr>
          <w:p w14:paraId="47155EBC" w14:textId="4D1DCF81"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w:t>
            </w:r>
            <w:r w:rsidR="00577A56">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Public</w:t>
            </w:r>
            <w:r w:rsidR="007A61C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Private</w:t>
            </w:r>
            <w:r w:rsidR="007A61C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Partnership (PPP</w:t>
            </w:r>
            <w:r w:rsidR="008975AC" w:rsidRPr="008C761D">
              <w:rPr>
                <w:rFonts w:ascii="Arial" w:eastAsia="Times New Roman" w:hAnsi="Arial" w:cs="Arial"/>
                <w:b/>
                <w:bCs/>
                <w:color w:val="FFFFFF"/>
                <w:sz w:val="12"/>
                <w:szCs w:val="12"/>
                <w:lang w:val="en-US" w:eastAsia="mk-MK"/>
              </w:rPr>
              <w:t>andConcession</w:t>
            </w:r>
            <w:r w:rsidR="007A61CE" w:rsidRPr="008C761D">
              <w:rPr>
                <w:rFonts w:ascii="Arial" w:eastAsia="Times New Roman" w:hAnsi="Arial" w:cs="Arial"/>
                <w:b/>
                <w:bCs/>
                <w:color w:val="FFFFFF"/>
                <w:sz w:val="12"/>
                <w:szCs w:val="12"/>
                <w:lang w:val="en-US" w:eastAsia="mk-MK"/>
              </w:rPr>
              <w:t xml:space="preserve"> </w:t>
            </w:r>
            <w:r w:rsidR="008975AC" w:rsidRPr="008C761D">
              <w:rPr>
                <w:rFonts w:ascii="Arial" w:eastAsia="Times New Roman" w:hAnsi="Arial" w:cs="Arial"/>
                <w:b/>
                <w:bCs/>
                <w:color w:val="FFFFFF"/>
                <w:sz w:val="12"/>
                <w:szCs w:val="12"/>
                <w:lang w:val="en-US" w:eastAsia="mk-MK"/>
              </w:rPr>
              <w:t>on</w:t>
            </w:r>
            <w:r w:rsidR="007A61CE" w:rsidRPr="008C761D">
              <w:rPr>
                <w:rFonts w:ascii="Arial" w:eastAsia="Times New Roman" w:hAnsi="Arial" w:cs="Arial"/>
                <w:b/>
                <w:bCs/>
                <w:color w:val="FFFFFF"/>
                <w:sz w:val="12"/>
                <w:szCs w:val="12"/>
                <w:lang w:val="en-US" w:eastAsia="mk-MK"/>
              </w:rPr>
              <w:t xml:space="preserve"> </w:t>
            </w:r>
            <w:r w:rsidR="008975AC" w:rsidRPr="008C761D">
              <w:rPr>
                <w:rFonts w:ascii="Arial" w:eastAsia="Times New Roman" w:hAnsi="Arial" w:cs="Arial"/>
                <w:b/>
                <w:bCs/>
                <w:color w:val="FFFFFF"/>
                <w:sz w:val="12"/>
                <w:szCs w:val="12"/>
                <w:lang w:val="en-US" w:eastAsia="mk-MK"/>
              </w:rPr>
              <w:t>goods</w:t>
            </w:r>
            <w:r w:rsidR="007A61CE" w:rsidRPr="008C761D">
              <w:rPr>
                <w:rFonts w:ascii="Arial" w:eastAsia="Times New Roman" w:hAnsi="Arial" w:cs="Arial"/>
                <w:b/>
                <w:bCs/>
                <w:color w:val="FFFFFF"/>
                <w:sz w:val="12"/>
                <w:szCs w:val="12"/>
                <w:lang w:val="en-US" w:eastAsia="mk-MK"/>
              </w:rPr>
              <w:t xml:space="preserve"> </w:t>
            </w:r>
            <w:r w:rsidR="008975AC" w:rsidRPr="008C761D">
              <w:rPr>
                <w:rFonts w:ascii="Arial" w:eastAsia="Times New Roman" w:hAnsi="Arial" w:cs="Arial"/>
                <w:b/>
                <w:bCs/>
                <w:color w:val="FFFFFF"/>
                <w:sz w:val="12"/>
                <w:szCs w:val="12"/>
                <w:lang w:val="en-US" w:eastAsia="mk-MK"/>
              </w:rPr>
              <w:t>of</w:t>
            </w:r>
            <w:r w:rsidR="007A61CE" w:rsidRPr="008C761D">
              <w:rPr>
                <w:rFonts w:ascii="Arial" w:eastAsia="Times New Roman" w:hAnsi="Arial" w:cs="Arial"/>
                <w:b/>
                <w:bCs/>
                <w:color w:val="FFFFFF"/>
                <w:sz w:val="12"/>
                <w:szCs w:val="12"/>
                <w:lang w:val="en-US" w:eastAsia="mk-MK"/>
              </w:rPr>
              <w:t xml:space="preserve"> </w:t>
            </w:r>
            <w:r w:rsidR="008975AC" w:rsidRPr="008C761D">
              <w:rPr>
                <w:rFonts w:ascii="Arial" w:eastAsia="Times New Roman" w:hAnsi="Arial" w:cs="Arial"/>
                <w:b/>
                <w:bCs/>
                <w:color w:val="FFFFFF"/>
                <w:sz w:val="12"/>
                <w:szCs w:val="12"/>
                <w:lang w:val="en-US" w:eastAsia="mk-MK"/>
              </w:rPr>
              <w:t>general</w:t>
            </w:r>
            <w:r w:rsidR="007A61CE" w:rsidRPr="008C761D">
              <w:rPr>
                <w:rFonts w:ascii="Arial" w:eastAsia="Times New Roman" w:hAnsi="Arial" w:cs="Arial"/>
                <w:b/>
                <w:bCs/>
                <w:color w:val="FFFFFF"/>
                <w:sz w:val="12"/>
                <w:szCs w:val="12"/>
                <w:lang w:val="en-US" w:eastAsia="mk-MK"/>
              </w:rPr>
              <w:t xml:space="preserve"> </w:t>
            </w:r>
            <w:r w:rsidR="008975AC" w:rsidRPr="008C761D">
              <w:rPr>
                <w:rFonts w:ascii="Arial" w:eastAsia="Times New Roman" w:hAnsi="Arial" w:cs="Arial"/>
                <w:b/>
                <w:bCs/>
                <w:color w:val="FFFFFF"/>
                <w:sz w:val="12"/>
                <w:szCs w:val="12"/>
                <w:lang w:val="en-US" w:eastAsia="mk-MK"/>
              </w:rPr>
              <w:t>interest</w:t>
            </w:r>
            <w:r w:rsidRPr="008C761D">
              <w:rPr>
                <w:rFonts w:ascii="Arial" w:eastAsia="Times New Roman" w:hAnsi="Arial" w:cs="Arial"/>
                <w:b/>
                <w:bCs/>
                <w:color w:val="FFFFFF"/>
                <w:sz w:val="12"/>
                <w:szCs w:val="12"/>
                <w:lang w:val="en-US" w:eastAsia="mk-MK"/>
              </w:rPr>
              <w:t>)</w:t>
            </w:r>
          </w:p>
        </w:tc>
      </w:tr>
      <w:tr w:rsidR="00485BAA" w:rsidRPr="008C761D" w14:paraId="6A9149C4" w14:textId="77777777" w:rsidTr="003F623B">
        <w:trPr>
          <w:gridBefore w:val="1"/>
          <w:gridAfter w:val="1"/>
          <w:wBefore w:w="17" w:type="dxa"/>
          <w:wAfter w:w="180" w:type="dxa"/>
          <w:trHeight w:val="315"/>
          <w:jc w:val="center"/>
        </w:trPr>
        <w:tc>
          <w:tcPr>
            <w:tcW w:w="2368" w:type="dxa"/>
            <w:gridSpan w:val="6"/>
            <w:shd w:val="clear" w:color="000000" w:fill="9BD2ED"/>
            <w:vAlign w:val="center"/>
            <w:hideMark/>
          </w:tcPr>
          <w:p w14:paraId="460D434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05DAD4B6" w14:textId="13E0C1A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371EFC65" w14:textId="38AB04B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8618D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3AC583F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120E2D"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66442F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20E2D"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F69EC5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20E2D"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D9C09E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20E2D"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6342C3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120E2D" w:rsidRPr="008C761D">
              <w:rPr>
                <w:rFonts w:ascii="Arial" w:eastAsia="Times New Roman" w:hAnsi="Arial" w:cs="Arial"/>
                <w:b/>
                <w:bCs/>
                <w:sz w:val="12"/>
                <w:szCs w:val="12"/>
                <w:lang w:val="en-US" w:eastAsia="mk-MK"/>
              </w:rPr>
              <w:t>7</w:t>
            </w:r>
          </w:p>
        </w:tc>
      </w:tr>
      <w:tr w:rsidR="00485BAA" w:rsidRPr="008C761D" w14:paraId="1CB53267" w14:textId="77777777" w:rsidTr="003F623B">
        <w:trPr>
          <w:gridBefore w:val="1"/>
          <w:gridAfter w:val="1"/>
          <w:wBefore w:w="17" w:type="dxa"/>
          <w:wAfter w:w="180" w:type="dxa"/>
          <w:trHeight w:val="2176"/>
          <w:jc w:val="center"/>
        </w:trPr>
        <w:tc>
          <w:tcPr>
            <w:tcW w:w="2368" w:type="dxa"/>
            <w:gridSpan w:val="6"/>
            <w:shd w:val="clear" w:color="000000" w:fill="FFFF99"/>
            <w:hideMark/>
          </w:tcPr>
          <w:p w14:paraId="62C7D3D8" w14:textId="5688CDAB" w:rsidR="00485BAA" w:rsidRPr="008C761D" w:rsidRDefault="007A61C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Unification and digitalization of the process of awarding contracts for establishing public-private partnership, increased transparency and efficiency in the implementation of the Law on Public-Private Partnership and strengthening and developing the capacities of the Ministry of Economy for consistent realization of competencies according to law.</w:t>
            </w:r>
          </w:p>
        </w:tc>
        <w:tc>
          <w:tcPr>
            <w:tcW w:w="1771" w:type="dxa"/>
            <w:gridSpan w:val="3"/>
            <w:shd w:val="clear" w:color="000000" w:fill="FFFF99"/>
            <w:hideMark/>
          </w:tcPr>
          <w:p w14:paraId="2716F809" w14:textId="072005F7" w:rsidR="00485BAA" w:rsidRPr="008C761D" w:rsidRDefault="007A61C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1)Number of concluded agreements for establishing a public-private partnership</w:t>
            </w:r>
            <w:r w:rsidRPr="008C761D">
              <w:rPr>
                <w:rFonts w:ascii="Arial" w:eastAsia="Times New Roman" w:hAnsi="Arial" w:cs="Arial"/>
                <w:sz w:val="12"/>
                <w:szCs w:val="12"/>
                <w:lang w:val="en-US" w:eastAsia="mk-MK"/>
              </w:rPr>
              <w:br/>
              <w:t>2) Effective and consistent implementation of the obligations of the contracting parties in   accordance with the agreements for establishment of public-private partnership.</w:t>
            </w:r>
          </w:p>
        </w:tc>
        <w:tc>
          <w:tcPr>
            <w:tcW w:w="1194" w:type="dxa"/>
            <w:gridSpan w:val="3"/>
            <w:shd w:val="clear" w:color="000000" w:fill="FFFF99"/>
            <w:vAlign w:val="center"/>
            <w:hideMark/>
          </w:tcPr>
          <w:p w14:paraId="373640B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w:t>
            </w:r>
          </w:p>
        </w:tc>
        <w:tc>
          <w:tcPr>
            <w:tcW w:w="1418" w:type="dxa"/>
            <w:gridSpan w:val="2"/>
            <w:shd w:val="clear" w:color="000000" w:fill="FFFF99"/>
            <w:hideMark/>
          </w:tcPr>
          <w:p w14:paraId="375CB4D2" w14:textId="52A05A28" w:rsidR="00485BAA" w:rsidRPr="008C761D" w:rsidRDefault="00485BAA" w:rsidP="00485BAA">
            <w:pPr>
              <w:spacing w:after="0" w:line="240" w:lineRule="auto"/>
              <w:rPr>
                <w:rFonts w:ascii="Arial" w:eastAsia="Times New Roman" w:hAnsi="Arial" w:cs="Arial"/>
                <w:sz w:val="12"/>
                <w:szCs w:val="12"/>
                <w:lang w:val="en-US" w:eastAsia="mk-MK"/>
              </w:rPr>
            </w:pPr>
          </w:p>
        </w:tc>
        <w:tc>
          <w:tcPr>
            <w:tcW w:w="1644" w:type="dxa"/>
            <w:gridSpan w:val="3"/>
            <w:shd w:val="clear" w:color="000000" w:fill="FFFF99"/>
            <w:vAlign w:val="center"/>
            <w:hideMark/>
          </w:tcPr>
          <w:p w14:paraId="7A91B30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hideMark/>
          </w:tcPr>
          <w:p w14:paraId="428F06F6" w14:textId="2C85D668" w:rsidR="00485BAA" w:rsidRPr="008C761D" w:rsidRDefault="007A61C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Potential increase in the number of concluded contracts for public-private partnership by 5% compared to the number of contracts concluded in the year as a basis for monitoring</w:t>
            </w:r>
            <w:r w:rsidRPr="008C761D">
              <w:rPr>
                <w:rFonts w:ascii="Arial" w:eastAsia="Times New Roman" w:hAnsi="Arial" w:cs="Arial"/>
                <w:sz w:val="12"/>
                <w:szCs w:val="12"/>
                <w:lang w:val="en-US" w:eastAsia="mk-MK"/>
              </w:rPr>
              <w:br/>
              <w:t>2) Potential reduction by 20% of concluded contracts for public-private partnership in which certain legal obstacles in the realization occurred, compared to the percentage of contracts concluded in the year as a basis for monitoring</w:t>
            </w:r>
          </w:p>
        </w:tc>
        <w:tc>
          <w:tcPr>
            <w:tcW w:w="1842" w:type="dxa"/>
            <w:gridSpan w:val="3"/>
            <w:shd w:val="clear" w:color="000000" w:fill="FFFF99"/>
            <w:hideMark/>
          </w:tcPr>
          <w:p w14:paraId="040AF459" w14:textId="2705DAEA" w:rsidR="00485BAA" w:rsidRPr="008C761D" w:rsidRDefault="007A61C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Potential increase in the number of concluded public-private partnership agreements by 5% compared to the previous year</w:t>
            </w:r>
            <w:r w:rsidRPr="008C761D">
              <w:rPr>
                <w:rFonts w:ascii="Arial" w:eastAsia="Times New Roman" w:hAnsi="Arial" w:cs="Arial"/>
                <w:sz w:val="12"/>
                <w:szCs w:val="12"/>
                <w:lang w:val="en-US" w:eastAsia="mk-MK"/>
              </w:rPr>
              <w:br/>
              <w:t>2) Potential reduction by 10% of concluded public-private partnership agreements in which certain legal obstacles in the realization occurred, compared to the previous year</w:t>
            </w:r>
          </w:p>
        </w:tc>
        <w:tc>
          <w:tcPr>
            <w:tcW w:w="1506" w:type="dxa"/>
            <w:gridSpan w:val="3"/>
            <w:shd w:val="clear" w:color="000000" w:fill="FFFF99"/>
            <w:hideMark/>
          </w:tcPr>
          <w:p w14:paraId="334C99CE" w14:textId="5041115E" w:rsidR="00485BAA" w:rsidRPr="008C761D" w:rsidRDefault="007A61C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Potential increase in the number of concluded public-private partnership agreements by 5% compared to the previous year</w:t>
            </w:r>
            <w:r w:rsidRPr="008C761D">
              <w:rPr>
                <w:rFonts w:ascii="Arial" w:eastAsia="Times New Roman" w:hAnsi="Arial" w:cs="Arial"/>
                <w:sz w:val="12"/>
                <w:szCs w:val="12"/>
                <w:lang w:val="en-US" w:eastAsia="mk-MK"/>
              </w:rPr>
              <w:br/>
              <w:t>2) Potential reduction by 10% of concluded public-private partnership agreements in which certain legal obstacles in the realization occurred, compared to the previous year</w:t>
            </w:r>
          </w:p>
        </w:tc>
      </w:tr>
      <w:tr w:rsidR="00485BAA" w:rsidRPr="008C761D" w14:paraId="437BB281" w14:textId="77777777" w:rsidTr="003F623B">
        <w:trPr>
          <w:gridBefore w:val="1"/>
          <w:gridAfter w:val="1"/>
          <w:wBefore w:w="17" w:type="dxa"/>
          <w:wAfter w:w="180" w:type="dxa"/>
          <w:trHeight w:val="268"/>
          <w:jc w:val="center"/>
        </w:trPr>
        <w:tc>
          <w:tcPr>
            <w:tcW w:w="13501" w:type="dxa"/>
            <w:gridSpan w:val="25"/>
            <w:shd w:val="clear" w:color="000000" w:fill="9BD2ED"/>
            <w:vAlign w:val="center"/>
            <w:hideMark/>
          </w:tcPr>
          <w:p w14:paraId="6E5B6697" w14:textId="73A36937"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Establishment</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Unique</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Electronic</w:t>
            </w:r>
            <w:r w:rsidR="007A61CE" w:rsidRPr="008C761D">
              <w:rPr>
                <w:rFonts w:ascii="Arial" w:eastAsia="Times New Roman" w:hAnsi="Arial" w:cs="Arial"/>
                <w:b/>
                <w:bCs/>
                <w:sz w:val="12"/>
                <w:szCs w:val="12"/>
                <w:lang w:val="en-US" w:eastAsia="mk-MK"/>
              </w:rPr>
              <w:t xml:space="preserve"> </w:t>
            </w:r>
            <w:r w:rsidR="00AC339B" w:rsidRPr="008C761D">
              <w:rPr>
                <w:rFonts w:ascii="Arial" w:eastAsia="Times New Roman" w:hAnsi="Arial" w:cs="Arial"/>
                <w:b/>
                <w:bCs/>
                <w:sz w:val="12"/>
                <w:szCs w:val="12"/>
                <w:lang w:val="en-US" w:eastAsia="mk-MK"/>
              </w:rPr>
              <w:t xml:space="preserve">System </w:t>
            </w:r>
            <w:r w:rsidRPr="008C761D">
              <w:rPr>
                <w:rFonts w:ascii="Arial" w:eastAsia="Times New Roman" w:hAnsi="Arial" w:cs="Arial"/>
                <w:b/>
                <w:bCs/>
                <w:sz w:val="12"/>
                <w:szCs w:val="12"/>
                <w:lang w:val="en-US" w:eastAsia="mk-MK"/>
              </w:rPr>
              <w:t>Public</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Private</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Partnership</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System (UE</w:t>
            </w:r>
            <w:r w:rsidR="00AC339B" w:rsidRPr="008C761D">
              <w:rPr>
                <w:rFonts w:ascii="Arial" w:eastAsia="Times New Roman" w:hAnsi="Arial" w:cs="Arial"/>
                <w:b/>
                <w:bCs/>
                <w:sz w:val="12"/>
                <w:szCs w:val="12"/>
                <w:lang w:val="en-US" w:eastAsia="mk-MK"/>
              </w:rPr>
              <w:t>S</w:t>
            </w:r>
            <w:r w:rsidRPr="008C761D">
              <w:rPr>
                <w:rFonts w:ascii="Arial" w:eastAsia="Times New Roman" w:hAnsi="Arial" w:cs="Arial"/>
                <w:b/>
                <w:bCs/>
                <w:sz w:val="12"/>
                <w:szCs w:val="12"/>
                <w:lang w:val="en-US" w:eastAsia="mk-MK"/>
              </w:rPr>
              <w:t xml:space="preserve">PPP) </w:t>
            </w:r>
          </w:p>
        </w:tc>
      </w:tr>
      <w:tr w:rsidR="00485BAA" w:rsidRPr="008C761D" w14:paraId="19900DD5" w14:textId="77777777" w:rsidTr="003F623B">
        <w:trPr>
          <w:gridBefore w:val="1"/>
          <w:gridAfter w:val="1"/>
          <w:wBefore w:w="17" w:type="dxa"/>
          <w:wAfter w:w="180" w:type="dxa"/>
          <w:trHeight w:val="269"/>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7B7BDE3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5A09F97E" w14:textId="230A7E8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7A61C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BB5321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0150462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AC339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F9EE6F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E0F1AB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48108CA" w14:textId="77777777" w:rsidR="00485BAA" w:rsidRPr="008C761D" w:rsidRDefault="00485BAA" w:rsidP="00AC339B">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53B289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7</w:t>
            </w:r>
          </w:p>
        </w:tc>
      </w:tr>
      <w:tr w:rsidR="00485BAA" w:rsidRPr="008C761D" w14:paraId="200A9500" w14:textId="77777777" w:rsidTr="003F623B">
        <w:trPr>
          <w:gridBefore w:val="1"/>
          <w:gridAfter w:val="1"/>
          <w:wBefore w:w="17" w:type="dxa"/>
          <w:wAfter w:w="180" w:type="dxa"/>
          <w:trHeight w:val="2532"/>
          <w:jc w:val="center"/>
        </w:trPr>
        <w:tc>
          <w:tcPr>
            <w:tcW w:w="2368" w:type="dxa"/>
            <w:gridSpan w:val="6"/>
            <w:vMerge/>
            <w:tcBorders>
              <w:top w:val="nil"/>
              <w:left w:val="nil"/>
              <w:bottom w:val="nil"/>
              <w:right w:val="single" w:sz="8" w:space="0" w:color="000000"/>
            </w:tcBorders>
            <w:vAlign w:val="center"/>
            <w:hideMark/>
          </w:tcPr>
          <w:p w14:paraId="466F5EF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EF1290B" w14:textId="77777777" w:rsidR="007A61CE"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1)Commissioning of the UESPPP and the Register of awarded contracts for the establishment of a public-private partnership and its functionality</w:t>
            </w:r>
          </w:p>
          <w:p w14:paraId="44C05506" w14:textId="77777777" w:rsidR="007A61CE"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2)percentage of PPP contracts whose progress in implementation is regularly reported to the system within the deadlines provided by the law</w:t>
            </w:r>
          </w:p>
          <w:p w14:paraId="19CFCE25" w14:textId="218AB2B4" w:rsidR="00485BAA"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 xml:space="preserve">3)percentage of initiated procedures for awarding a contract for establishing a public-private partnership, which have not been </w:t>
            </w:r>
            <w:r w:rsidRPr="008C761D">
              <w:rPr>
                <w:rFonts w:ascii="Arial" w:eastAsia="Times New Roman" w:hAnsi="Arial" w:cs="Arial"/>
                <w:sz w:val="12"/>
                <w:szCs w:val="12"/>
                <w:lang w:val="en-US" w:eastAsia="mk-MK"/>
              </w:rPr>
              <w:lastRenderedPageBreak/>
              <w:t>completed</w:t>
            </w:r>
          </w:p>
        </w:tc>
        <w:tc>
          <w:tcPr>
            <w:tcW w:w="1194" w:type="dxa"/>
            <w:gridSpan w:val="3"/>
            <w:shd w:val="clear" w:color="000000" w:fill="FFFF99"/>
            <w:vAlign w:val="center"/>
            <w:hideMark/>
          </w:tcPr>
          <w:p w14:paraId="5424118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lastRenderedPageBreak/>
              <w:t> </w:t>
            </w:r>
          </w:p>
        </w:tc>
        <w:tc>
          <w:tcPr>
            <w:tcW w:w="1418" w:type="dxa"/>
            <w:gridSpan w:val="2"/>
            <w:shd w:val="clear" w:color="000000" w:fill="FFFF99"/>
            <w:vAlign w:val="center"/>
            <w:hideMark/>
          </w:tcPr>
          <w:p w14:paraId="2D9E608E" w14:textId="77777777" w:rsidR="007A61CE"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0% of the public-private partnership agreements whose progress in the implementation is regularly reported in the system within the deadlines provided by law</w:t>
            </w:r>
          </w:p>
          <w:p w14:paraId="6CA1C666" w14:textId="45B7D275" w:rsidR="00485BAA"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 xml:space="preserve">3)20% of the initiated procedures for awarding a contract for establishing a public-private partnership, which have not been completed </w:t>
            </w:r>
          </w:p>
        </w:tc>
        <w:tc>
          <w:tcPr>
            <w:tcW w:w="1644" w:type="dxa"/>
            <w:gridSpan w:val="3"/>
            <w:shd w:val="clear" w:color="000000" w:fill="FFFF99"/>
            <w:vAlign w:val="center"/>
            <w:hideMark/>
          </w:tcPr>
          <w:p w14:paraId="15453A42" w14:textId="77777777" w:rsidR="00485BAA" w:rsidRPr="008C761D" w:rsidRDefault="00806CE6" w:rsidP="00806CE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688B36FB" w14:textId="37ECD158" w:rsidR="007A61CE"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1)Establishment of the UESPPP and start of implementation - The software solution for the establishment of the UESPP and the Register of awarded contracts for the establishment of a public-private partnership have been prepared</w:t>
            </w:r>
          </w:p>
          <w:p w14:paraId="0A7BE0BD" w14:textId="72801D31" w:rsidR="00485BAA" w:rsidRPr="008C761D" w:rsidRDefault="007A61CE" w:rsidP="007A61C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50% of the public-private partnership agreements, which progress of the implementation is regularly reported in the system within the deadlines provided by law</w:t>
            </w:r>
            <w:r w:rsidRPr="008C761D">
              <w:rPr>
                <w:rFonts w:ascii="Arial" w:eastAsia="Times New Roman" w:hAnsi="Arial" w:cs="Arial"/>
                <w:sz w:val="12"/>
                <w:szCs w:val="12"/>
                <w:lang w:val="en-US" w:eastAsia="mk-MK"/>
              </w:rPr>
              <w:br/>
            </w:r>
            <w:proofErr w:type="gramStart"/>
            <w:r w:rsidRPr="008C761D">
              <w:rPr>
                <w:rFonts w:ascii="Arial" w:eastAsia="Times New Roman" w:hAnsi="Arial" w:cs="Arial"/>
                <w:sz w:val="12"/>
                <w:szCs w:val="12"/>
                <w:lang w:val="en-US" w:eastAsia="mk-MK"/>
              </w:rPr>
              <w:t>3)Reduction</w:t>
            </w:r>
            <w:proofErr w:type="gramEnd"/>
            <w:r w:rsidRPr="008C761D">
              <w:rPr>
                <w:rFonts w:ascii="Arial" w:eastAsia="Times New Roman" w:hAnsi="Arial" w:cs="Arial"/>
                <w:sz w:val="12"/>
                <w:szCs w:val="12"/>
                <w:lang w:val="en-US" w:eastAsia="mk-MK"/>
              </w:rPr>
              <w:t xml:space="preserve"> by 10% of the initiated procedures for </w:t>
            </w:r>
            <w:r w:rsidRPr="008C761D">
              <w:rPr>
                <w:rFonts w:ascii="Arial" w:eastAsia="Times New Roman" w:hAnsi="Arial" w:cs="Arial"/>
                <w:sz w:val="12"/>
                <w:szCs w:val="12"/>
                <w:lang w:val="en-US" w:eastAsia="mk-MK"/>
              </w:rPr>
              <w:lastRenderedPageBreak/>
              <w:t>awarding a contract for establishing a public-private partnership, which are not completed, compared to the percentage of initiated but not completed procedures in the year as a basis for monitoring</w:t>
            </w:r>
          </w:p>
        </w:tc>
        <w:tc>
          <w:tcPr>
            <w:tcW w:w="1842" w:type="dxa"/>
            <w:gridSpan w:val="3"/>
            <w:shd w:val="clear" w:color="000000" w:fill="FFFF99"/>
            <w:vAlign w:val="center"/>
            <w:hideMark/>
          </w:tcPr>
          <w:p w14:paraId="29E32524" w14:textId="3B654970" w:rsidR="00E838F4" w:rsidRPr="008C761D" w:rsidRDefault="00E838F4" w:rsidP="00E838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lastRenderedPageBreak/>
              <w:t>2) 70% of the public-private partnership</w:t>
            </w:r>
            <w:r w:rsidR="00404D96">
              <w:rPr>
                <w:rFonts w:ascii="Arial" w:eastAsia="Times New Roman" w:hAnsi="Arial" w:cs="Arial"/>
                <w:sz w:val="12"/>
                <w:szCs w:val="12"/>
                <w:lang w:val="en-US" w:eastAsia="mk-MK"/>
              </w:rPr>
              <w:t xml:space="preserve"> agreements, which progress of </w:t>
            </w:r>
            <w:r w:rsidRPr="008C761D">
              <w:rPr>
                <w:rFonts w:ascii="Arial" w:eastAsia="Times New Roman" w:hAnsi="Arial" w:cs="Arial"/>
                <w:sz w:val="12"/>
                <w:szCs w:val="12"/>
                <w:lang w:val="en-US" w:eastAsia="mk-MK"/>
              </w:rPr>
              <w:t>implementation is regularly reported in the system within the deadlines provided by law</w:t>
            </w:r>
          </w:p>
          <w:p w14:paraId="13DA8497" w14:textId="0A14A5CE" w:rsidR="00485BAA" w:rsidRPr="008C761D" w:rsidRDefault="00E838F4" w:rsidP="00E838F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3) Reduction by 5% of the initiated procedures for awarding a contract for establishing a public-private partnership, which have not been completed, compared to the previous year</w:t>
            </w:r>
          </w:p>
        </w:tc>
        <w:tc>
          <w:tcPr>
            <w:tcW w:w="1506" w:type="dxa"/>
            <w:gridSpan w:val="3"/>
            <w:shd w:val="clear" w:color="000000" w:fill="FFFF99"/>
            <w:vAlign w:val="center"/>
            <w:hideMark/>
          </w:tcPr>
          <w:p w14:paraId="064855A7" w14:textId="6D2833DF" w:rsidR="00485BAA" w:rsidRPr="008C761D" w:rsidRDefault="00E838F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2) 100% of the public-private partnership agreements, of which </w:t>
            </w:r>
            <w:proofErr w:type="gramStart"/>
            <w:r w:rsidRPr="008C761D">
              <w:rPr>
                <w:rFonts w:ascii="Arial" w:eastAsia="Times New Roman" w:hAnsi="Arial" w:cs="Arial"/>
                <w:sz w:val="12"/>
                <w:szCs w:val="12"/>
                <w:lang w:val="en-US" w:eastAsia="mk-MK"/>
              </w:rPr>
              <w:t>progress  in</w:t>
            </w:r>
            <w:proofErr w:type="gramEnd"/>
            <w:r w:rsidRPr="008C761D">
              <w:rPr>
                <w:rFonts w:ascii="Arial" w:eastAsia="Times New Roman" w:hAnsi="Arial" w:cs="Arial"/>
                <w:sz w:val="12"/>
                <w:szCs w:val="12"/>
                <w:lang w:val="en-US" w:eastAsia="mk-MK"/>
              </w:rPr>
              <w:t xml:space="preserve"> the implementation is regularly reported in the system within the deadlines provided by law</w:t>
            </w:r>
            <w:r w:rsidRPr="008C761D">
              <w:rPr>
                <w:rFonts w:ascii="Arial" w:eastAsia="Times New Roman" w:hAnsi="Arial" w:cs="Arial"/>
                <w:sz w:val="12"/>
                <w:szCs w:val="12"/>
                <w:lang w:val="en-US" w:eastAsia="mk-MK"/>
              </w:rPr>
              <w:br/>
              <w:t>3) Reduction by 5% of the initiated procedures for awarding a contract for establishing a public-private partnership, which have not been completed, compared to the previous year</w:t>
            </w:r>
          </w:p>
        </w:tc>
      </w:tr>
      <w:tr w:rsidR="00485BAA" w:rsidRPr="008C761D" w14:paraId="656F5E55" w14:textId="77777777" w:rsidTr="003F623B">
        <w:trPr>
          <w:gridBefore w:val="1"/>
          <w:gridAfter w:val="1"/>
          <w:wBefore w:w="17" w:type="dxa"/>
          <w:wAfter w:w="180" w:type="dxa"/>
          <w:trHeight w:val="259"/>
          <w:jc w:val="center"/>
        </w:trPr>
        <w:tc>
          <w:tcPr>
            <w:tcW w:w="2368" w:type="dxa"/>
            <w:gridSpan w:val="6"/>
            <w:vMerge/>
            <w:tcBorders>
              <w:top w:val="nil"/>
              <w:left w:val="nil"/>
              <w:bottom w:val="nil"/>
              <w:right w:val="single" w:sz="8" w:space="0" w:color="000000"/>
            </w:tcBorders>
            <w:vAlign w:val="center"/>
            <w:hideMark/>
          </w:tcPr>
          <w:p w14:paraId="5102F6B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79BFC2E3" w14:textId="3FBE8D7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CA47AB2" w14:textId="3A5AEE1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5D03DECC" w14:textId="4D6CE0C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88713AB" w14:textId="64F7951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10A85F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BC28F3A" w14:textId="79D9E94D"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1FD81F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8766132" w14:textId="77777777" w:rsidTr="003F623B">
        <w:trPr>
          <w:gridBefore w:val="1"/>
          <w:gridAfter w:val="1"/>
          <w:wBefore w:w="17" w:type="dxa"/>
          <w:wAfter w:w="180" w:type="dxa"/>
          <w:trHeight w:val="1098"/>
          <w:jc w:val="center"/>
        </w:trPr>
        <w:tc>
          <w:tcPr>
            <w:tcW w:w="2368" w:type="dxa"/>
            <w:gridSpan w:val="6"/>
            <w:vMerge/>
            <w:tcBorders>
              <w:top w:val="nil"/>
              <w:left w:val="nil"/>
              <w:bottom w:val="nil"/>
              <w:right w:val="single" w:sz="8" w:space="0" w:color="000000"/>
            </w:tcBorders>
            <w:vAlign w:val="center"/>
            <w:hideMark/>
          </w:tcPr>
          <w:p w14:paraId="7C82C3E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FA2A41A" w14:textId="6E0B8C2C" w:rsidR="00485BAA" w:rsidRPr="008C761D" w:rsidRDefault="00E838F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Selection of an IT company for preparation of the Improving and upgrading the UESPPP and a Register of awarded contracts for the establishment of public-private partnership</w:t>
            </w:r>
          </w:p>
        </w:tc>
        <w:tc>
          <w:tcPr>
            <w:tcW w:w="1194" w:type="dxa"/>
            <w:gridSpan w:val="3"/>
            <w:shd w:val="clear" w:color="000000" w:fill="FFFF99"/>
            <w:vAlign w:val="center"/>
            <w:hideMark/>
          </w:tcPr>
          <w:p w14:paraId="5D7E46FF" w14:textId="77777777" w:rsidR="00485BAA" w:rsidRPr="008C761D" w:rsidRDefault="00607B2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4</w:t>
            </w:r>
          </w:p>
        </w:tc>
        <w:tc>
          <w:tcPr>
            <w:tcW w:w="1418" w:type="dxa"/>
            <w:gridSpan w:val="2"/>
            <w:shd w:val="clear" w:color="000000" w:fill="FFFF99"/>
            <w:vAlign w:val="center"/>
            <w:hideMark/>
          </w:tcPr>
          <w:p w14:paraId="50767E6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MoE</w:t>
            </w:r>
          </w:p>
        </w:tc>
        <w:tc>
          <w:tcPr>
            <w:tcW w:w="1644" w:type="dxa"/>
            <w:gridSpan w:val="3"/>
            <w:shd w:val="clear" w:color="000000" w:fill="FFFF99"/>
            <w:vAlign w:val="center"/>
            <w:hideMark/>
          </w:tcPr>
          <w:p w14:paraId="6CDC001E" w14:textId="34557A94"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EFD82C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w:t>
            </w:r>
          </w:p>
        </w:tc>
        <w:tc>
          <w:tcPr>
            <w:tcW w:w="1842" w:type="dxa"/>
            <w:gridSpan w:val="3"/>
            <w:shd w:val="clear" w:color="000000" w:fill="FFFF99"/>
            <w:vAlign w:val="center"/>
            <w:hideMark/>
          </w:tcPr>
          <w:p w14:paraId="6E8EB3C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w:t>
            </w:r>
          </w:p>
        </w:tc>
        <w:tc>
          <w:tcPr>
            <w:tcW w:w="1506" w:type="dxa"/>
            <w:gridSpan w:val="3"/>
            <w:shd w:val="clear" w:color="000000" w:fill="FFFF99"/>
            <w:vAlign w:val="center"/>
            <w:hideMark/>
          </w:tcPr>
          <w:p w14:paraId="7393CEED" w14:textId="64D27152"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50F265AE" w14:textId="77777777" w:rsidTr="003F623B">
        <w:trPr>
          <w:gridBefore w:val="1"/>
          <w:gridAfter w:val="1"/>
          <w:wBefore w:w="17" w:type="dxa"/>
          <w:wAfter w:w="180" w:type="dxa"/>
          <w:trHeight w:val="1299"/>
          <w:jc w:val="center"/>
        </w:trPr>
        <w:tc>
          <w:tcPr>
            <w:tcW w:w="2368" w:type="dxa"/>
            <w:gridSpan w:val="6"/>
            <w:vMerge/>
            <w:tcBorders>
              <w:top w:val="nil"/>
              <w:left w:val="nil"/>
              <w:bottom w:val="nil"/>
              <w:right w:val="single" w:sz="8" w:space="0" w:color="000000"/>
            </w:tcBorders>
            <w:vAlign w:val="center"/>
            <w:hideMark/>
          </w:tcPr>
          <w:p w14:paraId="407B81D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D303A24" w14:textId="64463D02" w:rsidR="00485BAA" w:rsidRPr="008C761D" w:rsidRDefault="00E838F4" w:rsidP="00EC5032">
            <w:pPr>
              <w:spacing w:after="0" w:line="240" w:lineRule="auto"/>
              <w:rPr>
                <w:rFonts w:ascii="Arial" w:eastAsia="Times New Roman" w:hAnsi="Arial" w:cs="Arial"/>
                <w:color w:val="FF0000"/>
                <w:sz w:val="12"/>
                <w:szCs w:val="12"/>
                <w:lang w:val="en-US" w:eastAsia="mk-MK"/>
              </w:rPr>
            </w:pPr>
            <w:r w:rsidRPr="008C761D">
              <w:rPr>
                <w:rFonts w:ascii="Arial" w:eastAsia="Times New Roman" w:hAnsi="Arial" w:cs="Arial"/>
                <w:sz w:val="12"/>
                <w:szCs w:val="12"/>
                <w:lang w:val="en-US" w:eastAsia="mk-MK"/>
              </w:rPr>
              <w:t>2. Preparation and implementation of the software solution for the establishment of public-private partnership and a Register of awarded contracts the establishment of public-private partnership</w:t>
            </w:r>
          </w:p>
        </w:tc>
        <w:tc>
          <w:tcPr>
            <w:tcW w:w="1194" w:type="dxa"/>
            <w:gridSpan w:val="3"/>
            <w:shd w:val="clear" w:color="000000" w:fill="FFFF99"/>
            <w:vAlign w:val="center"/>
            <w:hideMark/>
          </w:tcPr>
          <w:p w14:paraId="1E3363A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3482B8B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MoE</w:t>
            </w:r>
          </w:p>
        </w:tc>
        <w:tc>
          <w:tcPr>
            <w:tcW w:w="1644" w:type="dxa"/>
            <w:gridSpan w:val="3"/>
            <w:shd w:val="clear" w:color="000000" w:fill="FFFF99"/>
            <w:noWrap/>
            <w:vAlign w:val="center"/>
            <w:hideMark/>
          </w:tcPr>
          <w:p w14:paraId="15F4FD0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PPB</w:t>
            </w:r>
            <w:r w:rsidR="00EF2AC4" w:rsidRPr="008C761D">
              <w:rPr>
                <w:rFonts w:ascii="Arial" w:eastAsia="Times New Roman" w:hAnsi="Arial" w:cs="Arial"/>
                <w:sz w:val="12"/>
                <w:szCs w:val="12"/>
                <w:lang w:val="en-US" w:eastAsia="mk-MK"/>
              </w:rPr>
              <w:t>, MoF</w:t>
            </w:r>
          </w:p>
        </w:tc>
        <w:tc>
          <w:tcPr>
            <w:tcW w:w="1758" w:type="dxa"/>
            <w:gridSpan w:val="2"/>
            <w:shd w:val="clear" w:color="000000" w:fill="FFFF99"/>
            <w:noWrap/>
            <w:vAlign w:val="center"/>
            <w:hideMark/>
          </w:tcPr>
          <w:p w14:paraId="729CBAE1" w14:textId="0C0080E7" w:rsidR="00485BAA" w:rsidRPr="008C761D" w:rsidRDefault="00E91F45" w:rsidP="00E91F4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 xml:space="preserve">      1,000,000 </w:t>
            </w:r>
          </w:p>
        </w:tc>
        <w:tc>
          <w:tcPr>
            <w:tcW w:w="1842" w:type="dxa"/>
            <w:gridSpan w:val="3"/>
            <w:shd w:val="clear" w:color="000000" w:fill="FFFF99"/>
            <w:vAlign w:val="center"/>
            <w:hideMark/>
          </w:tcPr>
          <w:p w14:paraId="01BA3DCE" w14:textId="759F576E"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Financing</w:t>
            </w:r>
            <w:r w:rsidR="00E838F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gap</w:t>
            </w:r>
          </w:p>
        </w:tc>
        <w:tc>
          <w:tcPr>
            <w:tcW w:w="1506" w:type="dxa"/>
            <w:gridSpan w:val="3"/>
            <w:shd w:val="clear" w:color="000000" w:fill="FFFF99"/>
            <w:vAlign w:val="center"/>
            <w:hideMark/>
          </w:tcPr>
          <w:p w14:paraId="60E1C93F" w14:textId="2E82D9CA"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20C1222D" w14:textId="77777777" w:rsidTr="003F623B">
        <w:trPr>
          <w:gridBefore w:val="1"/>
          <w:gridAfter w:val="1"/>
          <w:wBefore w:w="17" w:type="dxa"/>
          <w:wAfter w:w="180" w:type="dxa"/>
          <w:trHeight w:val="225"/>
          <w:jc w:val="center"/>
        </w:trPr>
        <w:tc>
          <w:tcPr>
            <w:tcW w:w="13501" w:type="dxa"/>
            <w:gridSpan w:val="25"/>
            <w:shd w:val="clear" w:color="000000" w:fill="9BD2ED"/>
            <w:vAlign w:val="center"/>
            <w:hideMark/>
          </w:tcPr>
          <w:p w14:paraId="7E33B559" w14:textId="4927FE09"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Completion of</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legal</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regulatory</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framework</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field</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public-private</w:t>
            </w:r>
            <w:r w:rsidR="00E838F4" w:rsidRPr="008C761D">
              <w:rPr>
                <w:rFonts w:ascii="Arial" w:eastAsia="Times New Roman" w:hAnsi="Arial" w:cs="Arial"/>
                <w:b/>
                <w:bCs/>
                <w:sz w:val="12"/>
                <w:szCs w:val="12"/>
                <w:lang w:val="en-US" w:eastAsia="mk-MK"/>
              </w:rPr>
              <w:t xml:space="preserve"> </w:t>
            </w:r>
            <w:r w:rsidR="00404D96" w:rsidRPr="008C761D">
              <w:rPr>
                <w:rFonts w:ascii="Arial" w:eastAsia="Times New Roman" w:hAnsi="Arial" w:cs="Arial"/>
                <w:b/>
                <w:bCs/>
                <w:sz w:val="12"/>
                <w:szCs w:val="12"/>
                <w:lang w:val="en-US" w:eastAsia="mk-MK"/>
              </w:rPr>
              <w:t>partnership</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and</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Concession</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on</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goods</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of</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general</w:t>
            </w:r>
            <w:r w:rsidR="00E838F4" w:rsidRPr="008C761D">
              <w:rPr>
                <w:rFonts w:ascii="Arial" w:eastAsia="Times New Roman" w:hAnsi="Arial" w:cs="Arial"/>
                <w:b/>
                <w:bCs/>
                <w:sz w:val="12"/>
                <w:szCs w:val="12"/>
                <w:lang w:val="en-US" w:eastAsia="mk-MK"/>
              </w:rPr>
              <w:t xml:space="preserve"> </w:t>
            </w:r>
            <w:r w:rsidR="00FD1F37" w:rsidRPr="008C761D">
              <w:rPr>
                <w:rFonts w:ascii="Arial" w:eastAsia="Times New Roman" w:hAnsi="Arial" w:cs="Arial"/>
                <w:b/>
                <w:bCs/>
                <w:sz w:val="12"/>
                <w:szCs w:val="12"/>
                <w:lang w:val="en-US" w:eastAsia="mk-MK"/>
              </w:rPr>
              <w:t>interest</w:t>
            </w:r>
          </w:p>
        </w:tc>
      </w:tr>
      <w:tr w:rsidR="00485BAA" w:rsidRPr="008C761D" w14:paraId="5A742C0C" w14:textId="77777777" w:rsidTr="003F623B">
        <w:trPr>
          <w:gridBefore w:val="1"/>
          <w:gridAfter w:val="1"/>
          <w:wBefore w:w="17" w:type="dxa"/>
          <w:wAfter w:w="180" w:type="dxa"/>
          <w:trHeight w:val="129"/>
          <w:jc w:val="center"/>
        </w:trPr>
        <w:tc>
          <w:tcPr>
            <w:tcW w:w="2368" w:type="dxa"/>
            <w:gridSpan w:val="6"/>
            <w:vMerge w:val="restart"/>
            <w:tcBorders>
              <w:top w:val="nil"/>
              <w:left w:val="nil"/>
              <w:bottom w:val="nil"/>
              <w:right w:val="single" w:sz="8" w:space="0" w:color="000000"/>
            </w:tcBorders>
            <w:shd w:val="clear" w:color="000000" w:fill="FFFFFF"/>
            <w:vAlign w:val="center"/>
            <w:hideMark/>
          </w:tcPr>
          <w:p w14:paraId="2C48E22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0318C8CA" w14:textId="1C10A28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E838F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8DB9FF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4C946B2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AC339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4DF65E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3955F5C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1C20A64" w14:textId="77777777" w:rsidR="00485BAA" w:rsidRPr="008C761D" w:rsidRDefault="00485BAA" w:rsidP="00AC339B">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C155BE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7</w:t>
            </w:r>
          </w:p>
        </w:tc>
      </w:tr>
      <w:tr w:rsidR="00485BAA" w:rsidRPr="008C761D" w14:paraId="6A958731" w14:textId="77777777" w:rsidTr="003F623B">
        <w:trPr>
          <w:gridBefore w:val="1"/>
          <w:gridAfter w:val="1"/>
          <w:wBefore w:w="17" w:type="dxa"/>
          <w:wAfter w:w="180" w:type="dxa"/>
          <w:trHeight w:val="2500"/>
          <w:jc w:val="center"/>
        </w:trPr>
        <w:tc>
          <w:tcPr>
            <w:tcW w:w="2368" w:type="dxa"/>
            <w:gridSpan w:val="6"/>
            <w:vMerge/>
            <w:tcBorders>
              <w:top w:val="nil"/>
              <w:left w:val="nil"/>
              <w:bottom w:val="nil"/>
              <w:right w:val="single" w:sz="8" w:space="0" w:color="000000"/>
            </w:tcBorders>
            <w:vAlign w:val="center"/>
            <w:hideMark/>
          </w:tcPr>
          <w:p w14:paraId="35CAB4E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6AADD7F" w14:textId="77777777" w:rsidR="006030B4" w:rsidRPr="008C761D" w:rsidRDefault="006030B4" w:rsidP="006030B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Adoption of the bylaws that will arise from the Law on public private partnership by the Minister of economy.</w:t>
            </w:r>
          </w:p>
          <w:p w14:paraId="5F7DF695" w14:textId="44004CD8" w:rsidR="00485BAA" w:rsidRPr="008C761D" w:rsidRDefault="006030B4" w:rsidP="006030B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Adoption of the bylaws that will arise from the Law on concession on goods of general interest by the Minister of finance.</w:t>
            </w:r>
          </w:p>
        </w:tc>
        <w:tc>
          <w:tcPr>
            <w:tcW w:w="1194" w:type="dxa"/>
            <w:gridSpan w:val="3"/>
            <w:shd w:val="clear" w:color="000000" w:fill="FFFF99"/>
            <w:vAlign w:val="center"/>
            <w:hideMark/>
          </w:tcPr>
          <w:p w14:paraId="7E69914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MoE</w:t>
            </w:r>
          </w:p>
        </w:tc>
        <w:tc>
          <w:tcPr>
            <w:tcW w:w="1418" w:type="dxa"/>
            <w:gridSpan w:val="2"/>
            <w:shd w:val="clear" w:color="000000" w:fill="FFFF99"/>
            <w:vAlign w:val="center"/>
            <w:hideMark/>
          </w:tcPr>
          <w:p w14:paraId="32F79196" w14:textId="00425B83" w:rsidR="00485BAA" w:rsidRPr="008C761D" w:rsidRDefault="00485BAA" w:rsidP="00EF2AC4">
            <w:pPr>
              <w:spacing w:after="0" w:line="240" w:lineRule="auto"/>
              <w:rPr>
                <w:rFonts w:ascii="Arial" w:eastAsia="Times New Roman" w:hAnsi="Arial" w:cs="Arial"/>
                <w:sz w:val="12"/>
                <w:szCs w:val="12"/>
                <w:lang w:val="en-US" w:eastAsia="mk-MK"/>
              </w:rPr>
            </w:pPr>
          </w:p>
        </w:tc>
        <w:tc>
          <w:tcPr>
            <w:tcW w:w="1644" w:type="dxa"/>
            <w:gridSpan w:val="3"/>
            <w:shd w:val="clear" w:color="000000" w:fill="FFFF99"/>
            <w:vAlign w:val="center"/>
            <w:hideMark/>
          </w:tcPr>
          <w:p w14:paraId="2B2BD5B6" w14:textId="0638212E" w:rsidR="00EF2AC4" w:rsidRPr="008C761D" w:rsidRDefault="0098508C"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p>
        </w:tc>
        <w:tc>
          <w:tcPr>
            <w:tcW w:w="1758" w:type="dxa"/>
            <w:gridSpan w:val="2"/>
            <w:shd w:val="clear" w:color="000000" w:fill="FFFF99"/>
            <w:vAlign w:val="center"/>
            <w:hideMark/>
          </w:tcPr>
          <w:p w14:paraId="758D839F" w14:textId="77777777" w:rsidR="006030B4" w:rsidRPr="008C761D" w:rsidRDefault="006030B4" w:rsidP="006030B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Publication of 13 bylaws in the Official Gazette of RNM which prescribe in more detail the rules for: Register of awarded contracts for establishing public-private partnership, UESPPP, criteria for preparation of PPP projects, Feasibility study, PPP agreements, planning reporting e.t.c</w:t>
            </w:r>
          </w:p>
          <w:p w14:paraId="1A158829" w14:textId="50FF6CB0" w:rsidR="00485BAA" w:rsidRPr="008C761D" w:rsidRDefault="006030B4" w:rsidP="006030B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Publication of 2 bylaws in the Official Gazette of RNM which will arise of the Law on Concession on goods of general interest</w:t>
            </w:r>
          </w:p>
        </w:tc>
        <w:tc>
          <w:tcPr>
            <w:tcW w:w="1842" w:type="dxa"/>
            <w:gridSpan w:val="3"/>
            <w:shd w:val="clear" w:color="000000" w:fill="FFFF99"/>
            <w:vAlign w:val="center"/>
            <w:hideMark/>
          </w:tcPr>
          <w:p w14:paraId="471555CD" w14:textId="5CB8530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Implementation</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bylaws</w:t>
            </w:r>
          </w:p>
        </w:tc>
        <w:tc>
          <w:tcPr>
            <w:tcW w:w="1506" w:type="dxa"/>
            <w:gridSpan w:val="3"/>
            <w:shd w:val="clear" w:color="000000" w:fill="FFFF99"/>
            <w:vAlign w:val="center"/>
            <w:hideMark/>
          </w:tcPr>
          <w:p w14:paraId="18896933" w14:textId="28429424"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Implementation</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bylaws</w:t>
            </w:r>
          </w:p>
        </w:tc>
      </w:tr>
      <w:tr w:rsidR="00485BAA" w:rsidRPr="008C761D" w14:paraId="4F2B00B6" w14:textId="77777777" w:rsidTr="003F623B">
        <w:trPr>
          <w:gridBefore w:val="1"/>
          <w:gridAfter w:val="1"/>
          <w:wBefore w:w="17" w:type="dxa"/>
          <w:wAfter w:w="180" w:type="dxa"/>
          <w:trHeight w:val="264"/>
          <w:jc w:val="center"/>
        </w:trPr>
        <w:tc>
          <w:tcPr>
            <w:tcW w:w="2368" w:type="dxa"/>
            <w:gridSpan w:val="6"/>
            <w:vMerge/>
            <w:tcBorders>
              <w:top w:val="nil"/>
              <w:left w:val="nil"/>
              <w:bottom w:val="nil"/>
              <w:right w:val="single" w:sz="8" w:space="0" w:color="000000"/>
            </w:tcBorders>
            <w:vAlign w:val="center"/>
            <w:hideMark/>
          </w:tcPr>
          <w:p w14:paraId="05704F7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40A4B0CA" w14:textId="1E497A1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091F1033" w14:textId="1D39E4F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07BD2DB4" w14:textId="5110F6C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F8EF634" w14:textId="12D7E22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A88225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39A9B1B" w14:textId="536CB9F4"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D3D2E6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DCF4491" w14:textId="77777777" w:rsidTr="003F623B">
        <w:trPr>
          <w:gridBefore w:val="1"/>
          <w:gridAfter w:val="1"/>
          <w:wBefore w:w="17" w:type="dxa"/>
          <w:wAfter w:w="180" w:type="dxa"/>
          <w:trHeight w:val="406"/>
          <w:jc w:val="center"/>
        </w:trPr>
        <w:tc>
          <w:tcPr>
            <w:tcW w:w="2368" w:type="dxa"/>
            <w:gridSpan w:val="6"/>
            <w:vMerge/>
            <w:tcBorders>
              <w:top w:val="nil"/>
              <w:left w:val="nil"/>
              <w:bottom w:val="nil"/>
              <w:right w:val="single" w:sz="8" w:space="0" w:color="000000"/>
            </w:tcBorders>
            <w:vAlign w:val="center"/>
            <w:hideMark/>
          </w:tcPr>
          <w:p w14:paraId="3FC71C4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494F203" w14:textId="03207861"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roofErr w:type="gramStart"/>
            <w:r w:rsidR="006A55CA" w:rsidRPr="008C761D">
              <w:rPr>
                <w:rFonts w:ascii="Arial" w:eastAsia="Times New Roman" w:hAnsi="Arial" w:cs="Arial"/>
                <w:sz w:val="12"/>
                <w:szCs w:val="12"/>
                <w:lang w:val="en-US" w:eastAsia="mk-MK"/>
              </w:rPr>
              <w:t>Preparation  and</w:t>
            </w:r>
            <w:proofErr w:type="gramEnd"/>
            <w:r w:rsidR="006A55CA" w:rsidRPr="008C761D">
              <w:rPr>
                <w:rFonts w:ascii="Arial" w:eastAsia="Times New Roman" w:hAnsi="Arial" w:cs="Arial"/>
                <w:sz w:val="12"/>
                <w:szCs w:val="12"/>
                <w:lang w:val="en-US" w:eastAsia="mk-MK"/>
              </w:rPr>
              <w:t xml:space="preserve"> adoption of 13 bylaws that will arise from the Law on Public Private Partnership and preparation of the </w:t>
            </w:r>
            <w:r w:rsidR="00404D96" w:rsidRPr="008C761D">
              <w:rPr>
                <w:rFonts w:ascii="Arial" w:eastAsia="Times New Roman" w:hAnsi="Arial" w:cs="Arial"/>
                <w:sz w:val="12"/>
                <w:szCs w:val="12"/>
                <w:lang w:val="en-US" w:eastAsia="mk-MK"/>
              </w:rPr>
              <w:t>Guideline</w:t>
            </w:r>
            <w:r w:rsidR="006A55CA" w:rsidRPr="008C761D">
              <w:rPr>
                <w:rFonts w:ascii="Arial" w:eastAsia="Times New Roman" w:hAnsi="Arial" w:cs="Arial"/>
                <w:sz w:val="12"/>
                <w:szCs w:val="12"/>
                <w:lang w:val="en-US" w:eastAsia="mk-MK"/>
              </w:rPr>
              <w:t xml:space="preserve"> with </w:t>
            </w:r>
            <w:r w:rsidR="00404D96" w:rsidRPr="008C761D">
              <w:rPr>
                <w:rFonts w:ascii="Arial" w:eastAsia="Times New Roman" w:hAnsi="Arial" w:cs="Arial"/>
                <w:sz w:val="12"/>
                <w:szCs w:val="12"/>
                <w:lang w:val="en-US" w:eastAsia="mk-MK"/>
              </w:rPr>
              <w:t>examples</w:t>
            </w:r>
            <w:r w:rsidR="006A55CA" w:rsidRPr="008C761D">
              <w:rPr>
                <w:rFonts w:ascii="Arial" w:eastAsia="Times New Roman" w:hAnsi="Arial" w:cs="Arial"/>
                <w:sz w:val="12"/>
                <w:szCs w:val="12"/>
                <w:lang w:val="en-US" w:eastAsia="mk-MK"/>
              </w:rPr>
              <w:t xml:space="preserve"> of PPP </w:t>
            </w:r>
            <w:r w:rsidR="00404D96" w:rsidRPr="008C761D">
              <w:rPr>
                <w:rFonts w:ascii="Arial" w:eastAsia="Times New Roman" w:hAnsi="Arial" w:cs="Arial"/>
                <w:sz w:val="12"/>
                <w:szCs w:val="12"/>
                <w:lang w:val="en-US" w:eastAsia="mk-MK"/>
              </w:rPr>
              <w:t>projects</w:t>
            </w:r>
          </w:p>
        </w:tc>
        <w:tc>
          <w:tcPr>
            <w:tcW w:w="1194" w:type="dxa"/>
            <w:gridSpan w:val="3"/>
            <w:shd w:val="clear" w:color="000000" w:fill="FFFF99"/>
            <w:vAlign w:val="center"/>
            <w:hideMark/>
          </w:tcPr>
          <w:p w14:paraId="7115409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4</w:t>
            </w:r>
            <w:r w:rsidR="0098508C" w:rsidRPr="008C761D">
              <w:rPr>
                <w:rFonts w:ascii="Arial" w:eastAsia="Times New Roman" w:hAnsi="Arial" w:cs="Arial"/>
                <w:sz w:val="12"/>
                <w:szCs w:val="12"/>
                <w:lang w:val="en-US" w:eastAsia="mk-MK"/>
              </w:rPr>
              <w:t>-2025</w:t>
            </w:r>
          </w:p>
        </w:tc>
        <w:tc>
          <w:tcPr>
            <w:tcW w:w="1418" w:type="dxa"/>
            <w:gridSpan w:val="2"/>
            <w:shd w:val="clear" w:color="000000" w:fill="FFFF99"/>
            <w:vAlign w:val="center"/>
            <w:hideMark/>
          </w:tcPr>
          <w:p w14:paraId="575BE97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MoE</w:t>
            </w:r>
          </w:p>
        </w:tc>
        <w:tc>
          <w:tcPr>
            <w:tcW w:w="1644" w:type="dxa"/>
            <w:gridSpan w:val="3"/>
            <w:shd w:val="clear" w:color="000000" w:fill="FFFF99"/>
            <w:vAlign w:val="center"/>
            <w:hideMark/>
          </w:tcPr>
          <w:p w14:paraId="7C17BFB5" w14:textId="2AE6BEA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Working</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group</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preparation</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bylaws</w:t>
            </w:r>
          </w:p>
        </w:tc>
        <w:tc>
          <w:tcPr>
            <w:tcW w:w="1758" w:type="dxa"/>
            <w:gridSpan w:val="2"/>
            <w:shd w:val="clear" w:color="000000" w:fill="FFFF99"/>
            <w:vAlign w:val="center"/>
            <w:hideMark/>
          </w:tcPr>
          <w:p w14:paraId="36228847" w14:textId="2B0A377E" w:rsidR="00485BAA" w:rsidRPr="008C761D" w:rsidRDefault="0098508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EUR 22,000</w:t>
            </w:r>
          </w:p>
        </w:tc>
        <w:tc>
          <w:tcPr>
            <w:tcW w:w="1842" w:type="dxa"/>
            <w:gridSpan w:val="3"/>
            <w:shd w:val="clear" w:color="000000" w:fill="FFFF99"/>
            <w:vAlign w:val="center"/>
            <w:hideMark/>
          </w:tcPr>
          <w:p w14:paraId="65D2D9A4" w14:textId="44FE531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506" w:type="dxa"/>
            <w:gridSpan w:val="3"/>
            <w:shd w:val="clear" w:color="000000" w:fill="FFFF99"/>
            <w:vAlign w:val="center"/>
            <w:hideMark/>
          </w:tcPr>
          <w:p w14:paraId="64F45E37" w14:textId="35DB060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65BD3E92" w14:textId="77777777" w:rsidTr="003F623B">
        <w:trPr>
          <w:gridBefore w:val="1"/>
          <w:gridAfter w:val="1"/>
          <w:wBefore w:w="17" w:type="dxa"/>
          <w:wAfter w:w="180" w:type="dxa"/>
          <w:trHeight w:val="398"/>
          <w:jc w:val="center"/>
        </w:trPr>
        <w:tc>
          <w:tcPr>
            <w:tcW w:w="2368" w:type="dxa"/>
            <w:gridSpan w:val="6"/>
            <w:vMerge/>
            <w:tcBorders>
              <w:top w:val="nil"/>
              <w:left w:val="nil"/>
              <w:bottom w:val="nil"/>
              <w:right w:val="single" w:sz="8" w:space="0" w:color="000000"/>
            </w:tcBorders>
            <w:vAlign w:val="center"/>
            <w:hideMark/>
          </w:tcPr>
          <w:p w14:paraId="6386275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C9F5AEB" w14:textId="0589EAB3"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6A55CA" w:rsidRPr="008C761D">
              <w:rPr>
                <w:rFonts w:ascii="Arial" w:eastAsia="Times New Roman" w:hAnsi="Arial" w:cs="Arial"/>
                <w:sz w:val="12"/>
                <w:szCs w:val="12"/>
                <w:lang w:val="en-US" w:eastAsia="mk-MK"/>
              </w:rPr>
              <w:t xml:space="preserve">.  </w:t>
            </w:r>
            <w:proofErr w:type="gramStart"/>
            <w:r w:rsidR="006A55CA" w:rsidRPr="008C761D">
              <w:rPr>
                <w:rFonts w:ascii="Arial" w:eastAsia="Times New Roman" w:hAnsi="Arial" w:cs="Arial"/>
                <w:sz w:val="12"/>
                <w:szCs w:val="12"/>
                <w:lang w:val="en-US" w:eastAsia="mk-MK"/>
              </w:rPr>
              <w:t>Preparation  and</w:t>
            </w:r>
            <w:proofErr w:type="gramEnd"/>
            <w:r w:rsidR="006A55CA" w:rsidRPr="008C761D">
              <w:rPr>
                <w:rFonts w:ascii="Arial" w:eastAsia="Times New Roman" w:hAnsi="Arial" w:cs="Arial"/>
                <w:sz w:val="12"/>
                <w:szCs w:val="12"/>
                <w:lang w:val="en-US" w:eastAsia="mk-MK"/>
              </w:rPr>
              <w:t xml:space="preserve"> adoption of the bylaws that will arise from the f the Law on Concession on goods of general interest</w:t>
            </w:r>
          </w:p>
        </w:tc>
        <w:tc>
          <w:tcPr>
            <w:tcW w:w="1194" w:type="dxa"/>
            <w:gridSpan w:val="3"/>
            <w:shd w:val="clear" w:color="000000" w:fill="FFFF99"/>
            <w:vAlign w:val="center"/>
            <w:hideMark/>
          </w:tcPr>
          <w:p w14:paraId="786FB2F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AC339B"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7030FC5A" w14:textId="561F5D89" w:rsidR="00485BAA" w:rsidRPr="008C761D" w:rsidRDefault="0098508C" w:rsidP="0028413D">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644" w:type="dxa"/>
            <w:gridSpan w:val="3"/>
            <w:shd w:val="clear" w:color="000000" w:fill="FFFF99"/>
            <w:noWrap/>
            <w:vAlign w:val="center"/>
            <w:hideMark/>
          </w:tcPr>
          <w:p w14:paraId="224DEE1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28413D" w:rsidRPr="008C761D">
              <w:rPr>
                <w:rFonts w:ascii="Arial" w:eastAsia="Times New Roman" w:hAnsi="Arial" w:cs="Arial"/>
                <w:sz w:val="12"/>
                <w:szCs w:val="12"/>
                <w:lang w:val="en-US" w:eastAsia="mk-MK"/>
              </w:rPr>
              <w:t>MoE </w:t>
            </w:r>
          </w:p>
        </w:tc>
        <w:tc>
          <w:tcPr>
            <w:tcW w:w="1758" w:type="dxa"/>
            <w:gridSpan w:val="2"/>
            <w:shd w:val="clear" w:color="000000" w:fill="FFFF99"/>
            <w:noWrap/>
            <w:vAlign w:val="center"/>
            <w:hideMark/>
          </w:tcPr>
          <w:p w14:paraId="22B31F9A" w14:textId="0C543FF7" w:rsidR="00485BAA" w:rsidRPr="008C761D" w:rsidRDefault="0098508C"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p>
        </w:tc>
        <w:tc>
          <w:tcPr>
            <w:tcW w:w="1842" w:type="dxa"/>
            <w:gridSpan w:val="3"/>
            <w:shd w:val="clear" w:color="000000" w:fill="FFFF99"/>
            <w:vAlign w:val="center"/>
            <w:hideMark/>
          </w:tcPr>
          <w:p w14:paraId="4CD02279" w14:textId="6BC768A8"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r w:rsidR="00485BAA" w:rsidRPr="008C761D">
              <w:rPr>
                <w:rFonts w:ascii="Arial" w:eastAsia="Times New Roman" w:hAnsi="Arial" w:cs="Arial"/>
                <w:sz w:val="12"/>
                <w:szCs w:val="12"/>
                <w:lang w:val="en-US" w:eastAsia="mk-MK"/>
              </w:rPr>
              <w:t> </w:t>
            </w:r>
          </w:p>
        </w:tc>
        <w:tc>
          <w:tcPr>
            <w:tcW w:w="1506" w:type="dxa"/>
            <w:gridSpan w:val="3"/>
            <w:shd w:val="clear" w:color="000000" w:fill="FFFF99"/>
            <w:vAlign w:val="center"/>
            <w:hideMark/>
          </w:tcPr>
          <w:p w14:paraId="67C75964" w14:textId="186355B0"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7D8C5250" w14:textId="77777777" w:rsidTr="003F623B">
        <w:trPr>
          <w:gridBefore w:val="1"/>
          <w:gridAfter w:val="1"/>
          <w:wBefore w:w="17" w:type="dxa"/>
          <w:wAfter w:w="180" w:type="dxa"/>
          <w:trHeight w:val="264"/>
          <w:jc w:val="center"/>
        </w:trPr>
        <w:tc>
          <w:tcPr>
            <w:tcW w:w="13501" w:type="dxa"/>
            <w:gridSpan w:val="25"/>
            <w:shd w:val="clear" w:color="000000" w:fill="9BD2ED"/>
            <w:vAlign w:val="center"/>
            <w:hideMark/>
          </w:tcPr>
          <w:p w14:paraId="281660CD" w14:textId="45B4EBE4"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577A56">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Strengthening and</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developing</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capacities</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Ministry</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Economy</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field</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public-private</w:t>
            </w:r>
            <w:r w:rsidR="00404D96">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partnership</w:t>
            </w:r>
          </w:p>
        </w:tc>
      </w:tr>
      <w:tr w:rsidR="00485BAA" w:rsidRPr="008C761D" w14:paraId="48A6D520" w14:textId="77777777" w:rsidTr="003F623B">
        <w:trPr>
          <w:gridBefore w:val="1"/>
          <w:gridAfter w:val="1"/>
          <w:wBefore w:w="17" w:type="dxa"/>
          <w:wAfter w:w="180" w:type="dxa"/>
          <w:trHeight w:val="212"/>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0B3ECFF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03BCBE74" w14:textId="0956F9B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7AE31073" w14:textId="68B58C0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73FB015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AC339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F6F404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A02676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9465C8B" w14:textId="77777777" w:rsidR="00485BAA" w:rsidRPr="008C761D" w:rsidRDefault="00485BAA" w:rsidP="00AC339B">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B59372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C339B" w:rsidRPr="008C761D">
              <w:rPr>
                <w:rFonts w:ascii="Arial" w:eastAsia="Times New Roman" w:hAnsi="Arial" w:cs="Arial"/>
                <w:b/>
                <w:bCs/>
                <w:sz w:val="12"/>
                <w:szCs w:val="12"/>
                <w:lang w:val="en-US" w:eastAsia="mk-MK"/>
              </w:rPr>
              <w:t>7</w:t>
            </w:r>
          </w:p>
        </w:tc>
      </w:tr>
      <w:tr w:rsidR="00485BAA" w:rsidRPr="008C761D" w14:paraId="3977957A" w14:textId="77777777" w:rsidTr="003F623B">
        <w:trPr>
          <w:gridBefore w:val="1"/>
          <w:gridAfter w:val="1"/>
          <w:wBefore w:w="17" w:type="dxa"/>
          <w:wAfter w:w="180" w:type="dxa"/>
          <w:trHeight w:val="1715"/>
          <w:jc w:val="center"/>
        </w:trPr>
        <w:tc>
          <w:tcPr>
            <w:tcW w:w="2368" w:type="dxa"/>
            <w:gridSpan w:val="6"/>
            <w:vMerge/>
            <w:tcBorders>
              <w:top w:val="nil"/>
              <w:left w:val="nil"/>
              <w:bottom w:val="nil"/>
              <w:right w:val="single" w:sz="8" w:space="0" w:color="000000"/>
            </w:tcBorders>
            <w:vAlign w:val="center"/>
            <w:hideMark/>
          </w:tcPr>
          <w:p w14:paraId="434AF84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248D59" w14:textId="52D1A2A5"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Increasing the capacity and efficiency of the Public Private Partnership and Concessions Unit </w:t>
            </w:r>
            <w:r w:rsidR="00485BAA" w:rsidRPr="008C761D">
              <w:rPr>
                <w:rFonts w:ascii="Arial" w:eastAsia="Times New Roman" w:hAnsi="Arial" w:cs="Arial"/>
                <w:sz w:val="12"/>
                <w:szCs w:val="12"/>
                <w:lang w:val="en-US" w:eastAsia="mk-MK"/>
              </w:rPr>
              <w:t>t</w:t>
            </w:r>
          </w:p>
        </w:tc>
        <w:tc>
          <w:tcPr>
            <w:tcW w:w="1194" w:type="dxa"/>
            <w:gridSpan w:val="3"/>
            <w:shd w:val="clear" w:color="000000" w:fill="FFFF99"/>
            <w:vAlign w:val="center"/>
            <w:hideMark/>
          </w:tcPr>
          <w:p w14:paraId="4B4F4DF9" w14:textId="3B9670BD"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418" w:type="dxa"/>
            <w:gridSpan w:val="2"/>
            <w:shd w:val="clear" w:color="000000" w:fill="FFFF99"/>
            <w:vAlign w:val="center"/>
            <w:hideMark/>
          </w:tcPr>
          <w:p w14:paraId="3C6F1D9A" w14:textId="156FDE4D"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644" w:type="dxa"/>
            <w:gridSpan w:val="3"/>
            <w:shd w:val="clear" w:color="000000" w:fill="FFFF99"/>
            <w:vAlign w:val="center"/>
            <w:hideMark/>
          </w:tcPr>
          <w:p w14:paraId="0DCF761D" w14:textId="404FB18E"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Employment of 2 new civil servants - ratio of approved financial resources for employment from the Ministry of Finance versus the real employment needs in the Department for Public Private Partnership and </w:t>
            </w:r>
            <w:r w:rsidR="00404D96" w:rsidRPr="008C761D">
              <w:rPr>
                <w:rFonts w:ascii="Arial" w:eastAsia="Times New Roman" w:hAnsi="Arial" w:cs="Arial"/>
                <w:sz w:val="12"/>
                <w:szCs w:val="12"/>
                <w:lang w:val="en-US" w:eastAsia="mk-MK"/>
              </w:rPr>
              <w:t>Concessions and</w:t>
            </w:r>
            <w:r w:rsidRPr="008C761D">
              <w:rPr>
                <w:rFonts w:ascii="Arial" w:eastAsia="Times New Roman" w:hAnsi="Arial" w:cs="Arial"/>
                <w:sz w:val="12"/>
                <w:szCs w:val="12"/>
                <w:lang w:val="en-US" w:eastAsia="mk-MK"/>
              </w:rPr>
              <w:t xml:space="preserve"> their training in the area of public private partnership</w:t>
            </w:r>
          </w:p>
        </w:tc>
        <w:tc>
          <w:tcPr>
            <w:tcW w:w="1758" w:type="dxa"/>
            <w:gridSpan w:val="2"/>
            <w:shd w:val="clear" w:color="000000" w:fill="FFFF99"/>
            <w:vAlign w:val="center"/>
            <w:hideMark/>
          </w:tcPr>
          <w:p w14:paraId="6AF2EFDA" w14:textId="12C6E506" w:rsidR="00485BAA" w:rsidRPr="008C761D" w:rsidRDefault="006030B4" w:rsidP="00E27AE0">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Employment of 1 new civil servant - ratio of approved financial resources for employment from the Ministry of Finance versus the real employment needs in the Department for Public Private Partnership and </w:t>
            </w:r>
            <w:r w:rsidR="00404D96" w:rsidRPr="008C761D">
              <w:rPr>
                <w:rFonts w:ascii="Arial" w:eastAsia="Times New Roman" w:hAnsi="Arial" w:cs="Arial"/>
                <w:sz w:val="12"/>
                <w:szCs w:val="12"/>
                <w:lang w:val="en-US" w:eastAsia="mk-MK"/>
              </w:rPr>
              <w:t>Concessions and</w:t>
            </w:r>
            <w:r w:rsidRPr="008C761D">
              <w:rPr>
                <w:rFonts w:ascii="Arial" w:eastAsia="Times New Roman" w:hAnsi="Arial" w:cs="Arial"/>
                <w:sz w:val="12"/>
                <w:szCs w:val="12"/>
                <w:lang w:val="en-US" w:eastAsia="mk-MK"/>
              </w:rPr>
              <w:t xml:space="preserve"> their training in the area of public private partnership</w:t>
            </w:r>
          </w:p>
        </w:tc>
        <w:tc>
          <w:tcPr>
            <w:tcW w:w="1842" w:type="dxa"/>
            <w:gridSpan w:val="3"/>
            <w:shd w:val="clear" w:color="000000" w:fill="FFFF99"/>
            <w:vAlign w:val="center"/>
            <w:hideMark/>
          </w:tcPr>
          <w:p w14:paraId="04E87CAE" w14:textId="7A704CFE" w:rsidR="00485BAA" w:rsidRPr="008C761D" w:rsidRDefault="006030B4" w:rsidP="00E27AE0">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Development and improvement of the capacities of the employees in the Department for Public Private Partnership and Concessions</w:t>
            </w:r>
          </w:p>
        </w:tc>
        <w:tc>
          <w:tcPr>
            <w:tcW w:w="1506" w:type="dxa"/>
            <w:gridSpan w:val="3"/>
            <w:shd w:val="clear" w:color="000000" w:fill="FFFF99"/>
            <w:vAlign w:val="center"/>
            <w:hideMark/>
          </w:tcPr>
          <w:p w14:paraId="6603C3B3" w14:textId="0FF3BE86"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Development and improvement of the capacities of the employees in the Department for Public Private Partnership and Concessions</w:t>
            </w:r>
          </w:p>
        </w:tc>
      </w:tr>
      <w:tr w:rsidR="00485BAA" w:rsidRPr="008C761D" w14:paraId="2E223ABD" w14:textId="77777777" w:rsidTr="003F623B">
        <w:trPr>
          <w:gridBefore w:val="1"/>
          <w:gridAfter w:val="1"/>
          <w:wBefore w:w="17" w:type="dxa"/>
          <w:wAfter w:w="180" w:type="dxa"/>
          <w:trHeight w:val="265"/>
          <w:jc w:val="center"/>
        </w:trPr>
        <w:tc>
          <w:tcPr>
            <w:tcW w:w="2368" w:type="dxa"/>
            <w:gridSpan w:val="6"/>
            <w:vMerge/>
            <w:tcBorders>
              <w:top w:val="nil"/>
              <w:left w:val="nil"/>
              <w:bottom w:val="nil"/>
              <w:right w:val="single" w:sz="8" w:space="0" w:color="000000"/>
            </w:tcBorders>
            <w:vAlign w:val="center"/>
            <w:hideMark/>
          </w:tcPr>
          <w:p w14:paraId="3BAE2EE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44B307D" w14:textId="48CA5D1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738FDE95" w14:textId="14E0CFC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715AFCA7" w14:textId="0F90E35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4A9B7CB1" w14:textId="446F0BE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4A0B6D0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362F133" w14:textId="49A13779"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5CBFFD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2F3423C1" w14:textId="77777777" w:rsidTr="003F623B">
        <w:trPr>
          <w:gridBefore w:val="1"/>
          <w:gridAfter w:val="1"/>
          <w:wBefore w:w="17" w:type="dxa"/>
          <w:wAfter w:w="180" w:type="dxa"/>
          <w:trHeight w:val="825"/>
          <w:jc w:val="center"/>
        </w:trPr>
        <w:tc>
          <w:tcPr>
            <w:tcW w:w="2368" w:type="dxa"/>
            <w:gridSpan w:val="6"/>
            <w:vMerge/>
            <w:tcBorders>
              <w:top w:val="nil"/>
              <w:left w:val="nil"/>
              <w:bottom w:val="nil"/>
              <w:right w:val="single" w:sz="8" w:space="0" w:color="000000"/>
            </w:tcBorders>
            <w:vAlign w:val="center"/>
            <w:hideMark/>
          </w:tcPr>
          <w:p w14:paraId="72342C8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69CA536" w14:textId="578A07E8"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Increasing the number of employees in the Ministry of Economy and professional training for public-private partnership</w:t>
            </w:r>
          </w:p>
        </w:tc>
        <w:tc>
          <w:tcPr>
            <w:tcW w:w="1194" w:type="dxa"/>
            <w:gridSpan w:val="3"/>
            <w:shd w:val="clear" w:color="000000" w:fill="FFFF99"/>
            <w:vAlign w:val="center"/>
            <w:hideMark/>
          </w:tcPr>
          <w:p w14:paraId="527AD9C4" w14:textId="427273C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1D30BA"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 xml:space="preserve">-2025 </w:t>
            </w:r>
          </w:p>
        </w:tc>
        <w:tc>
          <w:tcPr>
            <w:tcW w:w="1418" w:type="dxa"/>
            <w:gridSpan w:val="2"/>
            <w:shd w:val="clear" w:color="000000" w:fill="FFFF99"/>
            <w:vAlign w:val="center"/>
            <w:hideMark/>
          </w:tcPr>
          <w:p w14:paraId="4E01032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MoE</w:t>
            </w:r>
          </w:p>
        </w:tc>
        <w:tc>
          <w:tcPr>
            <w:tcW w:w="1644" w:type="dxa"/>
            <w:gridSpan w:val="3"/>
            <w:shd w:val="clear" w:color="000000" w:fill="FFFF99"/>
            <w:vAlign w:val="center"/>
            <w:hideMark/>
          </w:tcPr>
          <w:p w14:paraId="17E3C06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758" w:type="dxa"/>
            <w:gridSpan w:val="2"/>
            <w:shd w:val="clear" w:color="000000" w:fill="FFFF99"/>
            <w:vAlign w:val="center"/>
            <w:hideMark/>
          </w:tcPr>
          <w:p w14:paraId="1759B85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96,000 </w:t>
            </w:r>
          </w:p>
        </w:tc>
        <w:tc>
          <w:tcPr>
            <w:tcW w:w="1842" w:type="dxa"/>
            <w:gridSpan w:val="3"/>
            <w:shd w:val="clear" w:color="000000" w:fill="FFFF99"/>
            <w:vAlign w:val="center"/>
            <w:hideMark/>
          </w:tcPr>
          <w:p w14:paraId="6802AC69" w14:textId="48D9F00D" w:rsidR="00485BAA" w:rsidRPr="008C761D" w:rsidRDefault="006A55C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shd w:val="clear" w:color="000000" w:fill="FFFF99"/>
            <w:vAlign w:val="center"/>
            <w:hideMark/>
          </w:tcPr>
          <w:p w14:paraId="499D362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78FA6E69" w14:textId="77777777" w:rsidTr="003F623B">
        <w:trPr>
          <w:gridBefore w:val="1"/>
          <w:gridAfter w:val="1"/>
          <w:wBefore w:w="17" w:type="dxa"/>
          <w:wAfter w:w="180" w:type="dxa"/>
          <w:trHeight w:val="268"/>
          <w:jc w:val="center"/>
        </w:trPr>
        <w:tc>
          <w:tcPr>
            <w:tcW w:w="13501" w:type="dxa"/>
            <w:gridSpan w:val="25"/>
            <w:shd w:val="clear" w:color="000000" w:fill="1F3864"/>
            <w:vAlign w:val="center"/>
            <w:hideMark/>
          </w:tcPr>
          <w:p w14:paraId="636D73A5" w14:textId="4A3FF5EC"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 xml:space="preserve">PILLAR </w:t>
            </w:r>
            <w:proofErr w:type="gramStart"/>
            <w:r w:rsidRPr="008C761D">
              <w:rPr>
                <w:rFonts w:ascii="Arial" w:eastAsia="Times New Roman" w:hAnsi="Arial" w:cs="Arial"/>
                <w:b/>
                <w:bCs/>
                <w:color w:val="FFFFFF"/>
                <w:sz w:val="12"/>
                <w:szCs w:val="12"/>
                <w:lang w:val="en-US" w:eastAsia="mk-MK"/>
              </w:rPr>
              <w:t>V</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w:t>
            </w:r>
            <w:r w:rsidR="00432D15">
              <w:rPr>
                <w:rFonts w:ascii="Arial" w:eastAsia="Times New Roman" w:hAnsi="Arial" w:cs="Arial"/>
                <w:b/>
                <w:bCs/>
                <w:color w:val="FFFFFF"/>
                <w:sz w:val="12"/>
                <w:szCs w:val="12"/>
                <w:lang w:val="en-US" w:eastAsia="mk-MK"/>
              </w:rPr>
              <w:t>.</w:t>
            </w:r>
            <w:r w:rsidR="00432D15" w:rsidRPr="00432D15">
              <w:rPr>
                <w:rFonts w:ascii="Arial" w:eastAsia="Times New Roman" w:hAnsi="Arial" w:cs="Arial"/>
                <w:b/>
                <w:bCs/>
                <w:color w:val="FFFFFF"/>
                <w:sz w:val="12"/>
                <w:szCs w:val="12"/>
                <w:lang w:val="en-US" w:eastAsia="mk-MK"/>
              </w:rPr>
              <w:t>Public</w:t>
            </w:r>
            <w:proofErr w:type="gramEnd"/>
            <w:r w:rsidR="00432D15" w:rsidRPr="00432D15">
              <w:rPr>
                <w:rFonts w:ascii="Arial" w:eastAsia="Times New Roman" w:hAnsi="Arial" w:cs="Arial"/>
                <w:b/>
                <w:bCs/>
                <w:color w:val="FFFFFF"/>
                <w:sz w:val="12"/>
                <w:szCs w:val="12"/>
                <w:lang w:val="en-US" w:eastAsia="mk-MK"/>
              </w:rPr>
              <w:t xml:space="preserve"> finance digitalisation and </w:t>
            </w:r>
            <w:r w:rsidR="001111E8" w:rsidRPr="001111E8">
              <w:rPr>
                <w:rFonts w:ascii="Arial" w:eastAsia="Times New Roman" w:hAnsi="Arial" w:cs="Arial"/>
                <w:b/>
                <w:bCs/>
                <w:color w:val="FFFFFF"/>
                <w:sz w:val="12"/>
                <w:szCs w:val="12"/>
                <w:lang w:val="en-US" w:eastAsia="mk-MK"/>
              </w:rPr>
              <w:t>continuоus</w:t>
            </w:r>
            <w:r w:rsidR="00432D15" w:rsidRPr="00432D15">
              <w:rPr>
                <w:rFonts w:ascii="Arial" w:eastAsia="Times New Roman" w:hAnsi="Arial" w:cs="Arial"/>
                <w:b/>
                <w:bCs/>
                <w:color w:val="FFFFFF"/>
                <w:sz w:val="12"/>
                <w:szCs w:val="12"/>
                <w:lang w:val="en-US" w:eastAsia="mk-MK"/>
              </w:rPr>
              <w:t> learning</w:t>
            </w:r>
          </w:p>
        </w:tc>
      </w:tr>
      <w:tr w:rsidR="00485BAA" w:rsidRPr="008C761D" w14:paraId="26B3DB43"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3A6A9A72" w14:textId="073F71D6"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Implementation</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of</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Integrated</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Financial</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Management</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Information</w:t>
            </w:r>
            <w:r w:rsidR="006030B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 xml:space="preserve">System (IFMIS) </w:t>
            </w:r>
          </w:p>
        </w:tc>
      </w:tr>
      <w:tr w:rsidR="00485BAA" w:rsidRPr="008C761D" w14:paraId="448D0362" w14:textId="77777777" w:rsidTr="003F623B">
        <w:trPr>
          <w:gridBefore w:val="1"/>
          <w:gridAfter w:val="1"/>
          <w:wBefore w:w="17" w:type="dxa"/>
          <w:wAfter w:w="180" w:type="dxa"/>
          <w:trHeight w:val="265"/>
          <w:jc w:val="center"/>
        </w:trPr>
        <w:tc>
          <w:tcPr>
            <w:tcW w:w="2368" w:type="dxa"/>
            <w:gridSpan w:val="6"/>
            <w:tcBorders>
              <w:bottom w:val="single" w:sz="8" w:space="0" w:color="000000"/>
            </w:tcBorders>
            <w:shd w:val="clear" w:color="000000" w:fill="9BD2ED"/>
            <w:vAlign w:val="center"/>
            <w:hideMark/>
          </w:tcPr>
          <w:p w14:paraId="5CEF56A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tcBorders>
              <w:bottom w:val="single" w:sz="8" w:space="0" w:color="000000"/>
            </w:tcBorders>
            <w:shd w:val="clear" w:color="000000" w:fill="9BD2ED"/>
            <w:vAlign w:val="center"/>
            <w:hideMark/>
          </w:tcPr>
          <w:p w14:paraId="64DB4EA7" w14:textId="49B6A6B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tcBorders>
              <w:bottom w:val="single" w:sz="8" w:space="0" w:color="000000"/>
            </w:tcBorders>
            <w:shd w:val="clear" w:color="000000" w:fill="9BD2ED"/>
            <w:vAlign w:val="center"/>
            <w:hideMark/>
          </w:tcPr>
          <w:p w14:paraId="4C6559A6" w14:textId="7F27126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6030B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72D0E3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12973"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68851A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76B1CB3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1DCEACE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CCB767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7</w:t>
            </w:r>
          </w:p>
        </w:tc>
      </w:tr>
      <w:tr w:rsidR="00485BAA" w:rsidRPr="008C761D" w14:paraId="33BFC7E1" w14:textId="77777777" w:rsidTr="003F623B">
        <w:trPr>
          <w:gridBefore w:val="1"/>
          <w:gridAfter w:val="1"/>
          <w:wBefore w:w="17" w:type="dxa"/>
          <w:wAfter w:w="180" w:type="dxa"/>
          <w:trHeight w:val="874"/>
          <w:jc w:val="center"/>
        </w:trPr>
        <w:tc>
          <w:tcPr>
            <w:tcW w:w="2368" w:type="dxa"/>
            <w:gridSpan w:val="6"/>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70C79101" w14:textId="596EAF8D"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operational efficiency and transparency through IFMIS in line with the new OBL.</w:t>
            </w:r>
          </w:p>
        </w:tc>
        <w:tc>
          <w:tcPr>
            <w:tcW w:w="1771" w:type="dxa"/>
            <w:gridSpan w:val="3"/>
            <w:tcBorders>
              <w:top w:val="single" w:sz="8" w:space="0" w:color="000000"/>
              <w:left w:val="single" w:sz="8" w:space="0" w:color="000000"/>
              <w:bottom w:val="single" w:sz="8" w:space="0" w:color="000000"/>
            </w:tcBorders>
            <w:shd w:val="clear" w:color="000000" w:fill="FFFF99"/>
            <w:vAlign w:val="center"/>
            <w:hideMark/>
          </w:tcPr>
          <w:p w14:paraId="3312BB5D" w14:textId="16C4B9E6"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required time for the processing of payments through IFMIS and Treasury Single Account interface was reduced</w:t>
            </w:r>
          </w:p>
        </w:tc>
        <w:tc>
          <w:tcPr>
            <w:tcW w:w="1194" w:type="dxa"/>
            <w:gridSpan w:val="3"/>
            <w:tcBorders>
              <w:bottom w:val="single" w:sz="8" w:space="0" w:color="000000"/>
            </w:tcBorders>
            <w:shd w:val="clear" w:color="000000" w:fill="FFFF99"/>
            <w:vAlign w:val="center"/>
            <w:hideMark/>
          </w:tcPr>
          <w:p w14:paraId="70AABD1E" w14:textId="4C4F0F4B"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PFM Reform Program Annual Progress Reports,</w:t>
            </w:r>
            <w:r w:rsidRPr="008C761D">
              <w:rPr>
                <w:rFonts w:ascii="Arial" w:eastAsia="Times New Roman" w:hAnsi="Arial" w:cs="Arial"/>
                <w:sz w:val="12"/>
                <w:szCs w:val="12"/>
                <w:lang w:val="en-US" w:eastAsia="mk-MK"/>
              </w:rPr>
              <w:br/>
              <w:t>Project reports</w:t>
            </w:r>
          </w:p>
        </w:tc>
        <w:tc>
          <w:tcPr>
            <w:tcW w:w="1418" w:type="dxa"/>
            <w:gridSpan w:val="2"/>
            <w:shd w:val="clear" w:color="000000" w:fill="FFFF99"/>
            <w:vAlign w:val="center"/>
            <w:hideMark/>
          </w:tcPr>
          <w:p w14:paraId="61261C09" w14:textId="4D89BE24"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No IFMIS; 30 days for entities to submit the invoice to the Treasury +1 for payment processing</w:t>
            </w:r>
          </w:p>
        </w:tc>
        <w:tc>
          <w:tcPr>
            <w:tcW w:w="1644" w:type="dxa"/>
            <w:gridSpan w:val="3"/>
            <w:shd w:val="clear" w:color="000000" w:fill="FFFF99"/>
            <w:vAlign w:val="center"/>
            <w:hideMark/>
          </w:tcPr>
          <w:p w14:paraId="0E0E7418" w14:textId="7FAFE911"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5B8862A2" w14:textId="1A8D1AC1"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1A3CB73F" w14:textId="6E47FB79"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On average, 15 days for entities to submit invoices to Treasury +1 day for payment processing by Treasury</w:t>
            </w:r>
          </w:p>
        </w:tc>
        <w:tc>
          <w:tcPr>
            <w:tcW w:w="1506" w:type="dxa"/>
            <w:gridSpan w:val="3"/>
            <w:shd w:val="clear" w:color="000000" w:fill="FFFF99"/>
            <w:vAlign w:val="center"/>
            <w:hideMark/>
          </w:tcPr>
          <w:p w14:paraId="264EAFEC" w14:textId="41EF01CD" w:rsidR="00485BAA" w:rsidRPr="008C761D" w:rsidRDefault="0074198F" w:rsidP="00485BAA">
            <w:pPr>
              <w:spacing w:after="0" w:line="240" w:lineRule="auto"/>
              <w:jc w:val="center"/>
              <w:rPr>
                <w:rFonts w:ascii="Arial" w:eastAsia="Times New Roman" w:hAnsi="Arial" w:cs="Arial"/>
                <w:sz w:val="12"/>
                <w:szCs w:val="12"/>
                <w:lang w:val="en-US" w:eastAsia="mk-MK"/>
              </w:rPr>
            </w:pPr>
            <w:r w:rsidRPr="0074198F">
              <w:rPr>
                <w:rFonts w:ascii="Arial" w:eastAsia="Times New Roman" w:hAnsi="Arial" w:cs="Arial"/>
                <w:sz w:val="12"/>
                <w:szCs w:val="12"/>
                <w:lang w:val="en-US" w:eastAsia="mk-MK"/>
              </w:rPr>
              <w:t>5 days for entities to submit invoices to Treasury +1 day for payment processing by Treasury</w:t>
            </w:r>
          </w:p>
        </w:tc>
      </w:tr>
      <w:tr w:rsidR="00485BAA" w:rsidRPr="008C761D" w14:paraId="1A92CFA3" w14:textId="77777777" w:rsidTr="003F623B">
        <w:trPr>
          <w:gridBefore w:val="1"/>
          <w:gridAfter w:val="1"/>
          <w:wBefore w:w="17" w:type="dxa"/>
          <w:wAfter w:w="180" w:type="dxa"/>
          <w:trHeight w:val="689"/>
          <w:jc w:val="center"/>
        </w:trPr>
        <w:tc>
          <w:tcPr>
            <w:tcW w:w="2368" w:type="dxa"/>
            <w:gridSpan w:val="6"/>
            <w:vMerge w:val="restart"/>
            <w:tcBorders>
              <w:top w:val="single" w:sz="8" w:space="0" w:color="000000"/>
              <w:left w:val="nil"/>
              <w:bottom w:val="nil"/>
              <w:right w:val="single" w:sz="8" w:space="0" w:color="000000"/>
            </w:tcBorders>
            <w:shd w:val="clear" w:color="000000" w:fill="FFFFFF"/>
            <w:vAlign w:val="center"/>
            <w:hideMark/>
          </w:tcPr>
          <w:p w14:paraId="5F63BFBA" w14:textId="77777777" w:rsidR="00485BAA" w:rsidRPr="008C761D" w:rsidRDefault="00485BAA" w:rsidP="00FA10C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top w:val="single" w:sz="8" w:space="0" w:color="000000"/>
              <w:left w:val="single" w:sz="8" w:space="0" w:color="000000"/>
            </w:tcBorders>
            <w:shd w:val="clear" w:color="000000" w:fill="FFFF99"/>
            <w:vAlign w:val="center"/>
            <w:hideMark/>
          </w:tcPr>
          <w:p w14:paraId="10BF3D3B" w14:textId="3834906C" w:rsidR="00485BAA" w:rsidRPr="008C761D" w:rsidRDefault="006030B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Comprehensiveness of publicly published general government reporting</w:t>
            </w:r>
          </w:p>
        </w:tc>
        <w:tc>
          <w:tcPr>
            <w:tcW w:w="1194" w:type="dxa"/>
            <w:gridSpan w:val="3"/>
            <w:tcBorders>
              <w:top w:val="single" w:sz="8" w:space="0" w:color="000000"/>
            </w:tcBorders>
            <w:shd w:val="clear" w:color="000000" w:fill="FFFF99"/>
            <w:vAlign w:val="center"/>
            <w:hideMark/>
          </w:tcPr>
          <w:p w14:paraId="139CC12D" w14:textId="0A2CDACF"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PFM Reform Program Annual Progress Reports,</w:t>
            </w:r>
            <w:r w:rsidRPr="008C761D">
              <w:rPr>
                <w:rFonts w:ascii="Arial" w:eastAsia="Times New Roman" w:hAnsi="Arial" w:cs="Arial"/>
                <w:sz w:val="12"/>
                <w:szCs w:val="12"/>
                <w:lang w:val="en-US" w:eastAsia="mk-MK"/>
              </w:rPr>
              <w:br/>
              <w:t>Project reports</w:t>
            </w:r>
          </w:p>
        </w:tc>
        <w:tc>
          <w:tcPr>
            <w:tcW w:w="1418" w:type="dxa"/>
            <w:gridSpan w:val="2"/>
            <w:shd w:val="clear" w:color="000000" w:fill="FFFF99"/>
            <w:vAlign w:val="center"/>
            <w:hideMark/>
          </w:tcPr>
          <w:p w14:paraId="7FAB8C6C" w14:textId="41BC2065" w:rsidR="00485BAA" w:rsidRPr="008C761D" w:rsidRDefault="0074198F" w:rsidP="00485BAA">
            <w:pPr>
              <w:spacing w:after="0" w:line="240" w:lineRule="auto"/>
              <w:jc w:val="center"/>
              <w:rPr>
                <w:rFonts w:ascii="Arial" w:eastAsia="Times New Roman" w:hAnsi="Arial" w:cs="Arial"/>
                <w:sz w:val="12"/>
                <w:szCs w:val="12"/>
                <w:lang w:val="en-US" w:eastAsia="mk-MK"/>
              </w:rPr>
            </w:pPr>
            <w:r w:rsidRPr="0074198F">
              <w:rPr>
                <w:rFonts w:ascii="Arial" w:eastAsia="Times New Roman" w:hAnsi="Arial" w:cs="Arial"/>
                <w:sz w:val="12"/>
                <w:szCs w:val="12"/>
                <w:lang w:val="en-US" w:eastAsia="mk-MK"/>
              </w:rPr>
              <w:t>Annual Budget preparation and budget execution reports do not cover all relevant institutions in accordance with international standards (ESA 2010 and GFS)</w:t>
            </w:r>
          </w:p>
        </w:tc>
        <w:tc>
          <w:tcPr>
            <w:tcW w:w="1644" w:type="dxa"/>
            <w:gridSpan w:val="3"/>
            <w:shd w:val="clear" w:color="000000" w:fill="FFFF99"/>
            <w:vAlign w:val="center"/>
            <w:hideMark/>
          </w:tcPr>
          <w:p w14:paraId="73370A76" w14:textId="5B5E114C"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IFMIS bidding process is launched including the requirements for necessary improvements in reporting.</w:t>
            </w:r>
          </w:p>
        </w:tc>
        <w:tc>
          <w:tcPr>
            <w:tcW w:w="1758" w:type="dxa"/>
            <w:gridSpan w:val="2"/>
            <w:shd w:val="clear" w:color="000000" w:fill="FFFF99"/>
            <w:vAlign w:val="center"/>
            <w:hideMark/>
          </w:tcPr>
          <w:p w14:paraId="21993B31" w14:textId="730E4F9B"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IFMIS development is completed and the pilot implementation includes testing of reporting improvements</w:t>
            </w:r>
          </w:p>
        </w:tc>
        <w:tc>
          <w:tcPr>
            <w:tcW w:w="1842" w:type="dxa"/>
            <w:gridSpan w:val="3"/>
            <w:shd w:val="clear" w:color="000000" w:fill="FFFF99"/>
            <w:vAlign w:val="center"/>
            <w:hideMark/>
          </w:tcPr>
          <w:p w14:paraId="0E80970D" w14:textId="141E2988" w:rsidR="00485BAA" w:rsidRPr="008C761D" w:rsidRDefault="006030B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IFMIS is fully operational and new reporting capabilities are available. Government entities can generate reports including all relevant institutions.</w:t>
            </w:r>
          </w:p>
        </w:tc>
        <w:tc>
          <w:tcPr>
            <w:tcW w:w="1506" w:type="dxa"/>
            <w:gridSpan w:val="3"/>
            <w:shd w:val="clear" w:color="000000" w:fill="FFFF99"/>
            <w:vAlign w:val="center"/>
            <w:hideMark/>
          </w:tcPr>
          <w:p w14:paraId="762F95CD" w14:textId="7CCDF1E7" w:rsidR="00485BAA" w:rsidRPr="008C761D" w:rsidRDefault="0074198F" w:rsidP="00485BAA">
            <w:pPr>
              <w:spacing w:after="0" w:line="240" w:lineRule="auto"/>
              <w:jc w:val="center"/>
              <w:rPr>
                <w:rFonts w:ascii="Arial" w:eastAsia="Times New Roman" w:hAnsi="Arial" w:cs="Arial"/>
                <w:sz w:val="12"/>
                <w:szCs w:val="12"/>
                <w:lang w:val="en-US" w:eastAsia="mk-MK"/>
              </w:rPr>
            </w:pPr>
            <w:r w:rsidRPr="0074198F">
              <w:rPr>
                <w:rFonts w:ascii="Arial" w:eastAsia="Times New Roman" w:hAnsi="Arial" w:cs="Arial"/>
                <w:sz w:val="12"/>
                <w:szCs w:val="12"/>
                <w:lang w:val="en-US" w:eastAsia="mk-MK"/>
              </w:rPr>
              <w:t>Regulatory agencies and PEs are included as part of the budget preparation and execution reports through the new IFMIS, in line with new PE Registry.</w:t>
            </w:r>
          </w:p>
        </w:tc>
      </w:tr>
      <w:tr w:rsidR="00485BAA" w:rsidRPr="008C761D" w14:paraId="4D90343E" w14:textId="77777777" w:rsidTr="003F623B">
        <w:trPr>
          <w:gridBefore w:val="1"/>
          <w:gridAfter w:val="1"/>
          <w:wBefore w:w="17" w:type="dxa"/>
          <w:wAfter w:w="180" w:type="dxa"/>
          <w:trHeight w:val="685"/>
          <w:jc w:val="center"/>
        </w:trPr>
        <w:tc>
          <w:tcPr>
            <w:tcW w:w="2368" w:type="dxa"/>
            <w:gridSpan w:val="6"/>
            <w:vMerge/>
            <w:tcBorders>
              <w:top w:val="nil"/>
              <w:left w:val="nil"/>
              <w:bottom w:val="nil"/>
              <w:right w:val="single" w:sz="8" w:space="0" w:color="000000"/>
            </w:tcBorders>
            <w:vAlign w:val="center"/>
            <w:hideMark/>
          </w:tcPr>
          <w:p w14:paraId="0D3464E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10A13B" w14:textId="4BA13A22" w:rsidR="00485BAA" w:rsidRPr="008C761D" w:rsidRDefault="008129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Open</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Index</w:t>
            </w:r>
            <w:r w:rsidR="006030B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Score (transparency) increased</w:t>
            </w:r>
          </w:p>
        </w:tc>
        <w:tc>
          <w:tcPr>
            <w:tcW w:w="1194" w:type="dxa"/>
            <w:gridSpan w:val="3"/>
            <w:shd w:val="clear" w:color="000000" w:fill="FFFF99"/>
            <w:vAlign w:val="center"/>
            <w:hideMark/>
          </w:tcPr>
          <w:p w14:paraId="4F0612B3" w14:textId="480314B7"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Open</w:t>
            </w:r>
            <w:r w:rsidR="00AD168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AD1685" w:rsidRPr="008C761D">
              <w:rPr>
                <w:rFonts w:ascii="Arial" w:eastAsia="Times New Roman" w:hAnsi="Arial" w:cs="Arial"/>
                <w:sz w:val="12"/>
                <w:szCs w:val="12"/>
                <w:lang w:val="en-US" w:eastAsia="mk-MK"/>
              </w:rPr>
              <w:t xml:space="preserve"> </w:t>
            </w:r>
            <w:r w:rsidR="00404D96" w:rsidRPr="008C761D">
              <w:rPr>
                <w:rFonts w:ascii="Arial" w:eastAsia="Times New Roman" w:hAnsi="Arial" w:cs="Arial"/>
                <w:sz w:val="12"/>
                <w:szCs w:val="12"/>
                <w:lang w:val="en-US" w:eastAsia="mk-MK"/>
              </w:rPr>
              <w:t>Survey Results</w:t>
            </w:r>
          </w:p>
        </w:tc>
        <w:tc>
          <w:tcPr>
            <w:tcW w:w="1418" w:type="dxa"/>
            <w:gridSpan w:val="2"/>
            <w:shd w:val="clear" w:color="000000" w:fill="FFFF99"/>
            <w:vAlign w:val="center"/>
            <w:hideMark/>
          </w:tcPr>
          <w:p w14:paraId="370834B2" w14:textId="77777777"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36 out 100 (2021)</w:t>
            </w:r>
          </w:p>
        </w:tc>
        <w:tc>
          <w:tcPr>
            <w:tcW w:w="1644" w:type="dxa"/>
            <w:gridSpan w:val="3"/>
            <w:shd w:val="clear" w:color="000000" w:fill="FFFF99"/>
            <w:vAlign w:val="center"/>
            <w:hideMark/>
          </w:tcPr>
          <w:p w14:paraId="50DA5812" w14:textId="0022A607"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50 </w:t>
            </w:r>
            <w:r w:rsidR="00404D96" w:rsidRPr="008C761D">
              <w:rPr>
                <w:rFonts w:ascii="Arial" w:eastAsia="Times New Roman" w:hAnsi="Arial" w:cs="Arial"/>
                <w:sz w:val="12"/>
                <w:szCs w:val="12"/>
                <w:lang w:val="en-US" w:eastAsia="mk-MK"/>
              </w:rPr>
              <w:t>out of</w:t>
            </w:r>
            <w:r w:rsidRPr="008C761D">
              <w:rPr>
                <w:rFonts w:ascii="Arial" w:eastAsia="Times New Roman" w:hAnsi="Arial" w:cs="Arial"/>
                <w:sz w:val="12"/>
                <w:szCs w:val="12"/>
                <w:lang w:val="en-US" w:eastAsia="mk-MK"/>
              </w:rPr>
              <w:t xml:space="preserve"> 100 (2023)</w:t>
            </w:r>
          </w:p>
        </w:tc>
        <w:tc>
          <w:tcPr>
            <w:tcW w:w="1758" w:type="dxa"/>
            <w:gridSpan w:val="2"/>
            <w:shd w:val="clear" w:color="000000" w:fill="FFFF99"/>
            <w:vAlign w:val="center"/>
            <w:hideMark/>
          </w:tcPr>
          <w:p w14:paraId="63718859" w14:textId="32480F0B"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1588A80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90%</w:t>
            </w:r>
          </w:p>
        </w:tc>
        <w:tc>
          <w:tcPr>
            <w:tcW w:w="1506" w:type="dxa"/>
            <w:gridSpan w:val="3"/>
            <w:shd w:val="clear" w:color="000000" w:fill="FFFF99"/>
            <w:vAlign w:val="center"/>
            <w:hideMark/>
          </w:tcPr>
          <w:p w14:paraId="36A4063D" w14:textId="3B7DCDC6"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61 </w:t>
            </w:r>
            <w:r w:rsidR="00404D96" w:rsidRPr="008C761D">
              <w:rPr>
                <w:rFonts w:ascii="Arial" w:eastAsia="Times New Roman" w:hAnsi="Arial" w:cs="Arial"/>
                <w:sz w:val="12"/>
                <w:szCs w:val="12"/>
                <w:lang w:val="en-US" w:eastAsia="mk-MK"/>
              </w:rPr>
              <w:t>out of</w:t>
            </w:r>
            <w:r w:rsidRPr="008C761D">
              <w:rPr>
                <w:rFonts w:ascii="Arial" w:eastAsia="Times New Roman" w:hAnsi="Arial" w:cs="Arial"/>
                <w:sz w:val="12"/>
                <w:szCs w:val="12"/>
                <w:lang w:val="en-US" w:eastAsia="mk-MK"/>
              </w:rPr>
              <w:t xml:space="preserve"> 100 (2025)</w:t>
            </w:r>
          </w:p>
        </w:tc>
      </w:tr>
      <w:tr w:rsidR="00485BAA" w:rsidRPr="008C761D" w14:paraId="62C498D8" w14:textId="77777777" w:rsidTr="003F623B">
        <w:trPr>
          <w:gridBefore w:val="1"/>
          <w:gridAfter w:val="1"/>
          <w:wBefore w:w="17" w:type="dxa"/>
          <w:wAfter w:w="180" w:type="dxa"/>
          <w:trHeight w:val="245"/>
          <w:jc w:val="center"/>
        </w:trPr>
        <w:tc>
          <w:tcPr>
            <w:tcW w:w="13501" w:type="dxa"/>
            <w:gridSpan w:val="25"/>
            <w:shd w:val="clear" w:color="000000" w:fill="9BD2ED"/>
            <w:vAlign w:val="center"/>
            <w:hideMark/>
          </w:tcPr>
          <w:p w14:paraId="3030FF73" w14:textId="5598B835" w:rsidR="00485BAA" w:rsidRPr="008C761D" w:rsidRDefault="00812973" w:rsidP="00485BAA">
            <w:pPr>
              <w:spacing w:after="0" w:line="240" w:lineRule="auto"/>
              <w:rPr>
                <w:rFonts w:ascii="Arial" w:eastAsia="Times New Roman" w:hAnsi="Arial" w:cs="Arial"/>
                <w:b/>
                <w:bCs/>
                <w:sz w:val="12"/>
                <w:szCs w:val="12"/>
                <w:lang w:val="en-US" w:eastAsia="mk-MK"/>
              </w:rPr>
            </w:pPr>
            <w:bookmarkStart w:id="91" w:name="_Hlk153544061"/>
            <w:r w:rsidRPr="008C761D">
              <w:rPr>
                <w:rFonts w:ascii="Arial" w:eastAsia="Times New Roman" w:hAnsi="Arial" w:cs="Arial"/>
                <w:b/>
                <w:bCs/>
                <w:sz w:val="12"/>
                <w:szCs w:val="12"/>
                <w:lang w:val="en-US" w:eastAsia="mk-MK"/>
              </w:rPr>
              <w:lastRenderedPageBreak/>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Development</w:t>
            </w:r>
            <w:r w:rsidR="00551499" w:rsidRPr="008C761D">
              <w:rPr>
                <w:rFonts w:ascii="Arial" w:eastAsia="Times New Roman" w:hAnsi="Arial" w:cs="Arial"/>
                <w:b/>
                <w:bCs/>
                <w:sz w:val="12"/>
                <w:szCs w:val="12"/>
                <w:lang w:val="en-US" w:eastAsia="mk-MK"/>
              </w:rPr>
              <w:t xml:space="preserve"> </w:t>
            </w:r>
            <w:proofErr w:type="gramStart"/>
            <w:r w:rsidRPr="008C761D">
              <w:rPr>
                <w:rFonts w:ascii="Arial" w:eastAsia="Times New Roman" w:hAnsi="Arial" w:cs="Arial"/>
                <w:b/>
                <w:bCs/>
                <w:sz w:val="12"/>
                <w:szCs w:val="12"/>
                <w:lang w:val="en-US" w:eastAsia="mk-MK"/>
              </w:rPr>
              <w:t>of</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 xml:space="preserve"> IFMIS</w:t>
            </w:r>
            <w:proofErr w:type="gramEnd"/>
            <w:r w:rsidRPr="008C761D">
              <w:rPr>
                <w:rFonts w:ascii="Arial" w:eastAsia="Times New Roman" w:hAnsi="Arial" w:cs="Arial"/>
                <w:b/>
                <w:bCs/>
                <w:sz w:val="12"/>
                <w:szCs w:val="12"/>
                <w:lang w:val="en-US" w:eastAsia="mk-MK"/>
              </w:rPr>
              <w:t xml:space="preserve"> as</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integrated</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centralized</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web-based</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system</w:t>
            </w:r>
          </w:p>
        </w:tc>
      </w:tr>
      <w:tr w:rsidR="00485BAA" w:rsidRPr="008C761D" w14:paraId="53500A24" w14:textId="77777777" w:rsidTr="003F623B">
        <w:trPr>
          <w:gridBefore w:val="1"/>
          <w:gridAfter w:val="1"/>
          <w:wBefore w:w="17" w:type="dxa"/>
          <w:wAfter w:w="180" w:type="dxa"/>
          <w:trHeight w:val="315"/>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2B288DE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4DD8C549" w14:textId="7654306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101570B7" w14:textId="3BD1BA75" w:rsidR="00485BAA" w:rsidRPr="008C761D" w:rsidRDefault="00404D96"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 Source</w:t>
            </w:r>
          </w:p>
        </w:tc>
        <w:tc>
          <w:tcPr>
            <w:tcW w:w="1418" w:type="dxa"/>
            <w:gridSpan w:val="2"/>
            <w:shd w:val="clear" w:color="000000" w:fill="9BD2ED"/>
            <w:vAlign w:val="center"/>
            <w:hideMark/>
          </w:tcPr>
          <w:p w14:paraId="2191E53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12973"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51416F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EC12E3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415AD0B" w14:textId="77777777" w:rsidR="00485BAA" w:rsidRPr="008C761D" w:rsidRDefault="00485BAA" w:rsidP="00812973">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E9C756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12973" w:rsidRPr="008C761D">
              <w:rPr>
                <w:rFonts w:ascii="Arial" w:eastAsia="Times New Roman" w:hAnsi="Arial" w:cs="Arial"/>
                <w:b/>
                <w:bCs/>
                <w:sz w:val="12"/>
                <w:szCs w:val="12"/>
                <w:lang w:val="en-US" w:eastAsia="mk-MK"/>
              </w:rPr>
              <w:t>7</w:t>
            </w:r>
          </w:p>
        </w:tc>
      </w:tr>
      <w:tr w:rsidR="00485BAA" w:rsidRPr="008C761D" w14:paraId="387C0D88" w14:textId="77777777" w:rsidTr="003F623B">
        <w:trPr>
          <w:gridBefore w:val="1"/>
          <w:gridAfter w:val="1"/>
          <w:wBefore w:w="17" w:type="dxa"/>
          <w:wAfter w:w="180" w:type="dxa"/>
          <w:trHeight w:val="571"/>
          <w:jc w:val="center"/>
        </w:trPr>
        <w:tc>
          <w:tcPr>
            <w:tcW w:w="2368" w:type="dxa"/>
            <w:gridSpan w:val="6"/>
            <w:vMerge/>
            <w:tcBorders>
              <w:top w:val="nil"/>
              <w:left w:val="nil"/>
              <w:bottom w:val="nil"/>
              <w:right w:val="single" w:sz="8" w:space="0" w:color="000000"/>
            </w:tcBorders>
            <w:vAlign w:val="center"/>
            <w:hideMark/>
          </w:tcPr>
          <w:p w14:paraId="40A1E35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D9A64E8" w14:textId="16D1FD72" w:rsidR="00485BAA" w:rsidRPr="008C761D" w:rsidRDefault="00812973" w:rsidP="00FA10C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IFMIS is</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operational</w:t>
            </w:r>
          </w:p>
        </w:tc>
        <w:tc>
          <w:tcPr>
            <w:tcW w:w="1194" w:type="dxa"/>
            <w:gridSpan w:val="3"/>
            <w:shd w:val="clear" w:color="000000" w:fill="FFFF99"/>
            <w:vAlign w:val="center"/>
            <w:hideMark/>
          </w:tcPr>
          <w:p w14:paraId="471DE0E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Project Reports</w:t>
            </w:r>
          </w:p>
        </w:tc>
        <w:tc>
          <w:tcPr>
            <w:tcW w:w="1418" w:type="dxa"/>
            <w:gridSpan w:val="2"/>
            <w:shd w:val="clear" w:color="000000" w:fill="FFFF99"/>
            <w:vAlign w:val="center"/>
            <w:hideMark/>
          </w:tcPr>
          <w:p w14:paraId="60493EA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No IFMIS</w:t>
            </w:r>
          </w:p>
        </w:tc>
        <w:tc>
          <w:tcPr>
            <w:tcW w:w="1644" w:type="dxa"/>
            <w:gridSpan w:val="3"/>
            <w:shd w:val="clear" w:color="000000" w:fill="FFFF99"/>
            <w:vAlign w:val="center"/>
            <w:hideMark/>
          </w:tcPr>
          <w:p w14:paraId="74F6675C" w14:textId="16D20412"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IFMIS is</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being</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developed</w:t>
            </w:r>
          </w:p>
        </w:tc>
        <w:tc>
          <w:tcPr>
            <w:tcW w:w="1758" w:type="dxa"/>
            <w:gridSpan w:val="2"/>
            <w:shd w:val="clear" w:color="000000" w:fill="FFFF99"/>
            <w:vAlign w:val="center"/>
            <w:hideMark/>
          </w:tcPr>
          <w:p w14:paraId="2BE81F92" w14:textId="711D2DFF"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IFMIS has</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gone</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live</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after</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being</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piloted</w:t>
            </w:r>
          </w:p>
        </w:tc>
        <w:tc>
          <w:tcPr>
            <w:tcW w:w="1842" w:type="dxa"/>
            <w:gridSpan w:val="3"/>
            <w:shd w:val="clear" w:color="000000" w:fill="FFFF99"/>
            <w:vAlign w:val="center"/>
            <w:hideMark/>
          </w:tcPr>
          <w:p w14:paraId="030FF44B" w14:textId="113B01B5" w:rsidR="00485BAA" w:rsidRPr="008C761D" w:rsidRDefault="005514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IFMIS is used in the preparation and execution of the central government budget</w:t>
            </w:r>
          </w:p>
        </w:tc>
        <w:tc>
          <w:tcPr>
            <w:tcW w:w="1506" w:type="dxa"/>
            <w:gridSpan w:val="3"/>
            <w:shd w:val="clear" w:color="000000" w:fill="FFFF99"/>
            <w:vAlign w:val="center"/>
            <w:hideMark/>
          </w:tcPr>
          <w:p w14:paraId="161B82F7" w14:textId="6E96CE85" w:rsidR="00485BAA" w:rsidRPr="008C761D" w:rsidRDefault="0055149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At least 95 percent of payments processed through the IFMIS</w:t>
            </w:r>
          </w:p>
        </w:tc>
      </w:tr>
      <w:tr w:rsidR="00485BAA" w:rsidRPr="008C761D" w14:paraId="7264C6D8" w14:textId="77777777" w:rsidTr="003F623B">
        <w:trPr>
          <w:gridBefore w:val="1"/>
          <w:gridAfter w:val="1"/>
          <w:wBefore w:w="17" w:type="dxa"/>
          <w:wAfter w:w="180" w:type="dxa"/>
          <w:trHeight w:val="255"/>
          <w:jc w:val="center"/>
        </w:trPr>
        <w:tc>
          <w:tcPr>
            <w:tcW w:w="2368" w:type="dxa"/>
            <w:gridSpan w:val="6"/>
            <w:vMerge/>
            <w:tcBorders>
              <w:top w:val="nil"/>
              <w:left w:val="nil"/>
              <w:bottom w:val="nil"/>
              <w:right w:val="single" w:sz="8" w:space="0" w:color="000000"/>
            </w:tcBorders>
            <w:vAlign w:val="center"/>
            <w:hideMark/>
          </w:tcPr>
          <w:p w14:paraId="0A1FF60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72EE37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2CD8C2B7" w14:textId="0C481C1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12B2BDB3" w14:textId="3BBAE74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6E243FFC" w14:textId="19D92DB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FB79D1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2121641" w14:textId="3450C66E"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4AEC9D8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bookmarkEnd w:id="91"/>
      <w:tr w:rsidR="00485BAA" w:rsidRPr="008C761D" w14:paraId="2DBB98DF" w14:textId="77777777" w:rsidTr="003F623B">
        <w:trPr>
          <w:gridBefore w:val="1"/>
          <w:gridAfter w:val="1"/>
          <w:wBefore w:w="17" w:type="dxa"/>
          <w:wAfter w:w="180" w:type="dxa"/>
          <w:trHeight w:val="758"/>
          <w:jc w:val="center"/>
        </w:trPr>
        <w:tc>
          <w:tcPr>
            <w:tcW w:w="2368" w:type="dxa"/>
            <w:gridSpan w:val="6"/>
            <w:vMerge/>
            <w:tcBorders>
              <w:top w:val="nil"/>
              <w:left w:val="nil"/>
              <w:bottom w:val="nil"/>
              <w:right w:val="single" w:sz="8" w:space="0" w:color="000000"/>
            </w:tcBorders>
            <w:vAlign w:val="center"/>
            <w:hideMark/>
          </w:tcPr>
          <w:p w14:paraId="1F2D352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45C9CD7" w14:textId="19C3F636" w:rsidR="00485BAA" w:rsidRPr="008C761D" w:rsidRDefault="008129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Selection</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IFMIS Solution</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Provider</w:t>
            </w:r>
          </w:p>
        </w:tc>
        <w:tc>
          <w:tcPr>
            <w:tcW w:w="1194" w:type="dxa"/>
            <w:gridSpan w:val="3"/>
            <w:shd w:val="clear" w:color="000000" w:fill="FFFF99"/>
            <w:vAlign w:val="center"/>
            <w:hideMark/>
          </w:tcPr>
          <w:p w14:paraId="0FF9BA2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w:t>
            </w:r>
          </w:p>
        </w:tc>
        <w:tc>
          <w:tcPr>
            <w:tcW w:w="1418" w:type="dxa"/>
            <w:gridSpan w:val="2"/>
            <w:shd w:val="clear" w:color="000000" w:fill="FFFF99"/>
            <w:vAlign w:val="center"/>
            <w:hideMark/>
          </w:tcPr>
          <w:p w14:paraId="7A66252E" w14:textId="7F4E9D2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F90378">
              <w:rPr>
                <w:rFonts w:ascii="Arial" w:eastAsia="Times New Roman" w:hAnsi="Arial" w:cs="Arial"/>
                <w:sz w:val="12"/>
                <w:szCs w:val="12"/>
                <w:lang w:val="en-US" w:eastAsia="mk-MK"/>
              </w:rPr>
              <w:t xml:space="preserve"> – IFMIS WG  </w:t>
            </w:r>
          </w:p>
        </w:tc>
        <w:tc>
          <w:tcPr>
            <w:tcW w:w="1644" w:type="dxa"/>
            <w:gridSpan w:val="3"/>
            <w:shd w:val="clear" w:color="000000" w:fill="FFFF99"/>
            <w:vAlign w:val="center"/>
            <w:hideMark/>
          </w:tcPr>
          <w:p w14:paraId="3BAD4175" w14:textId="18A50E42"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World Bank</w:t>
            </w:r>
            <w:r w:rsidR="00485BAA" w:rsidRPr="008C761D">
              <w:rPr>
                <w:rFonts w:ascii="Arial" w:eastAsia="Times New Roman" w:hAnsi="Arial" w:cs="Arial"/>
                <w:sz w:val="12"/>
                <w:szCs w:val="12"/>
                <w:lang w:val="en-US" w:eastAsia="mk-MK"/>
              </w:rPr>
              <w:t>, EU</w:t>
            </w:r>
          </w:p>
        </w:tc>
        <w:tc>
          <w:tcPr>
            <w:tcW w:w="1758" w:type="dxa"/>
            <w:gridSpan w:val="2"/>
            <w:shd w:val="clear" w:color="000000" w:fill="FFFF99"/>
            <w:vAlign w:val="center"/>
            <w:hideMark/>
          </w:tcPr>
          <w:p w14:paraId="00B50724" w14:textId="1175E3ED"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3BDF9731" w14:textId="411EBBE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 WB Projects (including EU contribution)</w:t>
            </w:r>
          </w:p>
        </w:tc>
        <w:tc>
          <w:tcPr>
            <w:tcW w:w="1506" w:type="dxa"/>
            <w:gridSpan w:val="3"/>
            <w:shd w:val="clear" w:color="000000" w:fill="FFFF99"/>
            <w:vAlign w:val="center"/>
            <w:hideMark/>
          </w:tcPr>
          <w:p w14:paraId="0BB8059A" w14:textId="3DE1BED9"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2602AC44" w14:textId="77777777" w:rsidTr="003F623B">
        <w:trPr>
          <w:gridBefore w:val="1"/>
          <w:gridAfter w:val="1"/>
          <w:wBefore w:w="17" w:type="dxa"/>
          <w:wAfter w:w="180" w:type="dxa"/>
          <w:trHeight w:val="702"/>
          <w:jc w:val="center"/>
        </w:trPr>
        <w:tc>
          <w:tcPr>
            <w:tcW w:w="2368" w:type="dxa"/>
            <w:gridSpan w:val="6"/>
            <w:vMerge/>
            <w:tcBorders>
              <w:top w:val="nil"/>
              <w:left w:val="nil"/>
              <w:bottom w:val="nil"/>
              <w:right w:val="single" w:sz="8" w:space="0" w:color="000000"/>
            </w:tcBorders>
            <w:vAlign w:val="center"/>
            <w:hideMark/>
          </w:tcPr>
          <w:p w14:paraId="10E4782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7E17104" w14:textId="6A4C511E" w:rsidR="00485BAA" w:rsidRPr="008C761D" w:rsidRDefault="008129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Development</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IFMIS modules</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interfaces</w:t>
            </w:r>
          </w:p>
        </w:tc>
        <w:tc>
          <w:tcPr>
            <w:tcW w:w="1194" w:type="dxa"/>
            <w:gridSpan w:val="3"/>
            <w:shd w:val="clear" w:color="000000" w:fill="FFFF99"/>
            <w:vAlign w:val="center"/>
            <w:hideMark/>
          </w:tcPr>
          <w:p w14:paraId="0EB976E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812973"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812973" w:rsidRPr="008C761D">
              <w:rPr>
                <w:rFonts w:ascii="Arial" w:eastAsia="Times New Roman" w:hAnsi="Arial" w:cs="Arial"/>
                <w:sz w:val="12"/>
                <w:szCs w:val="12"/>
                <w:lang w:val="en-US" w:eastAsia="mk-MK"/>
              </w:rPr>
              <w:t>5</w:t>
            </w:r>
          </w:p>
        </w:tc>
        <w:tc>
          <w:tcPr>
            <w:tcW w:w="1418" w:type="dxa"/>
            <w:gridSpan w:val="2"/>
            <w:shd w:val="clear" w:color="000000" w:fill="FFFF99"/>
            <w:vAlign w:val="center"/>
            <w:hideMark/>
          </w:tcPr>
          <w:p w14:paraId="7C143F15" w14:textId="5036B11E" w:rsidR="00485BAA"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shd w:val="clear" w:color="000000" w:fill="FFFF99"/>
            <w:vAlign w:val="center"/>
            <w:hideMark/>
          </w:tcPr>
          <w:p w14:paraId="2FC4F26E" w14:textId="3C6173F3"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World Bank</w:t>
            </w:r>
            <w:r w:rsidR="00485BAA" w:rsidRPr="008C761D">
              <w:rPr>
                <w:rFonts w:ascii="Arial" w:eastAsia="Times New Roman" w:hAnsi="Arial" w:cs="Arial"/>
                <w:sz w:val="12"/>
                <w:szCs w:val="12"/>
                <w:lang w:val="en-US" w:eastAsia="mk-MK"/>
              </w:rPr>
              <w:t>, EU</w:t>
            </w:r>
          </w:p>
        </w:tc>
        <w:tc>
          <w:tcPr>
            <w:tcW w:w="1758" w:type="dxa"/>
            <w:gridSpan w:val="2"/>
            <w:shd w:val="clear" w:color="000000" w:fill="FFFF99"/>
            <w:vAlign w:val="center"/>
            <w:hideMark/>
          </w:tcPr>
          <w:p w14:paraId="31952BB8" w14:textId="72B5C726"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42BB0FCE" w14:textId="77777777"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Loan (including EU contribution)</w:t>
            </w:r>
          </w:p>
        </w:tc>
        <w:tc>
          <w:tcPr>
            <w:tcW w:w="1506" w:type="dxa"/>
            <w:gridSpan w:val="3"/>
            <w:shd w:val="clear" w:color="000000" w:fill="FFFF99"/>
            <w:vAlign w:val="center"/>
            <w:hideMark/>
          </w:tcPr>
          <w:p w14:paraId="1D5A2323" w14:textId="31184CE8"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71F5E35E" w14:textId="77777777" w:rsidTr="003F623B">
        <w:trPr>
          <w:gridBefore w:val="1"/>
          <w:gridAfter w:val="1"/>
          <w:wBefore w:w="17" w:type="dxa"/>
          <w:wAfter w:w="180" w:type="dxa"/>
          <w:trHeight w:val="684"/>
          <w:jc w:val="center"/>
        </w:trPr>
        <w:tc>
          <w:tcPr>
            <w:tcW w:w="2368" w:type="dxa"/>
            <w:gridSpan w:val="6"/>
            <w:vMerge/>
            <w:tcBorders>
              <w:top w:val="nil"/>
              <w:left w:val="nil"/>
              <w:bottom w:val="single" w:sz="4" w:space="0" w:color="auto"/>
              <w:right w:val="single" w:sz="8" w:space="0" w:color="000000"/>
            </w:tcBorders>
            <w:vAlign w:val="center"/>
            <w:hideMark/>
          </w:tcPr>
          <w:p w14:paraId="4F97692B"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4" w:space="0" w:color="auto"/>
            </w:tcBorders>
            <w:shd w:val="clear" w:color="000000" w:fill="FFFF99"/>
            <w:vAlign w:val="center"/>
            <w:hideMark/>
          </w:tcPr>
          <w:p w14:paraId="7EAA86DC" w14:textId="7B528302" w:rsidR="00485BAA" w:rsidRPr="008C761D" w:rsidRDefault="00812973"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IFMIS pilot</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implementation</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operational</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acceptance</w:t>
            </w:r>
          </w:p>
        </w:tc>
        <w:tc>
          <w:tcPr>
            <w:tcW w:w="1194" w:type="dxa"/>
            <w:gridSpan w:val="3"/>
            <w:tcBorders>
              <w:bottom w:val="single" w:sz="4" w:space="0" w:color="auto"/>
            </w:tcBorders>
            <w:shd w:val="clear" w:color="000000" w:fill="FFFF99"/>
            <w:vAlign w:val="center"/>
            <w:hideMark/>
          </w:tcPr>
          <w:p w14:paraId="6F04A9D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812973"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812973" w:rsidRPr="008C761D">
              <w:rPr>
                <w:rFonts w:ascii="Arial" w:eastAsia="Times New Roman" w:hAnsi="Arial" w:cs="Arial"/>
                <w:sz w:val="12"/>
                <w:szCs w:val="12"/>
                <w:lang w:val="en-US" w:eastAsia="mk-MK"/>
              </w:rPr>
              <w:t>6</w:t>
            </w:r>
          </w:p>
        </w:tc>
        <w:tc>
          <w:tcPr>
            <w:tcW w:w="1418" w:type="dxa"/>
            <w:gridSpan w:val="2"/>
            <w:tcBorders>
              <w:bottom w:val="single" w:sz="4" w:space="0" w:color="auto"/>
            </w:tcBorders>
            <w:shd w:val="clear" w:color="000000" w:fill="FFFF99"/>
            <w:vAlign w:val="center"/>
            <w:hideMark/>
          </w:tcPr>
          <w:p w14:paraId="20F5A4E8" w14:textId="1E44EB27" w:rsidR="00485BAA"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tcBorders>
              <w:bottom w:val="single" w:sz="4" w:space="0" w:color="auto"/>
            </w:tcBorders>
            <w:shd w:val="clear" w:color="000000" w:fill="FFFF99"/>
            <w:vAlign w:val="center"/>
            <w:hideMark/>
          </w:tcPr>
          <w:p w14:paraId="0AC42A7B" w14:textId="17F33EB2" w:rsidR="00485BAA" w:rsidRPr="008C761D" w:rsidRDefault="00404D9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World Bank</w:t>
            </w:r>
            <w:r w:rsidR="00485BAA" w:rsidRPr="008C761D">
              <w:rPr>
                <w:rFonts w:ascii="Arial" w:eastAsia="Times New Roman" w:hAnsi="Arial" w:cs="Arial"/>
                <w:sz w:val="12"/>
                <w:szCs w:val="12"/>
                <w:lang w:val="en-US" w:eastAsia="mk-MK"/>
              </w:rPr>
              <w:t>, EU</w:t>
            </w:r>
          </w:p>
        </w:tc>
        <w:tc>
          <w:tcPr>
            <w:tcW w:w="1758" w:type="dxa"/>
            <w:gridSpan w:val="2"/>
            <w:tcBorders>
              <w:bottom w:val="single" w:sz="4" w:space="0" w:color="auto"/>
            </w:tcBorders>
            <w:shd w:val="clear" w:color="000000" w:fill="FFFF99"/>
            <w:vAlign w:val="center"/>
            <w:hideMark/>
          </w:tcPr>
          <w:p w14:paraId="229E6E20" w14:textId="42A5E4A8"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tcBorders>
              <w:bottom w:val="single" w:sz="4" w:space="0" w:color="auto"/>
            </w:tcBorders>
            <w:shd w:val="clear" w:color="000000" w:fill="FFFF99"/>
            <w:vAlign w:val="center"/>
            <w:hideMark/>
          </w:tcPr>
          <w:p w14:paraId="32F3995E" w14:textId="77777777" w:rsidR="00485BAA" w:rsidRPr="008C761D" w:rsidRDefault="0081297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Loan (including EU contribution)</w:t>
            </w:r>
          </w:p>
        </w:tc>
        <w:tc>
          <w:tcPr>
            <w:tcW w:w="1506" w:type="dxa"/>
            <w:gridSpan w:val="3"/>
            <w:tcBorders>
              <w:bottom w:val="single" w:sz="4" w:space="0" w:color="auto"/>
            </w:tcBorders>
            <w:shd w:val="clear" w:color="000000" w:fill="FFFF99"/>
            <w:vAlign w:val="center"/>
            <w:hideMark/>
          </w:tcPr>
          <w:p w14:paraId="464F7986" w14:textId="0378E46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0343E5" w:rsidRPr="008C761D" w14:paraId="558B8D84" w14:textId="77777777" w:rsidTr="003F623B">
        <w:trPr>
          <w:gridBefore w:val="1"/>
          <w:gridAfter w:val="1"/>
          <w:wBefore w:w="17" w:type="dxa"/>
          <w:wAfter w:w="180" w:type="dxa"/>
          <w:trHeight w:val="314"/>
          <w:jc w:val="center"/>
        </w:trPr>
        <w:tc>
          <w:tcPr>
            <w:tcW w:w="13501" w:type="dxa"/>
            <w:gridSpan w:val="25"/>
            <w:tcBorders>
              <w:top w:val="single" w:sz="4" w:space="0" w:color="auto"/>
              <w:left w:val="single" w:sz="4" w:space="0" w:color="auto"/>
              <w:bottom w:val="single" w:sz="4" w:space="0" w:color="auto"/>
              <w:right w:val="single" w:sz="4" w:space="0" w:color="auto"/>
            </w:tcBorders>
            <w:shd w:val="clear" w:color="auto" w:fill="9BD2ED"/>
            <w:vAlign w:val="center"/>
          </w:tcPr>
          <w:p w14:paraId="01207740" w14:textId="58F8461B" w:rsidR="000343E5" w:rsidRPr="008C761D" w:rsidRDefault="00093E63" w:rsidP="001E2DE5">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Expansion</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MoF ICT infrastructure (in</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line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with</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whole-of-government</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approach) to</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host</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new IFMIS</w:t>
            </w:r>
          </w:p>
        </w:tc>
      </w:tr>
      <w:tr w:rsidR="000343E5" w:rsidRPr="008C761D" w14:paraId="2CCC7B2D" w14:textId="77777777" w:rsidTr="003F623B">
        <w:trPr>
          <w:gridBefore w:val="1"/>
          <w:gridAfter w:val="1"/>
          <w:wBefore w:w="17" w:type="dxa"/>
          <w:wAfter w:w="180" w:type="dxa"/>
          <w:trHeight w:val="305"/>
          <w:jc w:val="center"/>
        </w:trPr>
        <w:tc>
          <w:tcPr>
            <w:tcW w:w="2368" w:type="dxa"/>
            <w:gridSpan w:val="6"/>
            <w:tcBorders>
              <w:top w:val="single" w:sz="4" w:space="0" w:color="auto"/>
              <w:left w:val="nil"/>
              <w:bottom w:val="nil"/>
              <w:right w:val="single" w:sz="8" w:space="0" w:color="000000"/>
            </w:tcBorders>
            <w:vAlign w:val="center"/>
          </w:tcPr>
          <w:p w14:paraId="65C0F4CB" w14:textId="77777777" w:rsidR="000343E5" w:rsidRPr="008C761D" w:rsidRDefault="000343E5" w:rsidP="001E2DE5">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top w:val="single" w:sz="4" w:space="0" w:color="auto"/>
              <w:left w:val="single" w:sz="8" w:space="0" w:color="000000"/>
            </w:tcBorders>
            <w:shd w:val="clear" w:color="auto" w:fill="9BD2ED"/>
            <w:vAlign w:val="center"/>
          </w:tcPr>
          <w:p w14:paraId="367BEE02" w14:textId="07231351"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tcBorders>
              <w:top w:val="single" w:sz="4" w:space="0" w:color="auto"/>
            </w:tcBorders>
            <w:shd w:val="clear" w:color="auto" w:fill="9BD2ED"/>
            <w:vAlign w:val="center"/>
          </w:tcPr>
          <w:p w14:paraId="4B668989" w14:textId="593714CE" w:rsidR="000343E5" w:rsidRPr="008C761D" w:rsidRDefault="00404D96"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 Source</w:t>
            </w:r>
          </w:p>
        </w:tc>
        <w:tc>
          <w:tcPr>
            <w:tcW w:w="1418" w:type="dxa"/>
            <w:gridSpan w:val="2"/>
            <w:tcBorders>
              <w:top w:val="single" w:sz="4" w:space="0" w:color="auto"/>
            </w:tcBorders>
            <w:shd w:val="clear" w:color="auto" w:fill="9BD2ED"/>
            <w:vAlign w:val="center"/>
          </w:tcPr>
          <w:p w14:paraId="37B71932" w14:textId="77777777"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tcBorders>
              <w:top w:val="single" w:sz="4" w:space="0" w:color="auto"/>
            </w:tcBorders>
            <w:shd w:val="clear" w:color="auto" w:fill="9BD2ED"/>
            <w:vAlign w:val="center"/>
          </w:tcPr>
          <w:p w14:paraId="064E777F" w14:textId="77777777"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758" w:type="dxa"/>
            <w:gridSpan w:val="2"/>
            <w:tcBorders>
              <w:top w:val="single" w:sz="4" w:space="0" w:color="auto"/>
            </w:tcBorders>
            <w:shd w:val="clear" w:color="auto" w:fill="9BD2ED"/>
            <w:vAlign w:val="center"/>
          </w:tcPr>
          <w:p w14:paraId="0B4AFEEF" w14:textId="77777777"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42" w:type="dxa"/>
            <w:gridSpan w:val="3"/>
            <w:tcBorders>
              <w:top w:val="single" w:sz="4" w:space="0" w:color="auto"/>
            </w:tcBorders>
            <w:shd w:val="clear" w:color="auto" w:fill="9BD2ED"/>
            <w:vAlign w:val="center"/>
          </w:tcPr>
          <w:p w14:paraId="5722C85A" w14:textId="77777777"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506" w:type="dxa"/>
            <w:gridSpan w:val="3"/>
            <w:tcBorders>
              <w:top w:val="single" w:sz="4" w:space="0" w:color="auto"/>
            </w:tcBorders>
            <w:shd w:val="clear" w:color="auto" w:fill="9BD2ED"/>
            <w:vAlign w:val="center"/>
          </w:tcPr>
          <w:p w14:paraId="6C6D0101" w14:textId="77777777" w:rsidR="000343E5" w:rsidRPr="008C761D" w:rsidRDefault="000343E5" w:rsidP="001E2DE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0343E5" w:rsidRPr="008C761D" w14:paraId="04936B3C" w14:textId="77777777" w:rsidTr="003F623B">
        <w:trPr>
          <w:gridBefore w:val="1"/>
          <w:gridAfter w:val="1"/>
          <w:wBefore w:w="17" w:type="dxa"/>
          <w:wAfter w:w="180" w:type="dxa"/>
          <w:trHeight w:val="898"/>
          <w:jc w:val="center"/>
        </w:trPr>
        <w:tc>
          <w:tcPr>
            <w:tcW w:w="2368" w:type="dxa"/>
            <w:gridSpan w:val="6"/>
            <w:tcBorders>
              <w:top w:val="nil"/>
              <w:left w:val="nil"/>
              <w:bottom w:val="nil"/>
              <w:right w:val="single" w:sz="8" w:space="0" w:color="000000"/>
            </w:tcBorders>
            <w:vAlign w:val="center"/>
          </w:tcPr>
          <w:p w14:paraId="3B9E31E8"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3EED72D7" w14:textId="07631828" w:rsidR="000343E5" w:rsidRPr="008C761D" w:rsidRDefault="00551499"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percentage growth in the hosting capacity of MoF ICT infrastructure to support the implementation of new IFMIS</w:t>
            </w:r>
          </w:p>
        </w:tc>
        <w:tc>
          <w:tcPr>
            <w:tcW w:w="1194" w:type="dxa"/>
            <w:gridSpan w:val="3"/>
            <w:shd w:val="clear" w:color="000000" w:fill="FFFF99"/>
            <w:vAlign w:val="center"/>
          </w:tcPr>
          <w:p w14:paraId="365B689D" w14:textId="77777777"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Project Reports</w:t>
            </w:r>
          </w:p>
        </w:tc>
        <w:tc>
          <w:tcPr>
            <w:tcW w:w="1418" w:type="dxa"/>
            <w:gridSpan w:val="2"/>
            <w:shd w:val="clear" w:color="000000" w:fill="FFFF99"/>
            <w:vAlign w:val="center"/>
          </w:tcPr>
          <w:p w14:paraId="6BC925F3" w14:textId="661C8041" w:rsidR="000343E5" w:rsidRPr="008C761D" w:rsidRDefault="00551499"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current IT IS does not have the functionalities supported by the project</w:t>
            </w:r>
          </w:p>
        </w:tc>
        <w:tc>
          <w:tcPr>
            <w:tcW w:w="1644" w:type="dxa"/>
            <w:gridSpan w:val="3"/>
            <w:shd w:val="clear" w:color="000000" w:fill="FFFF99"/>
            <w:vAlign w:val="center"/>
          </w:tcPr>
          <w:p w14:paraId="1EC1D018" w14:textId="434E3228" w:rsidR="000343E5" w:rsidRPr="008C761D" w:rsidRDefault="00551499"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data warehouse and BI tools developed and linked with the IFMIS.</w:t>
            </w:r>
          </w:p>
        </w:tc>
        <w:tc>
          <w:tcPr>
            <w:tcW w:w="1758" w:type="dxa"/>
            <w:gridSpan w:val="2"/>
            <w:shd w:val="clear" w:color="000000" w:fill="FFFF99"/>
            <w:vAlign w:val="center"/>
          </w:tcPr>
          <w:p w14:paraId="0C58E317" w14:textId="4050A08E" w:rsidR="000343E5"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tcPr>
          <w:p w14:paraId="490CAFF0" w14:textId="702C39C8" w:rsidR="000343E5"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tcPr>
          <w:p w14:paraId="06C66814" w14:textId="459C6398" w:rsidR="000343E5" w:rsidRPr="008C761D" w:rsidRDefault="00551499"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availability of the MDS and DRC</w:t>
            </w:r>
          </w:p>
        </w:tc>
      </w:tr>
      <w:tr w:rsidR="000343E5" w:rsidRPr="008C761D" w14:paraId="6757FFF2" w14:textId="77777777" w:rsidTr="003F623B">
        <w:trPr>
          <w:gridBefore w:val="1"/>
          <w:gridAfter w:val="1"/>
          <w:wBefore w:w="17" w:type="dxa"/>
          <w:wAfter w:w="180" w:type="dxa"/>
          <w:trHeight w:val="286"/>
          <w:jc w:val="center"/>
        </w:trPr>
        <w:tc>
          <w:tcPr>
            <w:tcW w:w="2368" w:type="dxa"/>
            <w:gridSpan w:val="6"/>
            <w:tcBorders>
              <w:top w:val="nil"/>
              <w:left w:val="nil"/>
              <w:bottom w:val="nil"/>
              <w:right w:val="single" w:sz="8" w:space="0" w:color="000000"/>
            </w:tcBorders>
            <w:vAlign w:val="center"/>
          </w:tcPr>
          <w:p w14:paraId="26859778"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auto" w:fill="9BD2ED"/>
            <w:vAlign w:val="center"/>
          </w:tcPr>
          <w:p w14:paraId="6E1092AF" w14:textId="12BDF944"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Activities</w:t>
            </w:r>
          </w:p>
        </w:tc>
        <w:tc>
          <w:tcPr>
            <w:tcW w:w="1194" w:type="dxa"/>
            <w:gridSpan w:val="3"/>
            <w:shd w:val="clear" w:color="auto" w:fill="9BD2ED"/>
            <w:vAlign w:val="center"/>
          </w:tcPr>
          <w:p w14:paraId="0CD83758"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Implementation period</w:t>
            </w:r>
          </w:p>
        </w:tc>
        <w:tc>
          <w:tcPr>
            <w:tcW w:w="1418" w:type="dxa"/>
            <w:gridSpan w:val="2"/>
            <w:shd w:val="clear" w:color="auto" w:fill="9BD2ED"/>
            <w:vAlign w:val="center"/>
          </w:tcPr>
          <w:p w14:paraId="5DCFD082"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Responsible institution</w:t>
            </w:r>
          </w:p>
        </w:tc>
        <w:tc>
          <w:tcPr>
            <w:tcW w:w="1644" w:type="dxa"/>
            <w:gridSpan w:val="3"/>
            <w:shd w:val="clear" w:color="auto" w:fill="9BD2ED"/>
            <w:vAlign w:val="center"/>
          </w:tcPr>
          <w:p w14:paraId="087EE525"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Other partners</w:t>
            </w:r>
          </w:p>
        </w:tc>
        <w:tc>
          <w:tcPr>
            <w:tcW w:w="1758" w:type="dxa"/>
            <w:gridSpan w:val="2"/>
            <w:shd w:val="clear" w:color="auto" w:fill="9BD2ED"/>
            <w:vAlign w:val="center"/>
          </w:tcPr>
          <w:p w14:paraId="07296EB9"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Costs</w:t>
            </w:r>
          </w:p>
        </w:tc>
        <w:tc>
          <w:tcPr>
            <w:tcW w:w="1842" w:type="dxa"/>
            <w:gridSpan w:val="3"/>
            <w:shd w:val="clear" w:color="auto" w:fill="9BD2ED"/>
            <w:vAlign w:val="center"/>
          </w:tcPr>
          <w:p w14:paraId="5B895E1C"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Source of financing</w:t>
            </w:r>
          </w:p>
        </w:tc>
        <w:tc>
          <w:tcPr>
            <w:tcW w:w="1506" w:type="dxa"/>
            <w:gridSpan w:val="3"/>
            <w:shd w:val="clear" w:color="auto" w:fill="9BD2ED"/>
            <w:vAlign w:val="center"/>
          </w:tcPr>
          <w:p w14:paraId="3FEC4D23" w14:textId="77777777" w:rsidR="000343E5" w:rsidRPr="00404D96" w:rsidRDefault="000343E5" w:rsidP="001E2DE5">
            <w:pPr>
              <w:spacing w:after="0" w:line="240" w:lineRule="auto"/>
              <w:rPr>
                <w:rFonts w:ascii="Arial" w:eastAsia="Times New Roman" w:hAnsi="Arial" w:cs="Arial"/>
                <w:sz w:val="12"/>
                <w:szCs w:val="12"/>
                <w:lang w:val="en-US" w:eastAsia="mk-MK"/>
              </w:rPr>
            </w:pPr>
          </w:p>
        </w:tc>
      </w:tr>
      <w:tr w:rsidR="000343E5" w:rsidRPr="008C761D" w14:paraId="0D60834B" w14:textId="77777777" w:rsidTr="003F623B">
        <w:trPr>
          <w:gridBefore w:val="1"/>
          <w:gridAfter w:val="1"/>
          <w:wBefore w:w="17" w:type="dxa"/>
          <w:wAfter w:w="180" w:type="dxa"/>
          <w:trHeight w:val="613"/>
          <w:jc w:val="center"/>
        </w:trPr>
        <w:tc>
          <w:tcPr>
            <w:tcW w:w="2368" w:type="dxa"/>
            <w:gridSpan w:val="6"/>
            <w:tcBorders>
              <w:top w:val="nil"/>
              <w:left w:val="nil"/>
              <w:bottom w:val="nil"/>
              <w:right w:val="single" w:sz="8" w:space="0" w:color="000000"/>
            </w:tcBorders>
            <w:vAlign w:val="center"/>
          </w:tcPr>
          <w:p w14:paraId="3602C4A6"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233EF710" w14:textId="11B6E73B"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Enhancement</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existing</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data</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centers</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network</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connectivity</w:t>
            </w:r>
          </w:p>
        </w:tc>
        <w:tc>
          <w:tcPr>
            <w:tcW w:w="1194" w:type="dxa"/>
            <w:gridSpan w:val="3"/>
            <w:shd w:val="clear" w:color="000000" w:fill="FFFF99"/>
            <w:vAlign w:val="center"/>
          </w:tcPr>
          <w:p w14:paraId="4198E3B9" w14:textId="77777777"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216511EA" w14:textId="54FDF475" w:rsidR="000343E5" w:rsidRPr="008C761D" w:rsidRDefault="00F90378"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shd w:val="clear" w:color="000000" w:fill="FFFF99"/>
            <w:vAlign w:val="center"/>
          </w:tcPr>
          <w:p w14:paraId="3D6D1274" w14:textId="30D16C78"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World</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Bank, EU</w:t>
            </w:r>
          </w:p>
        </w:tc>
        <w:tc>
          <w:tcPr>
            <w:tcW w:w="1758" w:type="dxa"/>
            <w:gridSpan w:val="2"/>
            <w:shd w:val="clear" w:color="000000" w:fill="FFFF99"/>
            <w:vAlign w:val="center"/>
          </w:tcPr>
          <w:p w14:paraId="1C69BAD1" w14:textId="77777777" w:rsidR="000343E5" w:rsidRPr="008C761D" w:rsidRDefault="00A47379"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w:t>
            </w:r>
          </w:p>
        </w:tc>
        <w:tc>
          <w:tcPr>
            <w:tcW w:w="1842" w:type="dxa"/>
            <w:gridSpan w:val="3"/>
            <w:shd w:val="clear" w:color="000000" w:fill="FFFF99"/>
            <w:vAlign w:val="center"/>
          </w:tcPr>
          <w:p w14:paraId="1F30B321" w14:textId="77777777"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Loan (including EU contribution)</w:t>
            </w:r>
          </w:p>
        </w:tc>
        <w:tc>
          <w:tcPr>
            <w:tcW w:w="1506" w:type="dxa"/>
            <w:gridSpan w:val="3"/>
            <w:shd w:val="clear" w:color="000000" w:fill="FFFF99"/>
            <w:vAlign w:val="center"/>
          </w:tcPr>
          <w:p w14:paraId="2A54AC3E" w14:textId="0DB8BEB5" w:rsidR="000343E5" w:rsidRPr="008C761D" w:rsidRDefault="000343E5" w:rsidP="00407B01">
            <w:pPr>
              <w:spacing w:after="0" w:line="240" w:lineRule="auto"/>
              <w:jc w:val="center"/>
              <w:rPr>
                <w:rFonts w:ascii="Arial" w:eastAsia="Times New Roman" w:hAnsi="Arial" w:cs="Arial"/>
                <w:sz w:val="12"/>
                <w:szCs w:val="12"/>
                <w:lang w:val="en-US" w:eastAsia="mk-MK"/>
              </w:rPr>
            </w:pPr>
          </w:p>
        </w:tc>
      </w:tr>
      <w:tr w:rsidR="000343E5" w:rsidRPr="008C761D" w14:paraId="52EBECAA" w14:textId="77777777" w:rsidTr="003F623B">
        <w:trPr>
          <w:gridBefore w:val="1"/>
          <w:gridAfter w:val="1"/>
          <w:wBefore w:w="17" w:type="dxa"/>
          <w:wAfter w:w="180" w:type="dxa"/>
          <w:trHeight w:val="682"/>
          <w:jc w:val="center"/>
        </w:trPr>
        <w:tc>
          <w:tcPr>
            <w:tcW w:w="2368" w:type="dxa"/>
            <w:gridSpan w:val="6"/>
            <w:tcBorders>
              <w:top w:val="nil"/>
              <w:left w:val="nil"/>
              <w:bottom w:val="single" w:sz="4" w:space="0" w:color="auto"/>
              <w:right w:val="single" w:sz="8" w:space="0" w:color="000000"/>
            </w:tcBorders>
            <w:vAlign w:val="center"/>
          </w:tcPr>
          <w:p w14:paraId="4A9993A3"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4" w:space="0" w:color="auto"/>
            </w:tcBorders>
            <w:shd w:val="clear" w:color="000000" w:fill="FFFF99"/>
            <w:vAlign w:val="center"/>
          </w:tcPr>
          <w:p w14:paraId="00C1A152" w14:textId="7D3798BD"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Establishment</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secure</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backup</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network</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connections</w:t>
            </w:r>
          </w:p>
        </w:tc>
        <w:tc>
          <w:tcPr>
            <w:tcW w:w="1194" w:type="dxa"/>
            <w:gridSpan w:val="3"/>
            <w:tcBorders>
              <w:bottom w:val="single" w:sz="4" w:space="0" w:color="auto"/>
            </w:tcBorders>
            <w:shd w:val="clear" w:color="000000" w:fill="FFFF99"/>
            <w:vAlign w:val="center"/>
          </w:tcPr>
          <w:p w14:paraId="1F5676BF" w14:textId="77777777"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tcBorders>
              <w:bottom w:val="single" w:sz="4" w:space="0" w:color="auto"/>
            </w:tcBorders>
            <w:shd w:val="clear" w:color="000000" w:fill="FFFF99"/>
            <w:vAlign w:val="center"/>
          </w:tcPr>
          <w:p w14:paraId="53163A74" w14:textId="2D981CAC" w:rsidR="000343E5" w:rsidRPr="008C761D" w:rsidRDefault="00F90378"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tcBorders>
              <w:bottom w:val="single" w:sz="4" w:space="0" w:color="auto"/>
            </w:tcBorders>
            <w:shd w:val="clear" w:color="000000" w:fill="FFFF99"/>
            <w:vAlign w:val="center"/>
          </w:tcPr>
          <w:p w14:paraId="16CD5AE8" w14:textId="58EB7B93"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World</w:t>
            </w:r>
            <w:r w:rsidR="00551499"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Bank, EU</w:t>
            </w:r>
          </w:p>
        </w:tc>
        <w:tc>
          <w:tcPr>
            <w:tcW w:w="1758" w:type="dxa"/>
            <w:gridSpan w:val="2"/>
            <w:tcBorders>
              <w:bottom w:val="single" w:sz="4" w:space="0" w:color="auto"/>
            </w:tcBorders>
            <w:shd w:val="clear" w:color="000000" w:fill="FFFF99"/>
            <w:vAlign w:val="center"/>
          </w:tcPr>
          <w:p w14:paraId="5F254182" w14:textId="77777777" w:rsidR="000343E5" w:rsidRPr="008C761D" w:rsidRDefault="00A47379" w:rsidP="00404D9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w:t>
            </w:r>
          </w:p>
        </w:tc>
        <w:tc>
          <w:tcPr>
            <w:tcW w:w="1842" w:type="dxa"/>
            <w:gridSpan w:val="3"/>
            <w:tcBorders>
              <w:bottom w:val="single" w:sz="4" w:space="0" w:color="auto"/>
            </w:tcBorders>
            <w:shd w:val="clear" w:color="000000" w:fill="FFFF99"/>
            <w:vAlign w:val="center"/>
          </w:tcPr>
          <w:p w14:paraId="334F0027" w14:textId="77777777" w:rsidR="000343E5" w:rsidRPr="008C761D" w:rsidRDefault="00093E63"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WB Loan (including EU contribution)</w:t>
            </w:r>
          </w:p>
        </w:tc>
        <w:tc>
          <w:tcPr>
            <w:tcW w:w="1506" w:type="dxa"/>
            <w:gridSpan w:val="3"/>
            <w:tcBorders>
              <w:bottom w:val="single" w:sz="4" w:space="0" w:color="auto"/>
            </w:tcBorders>
            <w:shd w:val="clear" w:color="000000" w:fill="FFFF99"/>
            <w:vAlign w:val="center"/>
          </w:tcPr>
          <w:p w14:paraId="78C5AF88" w14:textId="6096A159" w:rsidR="000343E5" w:rsidRPr="008C761D" w:rsidRDefault="000343E5" w:rsidP="00407B01">
            <w:pPr>
              <w:spacing w:after="0" w:line="240" w:lineRule="auto"/>
              <w:jc w:val="center"/>
              <w:rPr>
                <w:rFonts w:ascii="Arial" w:eastAsia="Times New Roman" w:hAnsi="Arial" w:cs="Arial"/>
                <w:sz w:val="12"/>
                <w:szCs w:val="12"/>
                <w:lang w:val="en-US" w:eastAsia="mk-MK"/>
              </w:rPr>
            </w:pPr>
          </w:p>
        </w:tc>
      </w:tr>
      <w:tr w:rsidR="000343E5" w:rsidRPr="008C761D" w14:paraId="07EDCED3" w14:textId="77777777" w:rsidTr="0074198F">
        <w:trPr>
          <w:gridBefore w:val="1"/>
          <w:gridAfter w:val="1"/>
          <w:wBefore w:w="17" w:type="dxa"/>
          <w:wAfter w:w="180" w:type="dxa"/>
          <w:trHeight w:val="215"/>
          <w:jc w:val="center"/>
        </w:trPr>
        <w:tc>
          <w:tcPr>
            <w:tcW w:w="13501" w:type="dxa"/>
            <w:gridSpan w:val="25"/>
            <w:tcBorders>
              <w:top w:val="single" w:sz="4" w:space="0" w:color="auto"/>
              <w:left w:val="single" w:sz="4" w:space="0" w:color="auto"/>
              <w:bottom w:val="single" w:sz="4" w:space="0" w:color="auto"/>
              <w:right w:val="single" w:sz="4" w:space="0" w:color="auto"/>
            </w:tcBorders>
            <w:shd w:val="clear" w:color="auto" w:fill="9BD2ED"/>
          </w:tcPr>
          <w:p w14:paraId="3FE32421" w14:textId="497C0907" w:rsidR="000343E5" w:rsidRPr="008C761D" w:rsidRDefault="00093E63" w:rsidP="001E2DE5">
            <w:pPr>
              <w:rPr>
                <w:lang w:val="en-US"/>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Capacity</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strengthening</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training</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change</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management</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to</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support OBL reforms</w:t>
            </w:r>
            <w:r w:rsidR="00551499"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 IFMIS operations</w:t>
            </w:r>
          </w:p>
        </w:tc>
      </w:tr>
      <w:tr w:rsidR="00C81AD2" w:rsidRPr="008C761D" w14:paraId="2F602F46" w14:textId="77777777" w:rsidTr="003F623B">
        <w:trPr>
          <w:gridBefore w:val="1"/>
          <w:gridAfter w:val="1"/>
          <w:wBefore w:w="17" w:type="dxa"/>
          <w:wAfter w:w="180" w:type="dxa"/>
          <w:trHeight w:val="305"/>
          <w:jc w:val="center"/>
        </w:trPr>
        <w:tc>
          <w:tcPr>
            <w:tcW w:w="2368" w:type="dxa"/>
            <w:gridSpan w:val="6"/>
            <w:tcBorders>
              <w:top w:val="single" w:sz="4" w:space="0" w:color="auto"/>
              <w:left w:val="nil"/>
              <w:bottom w:val="nil"/>
              <w:right w:val="single" w:sz="8" w:space="0" w:color="000000"/>
            </w:tcBorders>
            <w:vAlign w:val="center"/>
          </w:tcPr>
          <w:p w14:paraId="4924170B" w14:textId="77777777" w:rsidR="00C81AD2" w:rsidRPr="008C761D" w:rsidRDefault="00C81AD2" w:rsidP="001E2DE5">
            <w:pPr>
              <w:spacing w:after="0" w:line="240" w:lineRule="auto"/>
              <w:rPr>
                <w:rFonts w:ascii="Arial" w:eastAsia="Times New Roman" w:hAnsi="Arial" w:cs="Arial"/>
                <w:sz w:val="12"/>
                <w:szCs w:val="12"/>
                <w:lang w:val="en-US" w:eastAsia="mk-MK"/>
              </w:rPr>
            </w:pPr>
          </w:p>
        </w:tc>
        <w:tc>
          <w:tcPr>
            <w:tcW w:w="1689" w:type="dxa"/>
            <w:gridSpan w:val="2"/>
            <w:tcBorders>
              <w:top w:val="single" w:sz="4" w:space="0" w:color="auto"/>
              <w:left w:val="single" w:sz="8" w:space="0" w:color="000000"/>
            </w:tcBorders>
            <w:shd w:val="clear" w:color="auto" w:fill="9BD2ED"/>
            <w:vAlign w:val="center"/>
          </w:tcPr>
          <w:p w14:paraId="0894E926"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PerformanceIndicator</w:t>
            </w:r>
          </w:p>
        </w:tc>
        <w:tc>
          <w:tcPr>
            <w:tcW w:w="1276" w:type="dxa"/>
            <w:gridSpan w:val="4"/>
            <w:tcBorders>
              <w:top w:val="single" w:sz="4" w:space="0" w:color="auto"/>
            </w:tcBorders>
            <w:shd w:val="clear" w:color="auto" w:fill="9BD2ED"/>
            <w:vAlign w:val="center"/>
          </w:tcPr>
          <w:p w14:paraId="53C11CB6"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DataSource</w:t>
            </w:r>
          </w:p>
        </w:tc>
        <w:tc>
          <w:tcPr>
            <w:tcW w:w="1418" w:type="dxa"/>
            <w:gridSpan w:val="2"/>
            <w:tcBorders>
              <w:top w:val="single" w:sz="4" w:space="0" w:color="auto"/>
            </w:tcBorders>
            <w:shd w:val="clear" w:color="auto" w:fill="9BD2ED"/>
            <w:vAlign w:val="center"/>
          </w:tcPr>
          <w:p w14:paraId="32775E04"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Baseline FY22</w:t>
            </w:r>
          </w:p>
        </w:tc>
        <w:tc>
          <w:tcPr>
            <w:tcW w:w="1644" w:type="dxa"/>
            <w:gridSpan w:val="3"/>
            <w:tcBorders>
              <w:top w:val="single" w:sz="4" w:space="0" w:color="auto"/>
            </w:tcBorders>
            <w:shd w:val="clear" w:color="auto" w:fill="9BD2ED"/>
            <w:vAlign w:val="center"/>
          </w:tcPr>
          <w:p w14:paraId="285E8883"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Target FY24</w:t>
            </w:r>
          </w:p>
        </w:tc>
        <w:tc>
          <w:tcPr>
            <w:tcW w:w="1758" w:type="dxa"/>
            <w:gridSpan w:val="2"/>
            <w:tcBorders>
              <w:top w:val="single" w:sz="4" w:space="0" w:color="auto"/>
            </w:tcBorders>
            <w:shd w:val="clear" w:color="auto" w:fill="9BD2ED"/>
            <w:vAlign w:val="center"/>
          </w:tcPr>
          <w:p w14:paraId="4DA7C0E3"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Target FY25</w:t>
            </w:r>
          </w:p>
        </w:tc>
        <w:tc>
          <w:tcPr>
            <w:tcW w:w="1842" w:type="dxa"/>
            <w:gridSpan w:val="3"/>
            <w:tcBorders>
              <w:top w:val="single" w:sz="4" w:space="0" w:color="auto"/>
            </w:tcBorders>
            <w:shd w:val="clear" w:color="auto" w:fill="9BD2ED"/>
            <w:vAlign w:val="center"/>
          </w:tcPr>
          <w:p w14:paraId="379FA041"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Target FY26</w:t>
            </w:r>
          </w:p>
        </w:tc>
        <w:tc>
          <w:tcPr>
            <w:tcW w:w="1506" w:type="dxa"/>
            <w:gridSpan w:val="3"/>
            <w:tcBorders>
              <w:top w:val="single" w:sz="4" w:space="0" w:color="auto"/>
            </w:tcBorders>
            <w:shd w:val="clear" w:color="auto" w:fill="9BD2ED"/>
            <w:vAlign w:val="center"/>
          </w:tcPr>
          <w:p w14:paraId="01D3A4A6" w14:textId="77777777" w:rsidR="00C81AD2" w:rsidRPr="00404D96" w:rsidRDefault="00C81AD2" w:rsidP="001E2DE5">
            <w:pPr>
              <w:spacing w:after="0" w:line="240" w:lineRule="auto"/>
              <w:jc w:val="center"/>
              <w:rPr>
                <w:rFonts w:ascii="Arial" w:eastAsia="Times New Roman" w:hAnsi="Arial" w:cs="Arial"/>
                <w:b/>
                <w:bCs/>
                <w:sz w:val="12"/>
                <w:szCs w:val="12"/>
                <w:lang w:val="en-US" w:eastAsia="mk-MK"/>
              </w:rPr>
            </w:pPr>
            <w:r w:rsidRPr="00404D96">
              <w:rPr>
                <w:rFonts w:ascii="Arial" w:eastAsia="Times New Roman" w:hAnsi="Arial" w:cs="Arial"/>
                <w:b/>
                <w:bCs/>
                <w:sz w:val="12"/>
                <w:szCs w:val="12"/>
                <w:lang w:val="en-US" w:eastAsia="mk-MK"/>
              </w:rPr>
              <w:t>Target FY27</w:t>
            </w:r>
          </w:p>
        </w:tc>
      </w:tr>
      <w:tr w:rsidR="000343E5" w:rsidRPr="008C761D" w14:paraId="043D108C" w14:textId="77777777" w:rsidTr="003F623B">
        <w:trPr>
          <w:gridBefore w:val="1"/>
          <w:gridAfter w:val="1"/>
          <w:wBefore w:w="17" w:type="dxa"/>
          <w:wAfter w:w="180" w:type="dxa"/>
          <w:trHeight w:val="898"/>
          <w:jc w:val="center"/>
        </w:trPr>
        <w:tc>
          <w:tcPr>
            <w:tcW w:w="2368" w:type="dxa"/>
            <w:gridSpan w:val="6"/>
            <w:tcBorders>
              <w:top w:val="nil"/>
              <w:left w:val="nil"/>
              <w:bottom w:val="nil"/>
              <w:right w:val="single" w:sz="8" w:space="0" w:color="000000"/>
            </w:tcBorders>
            <w:vAlign w:val="center"/>
          </w:tcPr>
          <w:p w14:paraId="18026867"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689" w:type="dxa"/>
            <w:gridSpan w:val="2"/>
            <w:tcBorders>
              <w:left w:val="single" w:sz="8" w:space="0" w:color="000000"/>
            </w:tcBorders>
            <w:shd w:val="clear" w:color="000000" w:fill="FFFF99"/>
            <w:vAlign w:val="center"/>
          </w:tcPr>
          <w:p w14:paraId="2F6BE4FA" w14:textId="259EE8AD" w:rsidR="000343E5" w:rsidRPr="00404D96" w:rsidRDefault="00551499"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Improvement in user proficiency with the IFMIS following the capacity-strengthening training and change management initiatives</w:t>
            </w:r>
          </w:p>
        </w:tc>
        <w:tc>
          <w:tcPr>
            <w:tcW w:w="1276" w:type="dxa"/>
            <w:gridSpan w:val="4"/>
            <w:shd w:val="clear" w:color="000000" w:fill="FFFF99"/>
            <w:vAlign w:val="center"/>
          </w:tcPr>
          <w:p w14:paraId="593C0F14" w14:textId="77777777"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Project Reports</w:t>
            </w:r>
          </w:p>
        </w:tc>
        <w:tc>
          <w:tcPr>
            <w:tcW w:w="1418" w:type="dxa"/>
            <w:gridSpan w:val="2"/>
            <w:shd w:val="clear" w:color="000000" w:fill="FFFF99"/>
            <w:vAlign w:val="center"/>
          </w:tcPr>
          <w:p w14:paraId="701B5E4F" w14:textId="30DBE3C4" w:rsidR="000343E5" w:rsidRPr="00404D96" w:rsidRDefault="00551499"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No user proficiency with the IFMIS</w:t>
            </w:r>
          </w:p>
        </w:tc>
        <w:tc>
          <w:tcPr>
            <w:tcW w:w="1644" w:type="dxa"/>
            <w:gridSpan w:val="3"/>
            <w:shd w:val="clear" w:color="000000" w:fill="FFFF99"/>
            <w:vAlign w:val="center"/>
          </w:tcPr>
          <w:p w14:paraId="64FDFA0D" w14:textId="77777777" w:rsidR="000343E5" w:rsidRPr="00404D96" w:rsidRDefault="000343E5" w:rsidP="001E2DE5">
            <w:pPr>
              <w:spacing w:after="0" w:line="240" w:lineRule="auto"/>
              <w:rPr>
                <w:rFonts w:ascii="Arial" w:eastAsia="Times New Roman" w:hAnsi="Arial" w:cs="Arial"/>
                <w:sz w:val="12"/>
                <w:szCs w:val="12"/>
                <w:lang w:val="en-US" w:eastAsia="mk-MK"/>
              </w:rPr>
            </w:pPr>
          </w:p>
        </w:tc>
        <w:tc>
          <w:tcPr>
            <w:tcW w:w="1758" w:type="dxa"/>
            <w:gridSpan w:val="2"/>
            <w:shd w:val="clear" w:color="000000" w:fill="FFFF99"/>
            <w:vAlign w:val="center"/>
          </w:tcPr>
          <w:p w14:paraId="7E6EC093" w14:textId="38406D67" w:rsidR="000343E5" w:rsidRPr="00404D96" w:rsidRDefault="00551499"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Assessment of user proficiency with the IFMIS and initiate capacity-strengthening training programs and change management initiatives</w:t>
            </w:r>
          </w:p>
        </w:tc>
        <w:tc>
          <w:tcPr>
            <w:tcW w:w="1842" w:type="dxa"/>
            <w:gridSpan w:val="3"/>
            <w:shd w:val="clear" w:color="000000" w:fill="FFFF99"/>
            <w:vAlign w:val="center"/>
          </w:tcPr>
          <w:p w14:paraId="79DED144" w14:textId="0436BBE8"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Training</w:t>
            </w:r>
            <w:r w:rsidR="00551499"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and</w:t>
            </w:r>
            <w:r w:rsidR="00551499"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Skill</w:t>
            </w:r>
            <w:r w:rsidR="00551499"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Development</w:t>
            </w:r>
          </w:p>
        </w:tc>
        <w:tc>
          <w:tcPr>
            <w:tcW w:w="1506" w:type="dxa"/>
            <w:gridSpan w:val="3"/>
            <w:shd w:val="clear" w:color="000000" w:fill="FFFF99"/>
            <w:vAlign w:val="center"/>
          </w:tcPr>
          <w:p w14:paraId="740F264B" w14:textId="3123B8FD"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Consolidation</w:t>
            </w:r>
            <w:r w:rsidR="00551499"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and</w:t>
            </w:r>
            <w:r w:rsidR="00551499"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Continuous</w:t>
            </w:r>
            <w:r w:rsidR="00246335" w:rsidRPr="00404D96">
              <w:rPr>
                <w:rFonts w:ascii="Arial" w:eastAsia="Times New Roman" w:hAnsi="Arial" w:cs="Arial"/>
                <w:sz w:val="12"/>
                <w:szCs w:val="12"/>
                <w:lang w:val="en-US" w:eastAsia="mk-MK"/>
              </w:rPr>
              <w:t xml:space="preserve"> </w:t>
            </w:r>
            <w:r w:rsidRPr="00404D96">
              <w:rPr>
                <w:rFonts w:ascii="Arial" w:eastAsia="Times New Roman" w:hAnsi="Arial" w:cs="Arial"/>
                <w:sz w:val="12"/>
                <w:szCs w:val="12"/>
                <w:lang w:val="en-US" w:eastAsia="mk-MK"/>
              </w:rPr>
              <w:t>Improvement</w:t>
            </w:r>
          </w:p>
        </w:tc>
      </w:tr>
      <w:tr w:rsidR="000343E5" w:rsidRPr="008C761D" w14:paraId="4CA969F4" w14:textId="77777777" w:rsidTr="003F623B">
        <w:trPr>
          <w:gridBefore w:val="1"/>
          <w:gridAfter w:val="1"/>
          <w:wBefore w:w="17" w:type="dxa"/>
          <w:wAfter w:w="180" w:type="dxa"/>
          <w:trHeight w:val="232"/>
          <w:jc w:val="center"/>
        </w:trPr>
        <w:tc>
          <w:tcPr>
            <w:tcW w:w="2368" w:type="dxa"/>
            <w:gridSpan w:val="6"/>
            <w:tcBorders>
              <w:top w:val="nil"/>
              <w:left w:val="nil"/>
              <w:bottom w:val="nil"/>
              <w:right w:val="single" w:sz="8" w:space="0" w:color="000000"/>
            </w:tcBorders>
            <w:vAlign w:val="center"/>
          </w:tcPr>
          <w:p w14:paraId="35B083BB"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689" w:type="dxa"/>
            <w:gridSpan w:val="2"/>
            <w:tcBorders>
              <w:left w:val="single" w:sz="8" w:space="0" w:color="000000"/>
            </w:tcBorders>
            <w:shd w:val="clear" w:color="auto" w:fill="9BD2ED"/>
            <w:vAlign w:val="center"/>
          </w:tcPr>
          <w:p w14:paraId="4FBA719A" w14:textId="6DC8B1CF"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Activities</w:t>
            </w:r>
          </w:p>
        </w:tc>
        <w:tc>
          <w:tcPr>
            <w:tcW w:w="1276" w:type="dxa"/>
            <w:gridSpan w:val="4"/>
            <w:shd w:val="clear" w:color="auto" w:fill="9BD2ED"/>
            <w:vAlign w:val="center"/>
          </w:tcPr>
          <w:p w14:paraId="3EA50487"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Implementation period</w:t>
            </w:r>
          </w:p>
        </w:tc>
        <w:tc>
          <w:tcPr>
            <w:tcW w:w="1418" w:type="dxa"/>
            <w:gridSpan w:val="2"/>
            <w:shd w:val="clear" w:color="auto" w:fill="9BD2ED"/>
            <w:vAlign w:val="center"/>
          </w:tcPr>
          <w:p w14:paraId="5BAB71E1"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Responsible institution</w:t>
            </w:r>
          </w:p>
        </w:tc>
        <w:tc>
          <w:tcPr>
            <w:tcW w:w="1644" w:type="dxa"/>
            <w:gridSpan w:val="3"/>
            <w:shd w:val="clear" w:color="auto" w:fill="9BD2ED"/>
            <w:vAlign w:val="center"/>
          </w:tcPr>
          <w:p w14:paraId="5B3C9F7A"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Other partners</w:t>
            </w:r>
          </w:p>
        </w:tc>
        <w:tc>
          <w:tcPr>
            <w:tcW w:w="1758" w:type="dxa"/>
            <w:gridSpan w:val="2"/>
            <w:shd w:val="clear" w:color="auto" w:fill="9BD2ED"/>
            <w:vAlign w:val="center"/>
          </w:tcPr>
          <w:p w14:paraId="3FBEE3E3"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Costs</w:t>
            </w:r>
          </w:p>
        </w:tc>
        <w:tc>
          <w:tcPr>
            <w:tcW w:w="1842" w:type="dxa"/>
            <w:gridSpan w:val="3"/>
            <w:shd w:val="clear" w:color="auto" w:fill="9BD2ED"/>
            <w:vAlign w:val="center"/>
          </w:tcPr>
          <w:p w14:paraId="193949C5" w14:textId="77777777" w:rsidR="000343E5" w:rsidRPr="00404D96" w:rsidRDefault="00093E63" w:rsidP="00093E63">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b/>
                <w:bCs/>
                <w:sz w:val="12"/>
                <w:szCs w:val="12"/>
                <w:lang w:val="en-US" w:eastAsia="mk-MK"/>
              </w:rPr>
              <w:t>Source of financing</w:t>
            </w:r>
          </w:p>
        </w:tc>
        <w:tc>
          <w:tcPr>
            <w:tcW w:w="1506" w:type="dxa"/>
            <w:gridSpan w:val="3"/>
            <w:shd w:val="clear" w:color="auto" w:fill="9BD2ED"/>
            <w:vAlign w:val="center"/>
          </w:tcPr>
          <w:p w14:paraId="45CFB6ED" w14:textId="77777777" w:rsidR="000343E5" w:rsidRPr="00404D96" w:rsidRDefault="000343E5" w:rsidP="00093E63">
            <w:pPr>
              <w:spacing w:after="0" w:line="240" w:lineRule="auto"/>
              <w:jc w:val="center"/>
              <w:rPr>
                <w:rFonts w:ascii="Arial" w:eastAsia="Times New Roman" w:hAnsi="Arial" w:cs="Arial"/>
                <w:sz w:val="12"/>
                <w:szCs w:val="12"/>
                <w:lang w:val="en-US" w:eastAsia="mk-MK"/>
              </w:rPr>
            </w:pPr>
          </w:p>
        </w:tc>
      </w:tr>
      <w:tr w:rsidR="000343E5" w:rsidRPr="008C761D" w14:paraId="57B6A6D7" w14:textId="77777777" w:rsidTr="003F623B">
        <w:trPr>
          <w:gridBefore w:val="1"/>
          <w:gridAfter w:val="1"/>
          <w:wBefore w:w="17" w:type="dxa"/>
          <w:wAfter w:w="180" w:type="dxa"/>
          <w:trHeight w:val="607"/>
          <w:jc w:val="center"/>
        </w:trPr>
        <w:tc>
          <w:tcPr>
            <w:tcW w:w="2368" w:type="dxa"/>
            <w:gridSpan w:val="6"/>
            <w:tcBorders>
              <w:top w:val="nil"/>
              <w:left w:val="nil"/>
              <w:bottom w:val="nil"/>
              <w:right w:val="single" w:sz="8" w:space="0" w:color="000000"/>
            </w:tcBorders>
            <w:vAlign w:val="center"/>
          </w:tcPr>
          <w:p w14:paraId="1A5296E6"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689" w:type="dxa"/>
            <w:gridSpan w:val="2"/>
            <w:tcBorders>
              <w:left w:val="single" w:sz="8" w:space="0" w:color="000000"/>
            </w:tcBorders>
            <w:shd w:val="clear" w:color="000000" w:fill="FFFF99"/>
            <w:vAlign w:val="center"/>
          </w:tcPr>
          <w:p w14:paraId="6D73C68D" w14:textId="77777777"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 xml:space="preserve">1. </w:t>
            </w:r>
            <w:r w:rsidRPr="00404D96">
              <w:rPr>
                <w:rFonts w:ascii="Arial" w:hAnsi="Arial" w:cs="Arial"/>
                <w:sz w:val="12"/>
                <w:szCs w:val="12"/>
                <w:lang w:val="en-US"/>
              </w:rPr>
              <w:t>Transition from existing MoF Systems to IFMIS</w:t>
            </w:r>
          </w:p>
        </w:tc>
        <w:tc>
          <w:tcPr>
            <w:tcW w:w="1276" w:type="dxa"/>
            <w:gridSpan w:val="4"/>
            <w:shd w:val="clear" w:color="000000" w:fill="FFFF99"/>
            <w:vAlign w:val="center"/>
          </w:tcPr>
          <w:p w14:paraId="0D94F6A1" w14:textId="77777777"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2025-2027</w:t>
            </w:r>
          </w:p>
        </w:tc>
        <w:tc>
          <w:tcPr>
            <w:tcW w:w="1418" w:type="dxa"/>
            <w:gridSpan w:val="2"/>
            <w:shd w:val="clear" w:color="000000" w:fill="FFFF99"/>
            <w:vAlign w:val="center"/>
          </w:tcPr>
          <w:p w14:paraId="26C62514" w14:textId="3F90C91A" w:rsidR="000343E5" w:rsidRPr="00404D96" w:rsidRDefault="00F90378"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shd w:val="clear" w:color="000000" w:fill="FFFF99"/>
            <w:vAlign w:val="center"/>
          </w:tcPr>
          <w:p w14:paraId="1A8938A6" w14:textId="77777777" w:rsidR="000343E5" w:rsidRPr="00404D96" w:rsidRDefault="00093E63"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World Bank, EU</w:t>
            </w:r>
          </w:p>
        </w:tc>
        <w:tc>
          <w:tcPr>
            <w:tcW w:w="1758" w:type="dxa"/>
            <w:gridSpan w:val="2"/>
            <w:shd w:val="clear" w:color="000000" w:fill="FFFF99"/>
            <w:vAlign w:val="center"/>
          </w:tcPr>
          <w:p w14:paraId="1D4EFD9E" w14:textId="77777777" w:rsidR="003C20E4" w:rsidRPr="00404D96" w:rsidRDefault="00A47379" w:rsidP="00CE2DF4">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N/A</w:t>
            </w:r>
          </w:p>
        </w:tc>
        <w:tc>
          <w:tcPr>
            <w:tcW w:w="1842" w:type="dxa"/>
            <w:gridSpan w:val="3"/>
            <w:shd w:val="clear" w:color="000000" w:fill="FFFF99"/>
            <w:vAlign w:val="center"/>
          </w:tcPr>
          <w:p w14:paraId="7A644A8C" w14:textId="77777777" w:rsidR="000343E5"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WB loan (including EU contribution)</w:t>
            </w:r>
          </w:p>
        </w:tc>
        <w:tc>
          <w:tcPr>
            <w:tcW w:w="1506" w:type="dxa"/>
            <w:gridSpan w:val="3"/>
            <w:shd w:val="clear" w:color="000000" w:fill="FFFF99"/>
            <w:vAlign w:val="center"/>
          </w:tcPr>
          <w:p w14:paraId="748CC6E1" w14:textId="776108AC" w:rsidR="000343E5" w:rsidRPr="00404D96" w:rsidRDefault="000343E5" w:rsidP="00407B01">
            <w:pPr>
              <w:spacing w:after="0" w:line="240" w:lineRule="auto"/>
              <w:jc w:val="center"/>
              <w:rPr>
                <w:rFonts w:ascii="Arial" w:eastAsia="Times New Roman" w:hAnsi="Arial" w:cs="Arial"/>
                <w:sz w:val="12"/>
                <w:szCs w:val="12"/>
                <w:lang w:val="en-US" w:eastAsia="mk-MK"/>
              </w:rPr>
            </w:pPr>
          </w:p>
        </w:tc>
      </w:tr>
      <w:tr w:rsidR="000343E5" w:rsidRPr="008C761D" w14:paraId="7A9CCECC" w14:textId="77777777" w:rsidTr="003F623B">
        <w:trPr>
          <w:gridBefore w:val="1"/>
          <w:gridAfter w:val="1"/>
          <w:wBefore w:w="17" w:type="dxa"/>
          <w:wAfter w:w="180" w:type="dxa"/>
          <w:trHeight w:val="702"/>
          <w:jc w:val="center"/>
        </w:trPr>
        <w:tc>
          <w:tcPr>
            <w:tcW w:w="2368" w:type="dxa"/>
            <w:gridSpan w:val="6"/>
            <w:tcBorders>
              <w:top w:val="nil"/>
              <w:left w:val="nil"/>
              <w:bottom w:val="nil"/>
              <w:right w:val="single" w:sz="8" w:space="0" w:color="000000"/>
            </w:tcBorders>
            <w:vAlign w:val="center"/>
          </w:tcPr>
          <w:p w14:paraId="152B5EC0" w14:textId="77777777" w:rsidR="000343E5" w:rsidRPr="008C761D" w:rsidRDefault="000343E5" w:rsidP="001E2DE5">
            <w:pPr>
              <w:spacing w:after="0" w:line="240" w:lineRule="auto"/>
              <w:rPr>
                <w:rFonts w:ascii="Arial" w:eastAsia="Times New Roman" w:hAnsi="Arial" w:cs="Arial"/>
                <w:sz w:val="12"/>
                <w:szCs w:val="12"/>
                <w:lang w:val="en-US" w:eastAsia="mk-MK"/>
              </w:rPr>
            </w:pPr>
          </w:p>
        </w:tc>
        <w:tc>
          <w:tcPr>
            <w:tcW w:w="1689" w:type="dxa"/>
            <w:gridSpan w:val="2"/>
            <w:tcBorders>
              <w:left w:val="single" w:sz="8" w:space="0" w:color="000000"/>
            </w:tcBorders>
            <w:shd w:val="clear" w:color="000000" w:fill="FFFF99"/>
            <w:vAlign w:val="center"/>
          </w:tcPr>
          <w:p w14:paraId="3BDE9AA8" w14:textId="77777777" w:rsidR="000343E5"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 xml:space="preserve">2. </w:t>
            </w:r>
            <w:r w:rsidRPr="00404D96">
              <w:rPr>
                <w:rFonts w:ascii="Arial" w:hAnsi="Arial" w:cs="Arial"/>
                <w:sz w:val="12"/>
                <w:szCs w:val="12"/>
                <w:lang w:val="en-US"/>
              </w:rPr>
              <w:t>Training of IFMIS users from central and local budget entities</w:t>
            </w:r>
          </w:p>
        </w:tc>
        <w:tc>
          <w:tcPr>
            <w:tcW w:w="1276" w:type="dxa"/>
            <w:gridSpan w:val="4"/>
            <w:shd w:val="clear" w:color="000000" w:fill="FFFF99"/>
            <w:vAlign w:val="center"/>
          </w:tcPr>
          <w:p w14:paraId="65DFEDA1" w14:textId="77777777" w:rsidR="000343E5"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2025-2027</w:t>
            </w:r>
          </w:p>
        </w:tc>
        <w:tc>
          <w:tcPr>
            <w:tcW w:w="1418" w:type="dxa"/>
            <w:gridSpan w:val="2"/>
            <w:shd w:val="clear" w:color="000000" w:fill="FFFF99"/>
            <w:vAlign w:val="center"/>
          </w:tcPr>
          <w:p w14:paraId="5AAC2815" w14:textId="307777BF" w:rsidR="000343E5" w:rsidRPr="00404D96" w:rsidRDefault="00F90378"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t>
            </w:r>
            <w:proofErr w:type="gramStart"/>
            <w:r>
              <w:rPr>
                <w:rFonts w:ascii="Arial" w:eastAsia="Times New Roman" w:hAnsi="Arial" w:cs="Arial"/>
                <w:sz w:val="12"/>
                <w:szCs w:val="12"/>
                <w:lang w:val="en-US" w:eastAsia="mk-MK"/>
              </w:rPr>
              <w:t>WG  /</w:t>
            </w:r>
            <w:proofErr w:type="gramEnd"/>
            <w:r w:rsidR="002209FA" w:rsidRPr="00404D96">
              <w:rPr>
                <w:rFonts w:ascii="Arial" w:eastAsia="Times New Roman" w:hAnsi="Arial" w:cs="Arial"/>
                <w:sz w:val="12"/>
                <w:szCs w:val="12"/>
                <w:lang w:val="en-US" w:eastAsia="mk-MK"/>
              </w:rPr>
              <w:t>PFA</w:t>
            </w:r>
          </w:p>
        </w:tc>
        <w:tc>
          <w:tcPr>
            <w:tcW w:w="1644" w:type="dxa"/>
            <w:gridSpan w:val="3"/>
            <w:shd w:val="clear" w:color="000000" w:fill="FFFF99"/>
            <w:vAlign w:val="center"/>
          </w:tcPr>
          <w:p w14:paraId="198A8B5E" w14:textId="77777777" w:rsidR="000343E5"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World Bank, EU</w:t>
            </w:r>
          </w:p>
        </w:tc>
        <w:tc>
          <w:tcPr>
            <w:tcW w:w="1758" w:type="dxa"/>
            <w:gridSpan w:val="2"/>
            <w:shd w:val="clear" w:color="000000" w:fill="FFFF99"/>
            <w:vAlign w:val="center"/>
          </w:tcPr>
          <w:p w14:paraId="7311518A" w14:textId="77777777" w:rsidR="003C20E4" w:rsidRPr="00404D96" w:rsidRDefault="00A47379" w:rsidP="00CE2DF4">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N/A</w:t>
            </w:r>
          </w:p>
        </w:tc>
        <w:tc>
          <w:tcPr>
            <w:tcW w:w="1842" w:type="dxa"/>
            <w:gridSpan w:val="3"/>
            <w:shd w:val="clear" w:color="000000" w:fill="FFFF99"/>
            <w:vAlign w:val="center"/>
          </w:tcPr>
          <w:p w14:paraId="7A720467" w14:textId="77777777" w:rsidR="000343E5"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WB loan (including EU contribution)</w:t>
            </w:r>
          </w:p>
        </w:tc>
        <w:tc>
          <w:tcPr>
            <w:tcW w:w="1506" w:type="dxa"/>
            <w:gridSpan w:val="3"/>
            <w:shd w:val="clear" w:color="000000" w:fill="FFFF99"/>
            <w:vAlign w:val="center"/>
          </w:tcPr>
          <w:p w14:paraId="031FEB91" w14:textId="1AC7A065" w:rsidR="000343E5" w:rsidRPr="00404D96" w:rsidRDefault="000343E5" w:rsidP="00407B01">
            <w:pPr>
              <w:spacing w:after="0" w:line="240" w:lineRule="auto"/>
              <w:jc w:val="center"/>
              <w:rPr>
                <w:rFonts w:ascii="Arial" w:eastAsia="Times New Roman" w:hAnsi="Arial" w:cs="Arial"/>
                <w:sz w:val="12"/>
                <w:szCs w:val="12"/>
                <w:lang w:val="en-US" w:eastAsia="mk-MK"/>
              </w:rPr>
            </w:pPr>
          </w:p>
        </w:tc>
      </w:tr>
      <w:tr w:rsidR="002209FA" w:rsidRPr="008C761D" w14:paraId="6113707A" w14:textId="77777777" w:rsidTr="0074198F">
        <w:trPr>
          <w:gridBefore w:val="1"/>
          <w:gridAfter w:val="1"/>
          <w:wBefore w:w="17" w:type="dxa"/>
          <w:wAfter w:w="180" w:type="dxa"/>
          <w:trHeight w:val="610"/>
          <w:jc w:val="center"/>
        </w:trPr>
        <w:tc>
          <w:tcPr>
            <w:tcW w:w="2368" w:type="dxa"/>
            <w:gridSpan w:val="6"/>
            <w:tcBorders>
              <w:top w:val="nil"/>
              <w:left w:val="nil"/>
              <w:bottom w:val="nil"/>
              <w:right w:val="single" w:sz="8" w:space="0" w:color="000000"/>
            </w:tcBorders>
            <w:vAlign w:val="center"/>
          </w:tcPr>
          <w:p w14:paraId="6CB65FFF" w14:textId="77777777" w:rsidR="002209FA" w:rsidRPr="008C761D" w:rsidRDefault="002209FA" w:rsidP="001E2DE5">
            <w:pPr>
              <w:spacing w:after="0" w:line="240" w:lineRule="auto"/>
              <w:rPr>
                <w:rFonts w:ascii="Arial" w:eastAsia="Times New Roman" w:hAnsi="Arial" w:cs="Arial"/>
                <w:sz w:val="12"/>
                <w:szCs w:val="12"/>
                <w:lang w:val="en-US" w:eastAsia="mk-MK"/>
              </w:rPr>
            </w:pPr>
          </w:p>
        </w:tc>
        <w:tc>
          <w:tcPr>
            <w:tcW w:w="1689" w:type="dxa"/>
            <w:gridSpan w:val="2"/>
            <w:tcBorders>
              <w:left w:val="single" w:sz="8" w:space="0" w:color="000000"/>
            </w:tcBorders>
            <w:shd w:val="clear" w:color="000000" w:fill="FFFF99"/>
            <w:vAlign w:val="center"/>
          </w:tcPr>
          <w:p w14:paraId="2B8D9C2B" w14:textId="2F919400" w:rsidR="002209FA"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 xml:space="preserve">3. </w:t>
            </w:r>
            <w:r w:rsidRPr="00404D96">
              <w:rPr>
                <w:rFonts w:ascii="Arial" w:eastAsia="MS PGothic" w:hAnsi="Arial" w:cs="Arial"/>
                <w:sz w:val="12"/>
                <w:szCs w:val="12"/>
                <w:lang w:val="en-US" w:eastAsia="zh-CN"/>
              </w:rPr>
              <w:t>Development of a business continuity plan and disaster recovery skills</w:t>
            </w:r>
          </w:p>
        </w:tc>
        <w:tc>
          <w:tcPr>
            <w:tcW w:w="1276" w:type="dxa"/>
            <w:gridSpan w:val="4"/>
            <w:shd w:val="clear" w:color="000000" w:fill="FFFF99"/>
            <w:vAlign w:val="center"/>
          </w:tcPr>
          <w:p w14:paraId="72ACF210" w14:textId="069504EB" w:rsidR="002209FA"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202</w:t>
            </w:r>
            <w:r w:rsidR="00730CBF" w:rsidRPr="00404D96">
              <w:rPr>
                <w:rFonts w:ascii="Arial" w:eastAsia="Times New Roman" w:hAnsi="Arial" w:cs="Arial"/>
                <w:sz w:val="12"/>
                <w:szCs w:val="12"/>
                <w:lang w:val="en-US" w:eastAsia="mk-MK"/>
              </w:rPr>
              <w:t>5</w:t>
            </w:r>
            <w:r w:rsidRPr="00404D96">
              <w:rPr>
                <w:rFonts w:ascii="Arial" w:eastAsia="Times New Roman" w:hAnsi="Arial" w:cs="Arial"/>
                <w:sz w:val="12"/>
                <w:szCs w:val="12"/>
                <w:lang w:val="en-US" w:eastAsia="mk-MK"/>
              </w:rPr>
              <w:t>-2027</w:t>
            </w:r>
          </w:p>
        </w:tc>
        <w:tc>
          <w:tcPr>
            <w:tcW w:w="1418" w:type="dxa"/>
            <w:gridSpan w:val="2"/>
            <w:shd w:val="clear" w:color="000000" w:fill="FFFF99"/>
            <w:vAlign w:val="center"/>
          </w:tcPr>
          <w:p w14:paraId="6FCF44D9" w14:textId="72399880" w:rsidR="002209FA" w:rsidRPr="00404D96" w:rsidRDefault="00F90378" w:rsidP="001E2DE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IFMIS WG  </w:t>
            </w:r>
          </w:p>
        </w:tc>
        <w:tc>
          <w:tcPr>
            <w:tcW w:w="1644" w:type="dxa"/>
            <w:gridSpan w:val="3"/>
            <w:shd w:val="clear" w:color="000000" w:fill="FFFF99"/>
            <w:vAlign w:val="center"/>
          </w:tcPr>
          <w:p w14:paraId="7D912E8A" w14:textId="77777777" w:rsidR="002209FA"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World Bank, EU</w:t>
            </w:r>
          </w:p>
        </w:tc>
        <w:tc>
          <w:tcPr>
            <w:tcW w:w="1758" w:type="dxa"/>
            <w:gridSpan w:val="2"/>
            <w:shd w:val="clear" w:color="000000" w:fill="FFFF99"/>
            <w:vAlign w:val="center"/>
          </w:tcPr>
          <w:p w14:paraId="45B3721F" w14:textId="77777777" w:rsidR="003C20E4" w:rsidRPr="00404D96" w:rsidRDefault="00A47379" w:rsidP="00CE2DF4">
            <w:pPr>
              <w:spacing w:after="0" w:line="240" w:lineRule="auto"/>
              <w:jc w:val="center"/>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N/A</w:t>
            </w:r>
          </w:p>
        </w:tc>
        <w:tc>
          <w:tcPr>
            <w:tcW w:w="1842" w:type="dxa"/>
            <w:gridSpan w:val="3"/>
            <w:shd w:val="clear" w:color="000000" w:fill="FFFF99"/>
            <w:vAlign w:val="center"/>
          </w:tcPr>
          <w:p w14:paraId="102DF132" w14:textId="77777777" w:rsidR="002209FA" w:rsidRPr="00404D96" w:rsidRDefault="002209FA" w:rsidP="001E2DE5">
            <w:pPr>
              <w:spacing w:after="0" w:line="240" w:lineRule="auto"/>
              <w:rPr>
                <w:rFonts w:ascii="Arial" w:eastAsia="Times New Roman" w:hAnsi="Arial" w:cs="Arial"/>
                <w:sz w:val="12"/>
                <w:szCs w:val="12"/>
                <w:lang w:val="en-US" w:eastAsia="mk-MK"/>
              </w:rPr>
            </w:pPr>
            <w:r w:rsidRPr="00404D96">
              <w:rPr>
                <w:rFonts w:ascii="Arial" w:eastAsia="Times New Roman" w:hAnsi="Arial" w:cs="Arial"/>
                <w:sz w:val="12"/>
                <w:szCs w:val="12"/>
                <w:lang w:val="en-US" w:eastAsia="mk-MK"/>
              </w:rPr>
              <w:t>WB loan (including EU contribution)</w:t>
            </w:r>
          </w:p>
        </w:tc>
        <w:tc>
          <w:tcPr>
            <w:tcW w:w="1506" w:type="dxa"/>
            <w:gridSpan w:val="3"/>
            <w:shd w:val="clear" w:color="000000" w:fill="FFFF99"/>
            <w:vAlign w:val="center"/>
          </w:tcPr>
          <w:p w14:paraId="4D8ACE26" w14:textId="1A67CA46" w:rsidR="002209FA" w:rsidRPr="00404D96" w:rsidRDefault="002209FA" w:rsidP="00407B01">
            <w:pPr>
              <w:spacing w:after="0" w:line="240" w:lineRule="auto"/>
              <w:jc w:val="center"/>
              <w:rPr>
                <w:rFonts w:ascii="Arial" w:eastAsia="Times New Roman" w:hAnsi="Arial" w:cs="Arial"/>
                <w:sz w:val="12"/>
                <w:szCs w:val="12"/>
                <w:lang w:val="en-US" w:eastAsia="mk-MK"/>
              </w:rPr>
            </w:pPr>
          </w:p>
        </w:tc>
      </w:tr>
      <w:tr w:rsidR="00485BAA" w:rsidRPr="008C761D" w14:paraId="5BCB8717"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091A94CF" w14:textId="64A3B7A2"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w:t>
            </w:r>
            <w:r w:rsidR="00577A56">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w:t>
            </w:r>
            <w:r w:rsidR="00432D15" w:rsidRPr="00432D15">
              <w:rPr>
                <w:rFonts w:ascii="Arial" w:eastAsia="Times New Roman" w:hAnsi="Arial" w:cs="Arial"/>
                <w:b/>
                <w:bCs/>
                <w:color w:val="FFFFFF"/>
                <w:sz w:val="12"/>
                <w:szCs w:val="12"/>
                <w:lang w:val="en-US" w:eastAsia="mk-MK"/>
              </w:rPr>
              <w:t>Public finance digitalisation and </w:t>
            </w:r>
            <w:r w:rsidR="001111E8" w:rsidRPr="001111E8">
              <w:rPr>
                <w:rFonts w:ascii="Arial" w:eastAsia="Times New Roman" w:hAnsi="Arial" w:cs="Arial"/>
                <w:b/>
                <w:bCs/>
                <w:color w:val="FFFFFF"/>
                <w:sz w:val="12"/>
                <w:szCs w:val="12"/>
                <w:lang w:val="en-US" w:eastAsia="mk-MK"/>
              </w:rPr>
              <w:t>continuоus</w:t>
            </w:r>
            <w:r w:rsidR="00432D15" w:rsidRPr="00432D15">
              <w:rPr>
                <w:rFonts w:ascii="Arial" w:eastAsia="Times New Roman" w:hAnsi="Arial" w:cs="Arial"/>
                <w:b/>
                <w:bCs/>
                <w:color w:val="FFFFFF"/>
                <w:sz w:val="12"/>
                <w:szCs w:val="12"/>
                <w:lang w:val="en-US" w:eastAsia="mk-MK"/>
              </w:rPr>
              <w:t> learning</w:t>
            </w:r>
          </w:p>
        </w:tc>
      </w:tr>
      <w:tr w:rsidR="00485BAA" w:rsidRPr="008C761D" w14:paraId="69F3A881" w14:textId="77777777" w:rsidTr="003F623B">
        <w:trPr>
          <w:gridBefore w:val="1"/>
          <w:gridAfter w:val="1"/>
          <w:wBefore w:w="17" w:type="dxa"/>
          <w:wAfter w:w="180" w:type="dxa"/>
          <w:trHeight w:val="251"/>
          <w:jc w:val="center"/>
        </w:trPr>
        <w:tc>
          <w:tcPr>
            <w:tcW w:w="13501" w:type="dxa"/>
            <w:gridSpan w:val="25"/>
            <w:shd w:val="clear" w:color="000000" w:fill="1F3864"/>
            <w:vAlign w:val="center"/>
            <w:hideMark/>
          </w:tcPr>
          <w:p w14:paraId="2A0A588B" w14:textId="0EF9AF5A"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 xml:space="preserve">PRIORITY </w:t>
            </w:r>
            <w:r w:rsidR="000A08F4" w:rsidRPr="008C761D">
              <w:rPr>
                <w:rFonts w:ascii="Arial" w:eastAsia="Times New Roman" w:hAnsi="Arial" w:cs="Arial"/>
                <w:b/>
                <w:bCs/>
                <w:color w:val="FFFFFF"/>
                <w:sz w:val="12"/>
                <w:szCs w:val="12"/>
                <w:lang w:val="en-US" w:eastAsia="mk-MK"/>
              </w:rPr>
              <w:t>2</w:t>
            </w:r>
            <w:r w:rsidRPr="008C761D">
              <w:rPr>
                <w:rFonts w:ascii="Arial" w:eastAsia="Times New Roman" w:hAnsi="Arial" w:cs="Arial"/>
                <w:b/>
                <w:bCs/>
                <w:color w:val="FFFFFF"/>
                <w:sz w:val="12"/>
                <w:szCs w:val="12"/>
                <w:lang w:val="en-US" w:eastAsia="mk-MK"/>
              </w:rPr>
              <w:t>. Public</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Finance</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Academy</w:t>
            </w:r>
            <w:r w:rsidR="00246335" w:rsidRPr="008C761D">
              <w:rPr>
                <w:rFonts w:ascii="Arial" w:eastAsia="Times New Roman" w:hAnsi="Arial" w:cs="Arial"/>
                <w:b/>
                <w:bCs/>
                <w:color w:val="FFFFFF"/>
                <w:sz w:val="12"/>
                <w:szCs w:val="12"/>
                <w:lang w:val="en-US" w:eastAsia="mk-MK"/>
              </w:rPr>
              <w:t xml:space="preserve"> </w:t>
            </w:r>
            <w:r w:rsidR="002428A3" w:rsidRPr="008C761D">
              <w:rPr>
                <w:rFonts w:ascii="Arial" w:eastAsia="Times New Roman" w:hAnsi="Arial" w:cs="Arial"/>
                <w:b/>
                <w:bCs/>
                <w:color w:val="FFFFFF"/>
                <w:sz w:val="12"/>
                <w:szCs w:val="12"/>
                <w:lang w:val="en-US" w:eastAsia="mk-MK"/>
              </w:rPr>
              <w:t>(learning</w:t>
            </w:r>
            <w:r w:rsidR="00246335" w:rsidRPr="008C761D">
              <w:rPr>
                <w:rFonts w:ascii="Arial" w:eastAsia="Times New Roman" w:hAnsi="Arial" w:cs="Arial"/>
                <w:b/>
                <w:bCs/>
                <w:color w:val="FFFFFF"/>
                <w:sz w:val="12"/>
                <w:szCs w:val="12"/>
                <w:lang w:val="en-US" w:eastAsia="mk-MK"/>
              </w:rPr>
              <w:t xml:space="preserve"> </w:t>
            </w:r>
            <w:r w:rsidR="002428A3" w:rsidRPr="008C761D">
              <w:rPr>
                <w:rFonts w:ascii="Arial" w:eastAsia="Times New Roman" w:hAnsi="Arial" w:cs="Arial"/>
                <w:b/>
                <w:bCs/>
                <w:color w:val="FFFFFF"/>
                <w:sz w:val="12"/>
                <w:szCs w:val="12"/>
                <w:lang w:val="en-US" w:eastAsia="mk-MK"/>
              </w:rPr>
              <w:t>organization)</w:t>
            </w:r>
          </w:p>
        </w:tc>
      </w:tr>
      <w:tr w:rsidR="00485BAA" w:rsidRPr="008C761D" w14:paraId="2284808D" w14:textId="77777777" w:rsidTr="003F623B">
        <w:trPr>
          <w:gridBefore w:val="1"/>
          <w:gridAfter w:val="1"/>
          <w:wBefore w:w="17" w:type="dxa"/>
          <w:wAfter w:w="180" w:type="dxa"/>
          <w:trHeight w:val="315"/>
          <w:jc w:val="center"/>
        </w:trPr>
        <w:tc>
          <w:tcPr>
            <w:tcW w:w="2368" w:type="dxa"/>
            <w:gridSpan w:val="6"/>
            <w:shd w:val="clear" w:color="000000" w:fill="9BD2ED"/>
            <w:vAlign w:val="center"/>
            <w:hideMark/>
          </w:tcPr>
          <w:p w14:paraId="43945F2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2E13A33A" w14:textId="1BC8CB9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269C12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DataSource</w:t>
            </w:r>
          </w:p>
        </w:tc>
        <w:tc>
          <w:tcPr>
            <w:tcW w:w="1418" w:type="dxa"/>
            <w:gridSpan w:val="2"/>
            <w:shd w:val="clear" w:color="000000" w:fill="9BD2ED"/>
            <w:vAlign w:val="center"/>
            <w:hideMark/>
          </w:tcPr>
          <w:p w14:paraId="6E241A9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2428A3"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A1DAEE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FCBEB3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D0AD32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354426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7</w:t>
            </w:r>
          </w:p>
        </w:tc>
      </w:tr>
      <w:tr w:rsidR="00485BAA" w:rsidRPr="008C761D" w14:paraId="2C4BB8CA" w14:textId="77777777" w:rsidTr="003F623B">
        <w:trPr>
          <w:gridBefore w:val="1"/>
          <w:gridAfter w:val="1"/>
          <w:wBefore w:w="17" w:type="dxa"/>
          <w:wAfter w:w="180" w:type="dxa"/>
          <w:trHeight w:val="912"/>
          <w:jc w:val="center"/>
        </w:trPr>
        <w:tc>
          <w:tcPr>
            <w:tcW w:w="2368" w:type="dxa"/>
            <w:gridSpan w:val="6"/>
            <w:shd w:val="clear" w:color="000000" w:fill="FFFF99"/>
            <w:vAlign w:val="center"/>
            <w:hideMark/>
          </w:tcPr>
          <w:p w14:paraId="504462DC" w14:textId="17A09E74"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Provided continuing education in the field of Public Financial Management</w:t>
            </w:r>
          </w:p>
        </w:tc>
        <w:tc>
          <w:tcPr>
            <w:tcW w:w="1771" w:type="dxa"/>
            <w:gridSpan w:val="3"/>
            <w:shd w:val="clear" w:color="000000" w:fill="FFFF99"/>
            <w:vAlign w:val="center"/>
            <w:hideMark/>
          </w:tcPr>
          <w:p w14:paraId="6A917041" w14:textId="2AF60CE6"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Management's perception of whether the Academy adds value to their employees (low, medium or high level of </w:t>
            </w:r>
            <w:proofErr w:type="gramStart"/>
            <w:r w:rsidRPr="008C761D">
              <w:rPr>
                <w:rFonts w:ascii="Arial" w:eastAsia="Times New Roman" w:hAnsi="Arial" w:cs="Arial"/>
                <w:sz w:val="12"/>
                <w:szCs w:val="12"/>
                <w:lang w:val="en-US" w:eastAsia="mk-MK"/>
              </w:rPr>
              <w:t>value added</w:t>
            </w:r>
            <w:proofErr w:type="gramEnd"/>
            <w:r w:rsidRPr="008C761D">
              <w:rPr>
                <w:rFonts w:ascii="Arial" w:eastAsia="Times New Roman" w:hAnsi="Arial" w:cs="Arial"/>
                <w:sz w:val="12"/>
                <w:szCs w:val="12"/>
                <w:lang w:val="en-US" w:eastAsia="mk-MK"/>
              </w:rPr>
              <w:t xml:space="preserve"> perception)</w:t>
            </w:r>
          </w:p>
        </w:tc>
        <w:tc>
          <w:tcPr>
            <w:tcW w:w="1194" w:type="dxa"/>
            <w:gridSpan w:val="3"/>
            <w:shd w:val="clear" w:color="000000" w:fill="FFFF99"/>
            <w:vAlign w:val="center"/>
            <w:hideMark/>
          </w:tcPr>
          <w:p w14:paraId="688C61C0" w14:textId="64DA0A89" w:rsidR="00485BAA" w:rsidRPr="008C761D" w:rsidRDefault="002463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Internal survey of the Ministry of Finance</w:t>
            </w:r>
          </w:p>
        </w:tc>
        <w:tc>
          <w:tcPr>
            <w:tcW w:w="1418" w:type="dxa"/>
            <w:gridSpan w:val="2"/>
            <w:shd w:val="clear" w:color="000000" w:fill="FFFF99"/>
            <w:vAlign w:val="center"/>
            <w:hideMark/>
          </w:tcPr>
          <w:p w14:paraId="6C8EF16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42D07A93" w14:textId="77777777" w:rsidR="00485BAA" w:rsidRPr="008C761D" w:rsidRDefault="002428A3"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low</w:t>
            </w:r>
          </w:p>
        </w:tc>
        <w:tc>
          <w:tcPr>
            <w:tcW w:w="1758" w:type="dxa"/>
            <w:gridSpan w:val="2"/>
            <w:shd w:val="clear" w:color="000000" w:fill="FFFF99"/>
            <w:vAlign w:val="center"/>
            <w:hideMark/>
          </w:tcPr>
          <w:p w14:paraId="52FB380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w:t>
            </w:r>
          </w:p>
        </w:tc>
        <w:tc>
          <w:tcPr>
            <w:tcW w:w="1842" w:type="dxa"/>
            <w:gridSpan w:val="3"/>
            <w:shd w:val="clear" w:color="000000" w:fill="FFFF99"/>
            <w:vAlign w:val="center"/>
            <w:hideMark/>
          </w:tcPr>
          <w:p w14:paraId="0AA19AE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high</w:t>
            </w:r>
          </w:p>
        </w:tc>
        <w:tc>
          <w:tcPr>
            <w:tcW w:w="1506" w:type="dxa"/>
            <w:gridSpan w:val="3"/>
            <w:shd w:val="clear" w:color="000000" w:fill="FFFF99"/>
            <w:vAlign w:val="center"/>
            <w:hideMark/>
          </w:tcPr>
          <w:p w14:paraId="74C1078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high</w:t>
            </w:r>
          </w:p>
        </w:tc>
      </w:tr>
      <w:tr w:rsidR="00485BAA" w:rsidRPr="008C761D" w14:paraId="5540A76A" w14:textId="77777777" w:rsidTr="003F623B">
        <w:trPr>
          <w:gridBefore w:val="1"/>
          <w:gridAfter w:val="1"/>
          <w:wBefore w:w="17" w:type="dxa"/>
          <w:wAfter w:w="180" w:type="dxa"/>
          <w:trHeight w:val="264"/>
          <w:jc w:val="center"/>
        </w:trPr>
        <w:tc>
          <w:tcPr>
            <w:tcW w:w="13501" w:type="dxa"/>
            <w:gridSpan w:val="25"/>
            <w:shd w:val="clear" w:color="000000" w:fill="9BD2ED"/>
            <w:vAlign w:val="center"/>
            <w:hideMark/>
          </w:tcPr>
          <w:p w14:paraId="6FFCEDEE" w14:textId="32761EAD"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77A56">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0304CE" w:rsidRPr="008C761D">
              <w:rPr>
                <w:rFonts w:ascii="Arial" w:eastAsia="Times New Roman" w:hAnsi="Arial" w:cs="Arial"/>
                <w:b/>
                <w:bCs/>
                <w:sz w:val="12"/>
                <w:szCs w:val="12"/>
                <w:lang w:val="en-US" w:eastAsia="mk-MK"/>
              </w:rPr>
              <w:t>Developing</w:t>
            </w:r>
            <w:r w:rsidR="00246335" w:rsidRPr="008C761D">
              <w:rPr>
                <w:rFonts w:ascii="Arial" w:eastAsia="Times New Roman" w:hAnsi="Arial" w:cs="Arial"/>
                <w:b/>
                <w:bCs/>
                <w:sz w:val="12"/>
                <w:szCs w:val="12"/>
                <w:lang w:val="en-US" w:eastAsia="mk-MK"/>
              </w:rPr>
              <w:t xml:space="preserve"> </w:t>
            </w:r>
            <w:r w:rsidR="002428A3" w:rsidRPr="008C761D">
              <w:rPr>
                <w:rFonts w:ascii="Arial" w:eastAsia="Times New Roman" w:hAnsi="Arial" w:cs="Arial"/>
                <w:b/>
                <w:bCs/>
                <w:sz w:val="12"/>
                <w:szCs w:val="12"/>
                <w:lang w:val="en-US" w:eastAsia="mk-MK"/>
              </w:rPr>
              <w:t>and</w:t>
            </w:r>
            <w:r w:rsidR="00246335" w:rsidRPr="008C761D">
              <w:rPr>
                <w:rFonts w:ascii="Arial" w:eastAsia="Times New Roman" w:hAnsi="Arial" w:cs="Arial"/>
                <w:b/>
                <w:bCs/>
                <w:sz w:val="12"/>
                <w:szCs w:val="12"/>
                <w:lang w:val="en-US" w:eastAsia="mk-MK"/>
              </w:rPr>
              <w:t xml:space="preserve"> </w:t>
            </w:r>
            <w:r w:rsidR="002428A3" w:rsidRPr="008C761D">
              <w:rPr>
                <w:rFonts w:ascii="Arial" w:eastAsia="Times New Roman" w:hAnsi="Arial" w:cs="Arial"/>
                <w:b/>
                <w:bCs/>
                <w:sz w:val="12"/>
                <w:szCs w:val="12"/>
                <w:lang w:val="en-US" w:eastAsia="mk-MK"/>
              </w:rPr>
              <w:t>implementing a curriculum</w:t>
            </w:r>
          </w:p>
        </w:tc>
      </w:tr>
      <w:tr w:rsidR="00485BAA" w:rsidRPr="008C761D" w14:paraId="5D7207B7" w14:textId="77777777" w:rsidTr="003F623B">
        <w:trPr>
          <w:gridBefore w:val="1"/>
          <w:gridAfter w:val="1"/>
          <w:wBefore w:w="17" w:type="dxa"/>
          <w:wAfter w:w="180" w:type="dxa"/>
          <w:trHeight w:val="450"/>
          <w:jc w:val="center"/>
        </w:trPr>
        <w:tc>
          <w:tcPr>
            <w:tcW w:w="2368" w:type="dxa"/>
            <w:gridSpan w:val="6"/>
            <w:vMerge w:val="restart"/>
            <w:tcBorders>
              <w:top w:val="nil"/>
              <w:left w:val="nil"/>
              <w:bottom w:val="nil"/>
              <w:right w:val="single" w:sz="8" w:space="0" w:color="000000"/>
            </w:tcBorders>
            <w:shd w:val="clear" w:color="000000" w:fill="FFFFFF"/>
            <w:vAlign w:val="center"/>
            <w:hideMark/>
          </w:tcPr>
          <w:p w14:paraId="2C63735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c>
          <w:tcPr>
            <w:tcW w:w="1771" w:type="dxa"/>
            <w:gridSpan w:val="3"/>
            <w:tcBorders>
              <w:left w:val="single" w:sz="8" w:space="0" w:color="000000"/>
            </w:tcBorders>
            <w:shd w:val="clear" w:color="000000" w:fill="9BD2ED"/>
            <w:vAlign w:val="center"/>
            <w:hideMark/>
          </w:tcPr>
          <w:p w14:paraId="7E4C7E4F" w14:textId="338A8D3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57969542" w14:textId="4A350114" w:rsidR="00485BAA" w:rsidRPr="008C761D" w:rsidRDefault="00134B6E"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 Source</w:t>
            </w:r>
          </w:p>
        </w:tc>
        <w:tc>
          <w:tcPr>
            <w:tcW w:w="1418" w:type="dxa"/>
            <w:gridSpan w:val="2"/>
            <w:shd w:val="clear" w:color="000000" w:fill="9BD2ED"/>
            <w:vAlign w:val="center"/>
            <w:hideMark/>
          </w:tcPr>
          <w:p w14:paraId="46E8E8D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2428A3"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039F84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7AF6395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301D8ED"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8EBE9B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2428A3" w:rsidRPr="008C761D">
              <w:rPr>
                <w:rFonts w:ascii="Arial" w:eastAsia="Times New Roman" w:hAnsi="Arial" w:cs="Arial"/>
                <w:b/>
                <w:bCs/>
                <w:sz w:val="12"/>
                <w:szCs w:val="12"/>
                <w:lang w:val="en-US" w:eastAsia="mk-MK"/>
              </w:rPr>
              <w:t>7</w:t>
            </w:r>
          </w:p>
        </w:tc>
      </w:tr>
      <w:tr w:rsidR="008540F1" w:rsidRPr="008C761D" w14:paraId="64E4A3E5" w14:textId="77777777" w:rsidTr="003F623B">
        <w:trPr>
          <w:gridBefore w:val="1"/>
          <w:gridAfter w:val="1"/>
          <w:wBefore w:w="17" w:type="dxa"/>
          <w:wAfter w:w="180" w:type="dxa"/>
          <w:trHeight w:val="552"/>
          <w:jc w:val="center"/>
        </w:trPr>
        <w:tc>
          <w:tcPr>
            <w:tcW w:w="2368" w:type="dxa"/>
            <w:gridSpan w:val="6"/>
            <w:vMerge/>
            <w:tcBorders>
              <w:top w:val="nil"/>
              <w:left w:val="nil"/>
              <w:bottom w:val="nil"/>
              <w:right w:val="single" w:sz="8" w:space="0" w:color="000000"/>
            </w:tcBorders>
            <w:vAlign w:val="center"/>
            <w:hideMark/>
          </w:tcPr>
          <w:p w14:paraId="7A9EE971" w14:textId="77777777" w:rsidR="008540F1" w:rsidRPr="008C761D" w:rsidRDefault="008540F1"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3D6E9ED2" w14:textId="77C2E6F5" w:rsidR="008540F1"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annual training program and curricula</w:t>
            </w:r>
          </w:p>
        </w:tc>
        <w:tc>
          <w:tcPr>
            <w:tcW w:w="1194" w:type="dxa"/>
            <w:gridSpan w:val="3"/>
            <w:shd w:val="clear" w:color="000000" w:fill="FFFF99"/>
            <w:vAlign w:val="center"/>
            <w:hideMark/>
          </w:tcPr>
          <w:p w14:paraId="57CFA10D" w14:textId="1E58C803"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tc>
        <w:tc>
          <w:tcPr>
            <w:tcW w:w="1418" w:type="dxa"/>
            <w:gridSpan w:val="2"/>
            <w:shd w:val="clear" w:color="000000" w:fill="FFFF99"/>
            <w:vAlign w:val="center"/>
            <w:hideMark/>
          </w:tcPr>
          <w:p w14:paraId="5362437E"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7BC41575" w14:textId="34B26B38"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program</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curricula</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2024</w:t>
            </w:r>
          </w:p>
        </w:tc>
        <w:tc>
          <w:tcPr>
            <w:tcW w:w="1758" w:type="dxa"/>
            <w:gridSpan w:val="2"/>
            <w:shd w:val="clear" w:color="000000" w:fill="FFFF99"/>
            <w:vAlign w:val="center"/>
            <w:hideMark/>
          </w:tcPr>
          <w:p w14:paraId="2C781DCB" w14:textId="15491F92"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program</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curricula</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2025</w:t>
            </w:r>
          </w:p>
        </w:tc>
        <w:tc>
          <w:tcPr>
            <w:tcW w:w="1842" w:type="dxa"/>
            <w:gridSpan w:val="3"/>
            <w:shd w:val="clear" w:color="000000" w:fill="FFFF99"/>
            <w:vAlign w:val="center"/>
            <w:hideMark/>
          </w:tcPr>
          <w:p w14:paraId="171BCAFE" w14:textId="3C75429C"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program</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curricula</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2026</w:t>
            </w:r>
          </w:p>
        </w:tc>
        <w:tc>
          <w:tcPr>
            <w:tcW w:w="1506" w:type="dxa"/>
            <w:gridSpan w:val="3"/>
            <w:shd w:val="clear" w:color="000000" w:fill="FFFF99"/>
            <w:vAlign w:val="center"/>
            <w:hideMark/>
          </w:tcPr>
          <w:p w14:paraId="20472860" w14:textId="12ADB1C0"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program</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curricula</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prepared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2027</w:t>
            </w:r>
          </w:p>
        </w:tc>
      </w:tr>
      <w:tr w:rsidR="00485BAA" w:rsidRPr="008C761D" w14:paraId="28AC31E1" w14:textId="77777777" w:rsidTr="003F623B">
        <w:trPr>
          <w:gridBefore w:val="1"/>
          <w:gridAfter w:val="1"/>
          <w:wBefore w:w="17" w:type="dxa"/>
          <w:wAfter w:w="180" w:type="dxa"/>
          <w:trHeight w:val="783"/>
          <w:jc w:val="center"/>
        </w:trPr>
        <w:tc>
          <w:tcPr>
            <w:tcW w:w="2368" w:type="dxa"/>
            <w:gridSpan w:val="6"/>
            <w:vMerge/>
            <w:tcBorders>
              <w:top w:val="nil"/>
              <w:left w:val="nil"/>
              <w:bottom w:val="nil"/>
              <w:right w:val="single" w:sz="8" w:space="0" w:color="000000"/>
            </w:tcBorders>
            <w:vAlign w:val="center"/>
            <w:hideMark/>
          </w:tcPr>
          <w:p w14:paraId="32706ACC"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hideMark/>
          </w:tcPr>
          <w:p w14:paraId="1DBDEF73" w14:textId="1A5458E4"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Satisfaction of the participants from the conducted trainings (low, medium or high level of satisfaction)</w:t>
            </w:r>
          </w:p>
        </w:tc>
        <w:tc>
          <w:tcPr>
            <w:tcW w:w="1194" w:type="dxa"/>
            <w:gridSpan w:val="3"/>
            <w:shd w:val="clear" w:color="000000" w:fill="FFFF99"/>
            <w:vAlign w:val="center"/>
            <w:hideMark/>
          </w:tcPr>
          <w:p w14:paraId="1A97D25E" w14:textId="7A603D0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tc>
        <w:tc>
          <w:tcPr>
            <w:tcW w:w="1418" w:type="dxa"/>
            <w:gridSpan w:val="2"/>
            <w:shd w:val="clear" w:color="000000" w:fill="FFFF99"/>
            <w:vAlign w:val="center"/>
            <w:hideMark/>
          </w:tcPr>
          <w:p w14:paraId="4D6E0D7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8540F1"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1207FD68" w14:textId="77777777" w:rsidR="00485BAA"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w:t>
            </w:r>
          </w:p>
        </w:tc>
        <w:tc>
          <w:tcPr>
            <w:tcW w:w="1758" w:type="dxa"/>
            <w:gridSpan w:val="2"/>
            <w:shd w:val="clear" w:color="000000" w:fill="FFFF99"/>
            <w:vAlign w:val="center"/>
            <w:hideMark/>
          </w:tcPr>
          <w:p w14:paraId="57912A77" w14:textId="77777777" w:rsidR="00485BAA"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medium</w:t>
            </w:r>
          </w:p>
        </w:tc>
        <w:tc>
          <w:tcPr>
            <w:tcW w:w="1842" w:type="dxa"/>
            <w:gridSpan w:val="3"/>
            <w:shd w:val="clear" w:color="000000" w:fill="FFFF99"/>
            <w:vAlign w:val="center"/>
            <w:hideMark/>
          </w:tcPr>
          <w:p w14:paraId="7716ED18" w14:textId="77777777" w:rsidR="00485BAA"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high</w:t>
            </w:r>
          </w:p>
        </w:tc>
        <w:tc>
          <w:tcPr>
            <w:tcW w:w="1506" w:type="dxa"/>
            <w:gridSpan w:val="3"/>
            <w:shd w:val="clear" w:color="000000" w:fill="FFFF99"/>
            <w:vAlign w:val="center"/>
            <w:hideMark/>
          </w:tcPr>
          <w:p w14:paraId="4592B811" w14:textId="77777777" w:rsidR="00485BAA"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high</w:t>
            </w:r>
          </w:p>
        </w:tc>
      </w:tr>
      <w:tr w:rsidR="002428A3" w:rsidRPr="008C761D" w14:paraId="729A9AAC" w14:textId="77777777" w:rsidTr="003F623B">
        <w:trPr>
          <w:gridBefore w:val="1"/>
          <w:gridAfter w:val="1"/>
          <w:wBefore w:w="17" w:type="dxa"/>
          <w:wAfter w:w="180" w:type="dxa"/>
          <w:trHeight w:val="528"/>
          <w:jc w:val="center"/>
        </w:trPr>
        <w:tc>
          <w:tcPr>
            <w:tcW w:w="2368" w:type="dxa"/>
            <w:gridSpan w:val="6"/>
            <w:vMerge/>
            <w:tcBorders>
              <w:top w:val="nil"/>
              <w:left w:val="nil"/>
              <w:bottom w:val="nil"/>
              <w:right w:val="single" w:sz="8" w:space="0" w:color="000000"/>
            </w:tcBorders>
            <w:vAlign w:val="center"/>
          </w:tcPr>
          <w:p w14:paraId="71024613" w14:textId="77777777" w:rsidR="002428A3" w:rsidRPr="008C761D" w:rsidRDefault="002428A3"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vAlign w:val="center"/>
          </w:tcPr>
          <w:p w14:paraId="7F472FB9" w14:textId="48AF9998" w:rsidR="002428A3"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organized trainings</w:t>
            </w:r>
          </w:p>
        </w:tc>
        <w:tc>
          <w:tcPr>
            <w:tcW w:w="1194" w:type="dxa"/>
            <w:gridSpan w:val="3"/>
            <w:shd w:val="clear" w:color="000000" w:fill="FFFF99"/>
            <w:vAlign w:val="center"/>
          </w:tcPr>
          <w:p w14:paraId="68FED0E7" w14:textId="77777777" w:rsidR="002428A3" w:rsidRPr="008C761D" w:rsidRDefault="002428A3" w:rsidP="00485BAA">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tcPr>
          <w:p w14:paraId="12A12223" w14:textId="77777777" w:rsidR="002428A3" w:rsidRPr="008C761D" w:rsidRDefault="008540F1" w:rsidP="008540F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tcPr>
          <w:p w14:paraId="4AA741A0" w14:textId="77777777" w:rsidR="002428A3"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c>
          <w:tcPr>
            <w:tcW w:w="1758" w:type="dxa"/>
            <w:gridSpan w:val="2"/>
            <w:shd w:val="clear" w:color="000000" w:fill="FFFF99"/>
            <w:vAlign w:val="center"/>
          </w:tcPr>
          <w:p w14:paraId="0D8D77B6" w14:textId="77777777" w:rsidR="002428A3"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w:t>
            </w:r>
          </w:p>
        </w:tc>
        <w:tc>
          <w:tcPr>
            <w:tcW w:w="1842" w:type="dxa"/>
            <w:gridSpan w:val="3"/>
            <w:shd w:val="clear" w:color="000000" w:fill="FFFF99"/>
            <w:vAlign w:val="center"/>
          </w:tcPr>
          <w:p w14:paraId="073639C4" w14:textId="77777777" w:rsidR="002428A3"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c>
          <w:tcPr>
            <w:tcW w:w="1506" w:type="dxa"/>
            <w:gridSpan w:val="3"/>
            <w:shd w:val="clear" w:color="000000" w:fill="FFFF99"/>
            <w:vAlign w:val="center"/>
          </w:tcPr>
          <w:p w14:paraId="4652D3F8" w14:textId="77777777" w:rsidR="002428A3" w:rsidRPr="008C761D" w:rsidRDefault="008540F1"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r>
      <w:tr w:rsidR="00485BAA" w:rsidRPr="008C761D" w14:paraId="28046D48" w14:textId="77777777" w:rsidTr="003F623B">
        <w:trPr>
          <w:gridBefore w:val="1"/>
          <w:gridAfter w:val="1"/>
          <w:wBefore w:w="17" w:type="dxa"/>
          <w:wAfter w:w="180" w:type="dxa"/>
          <w:trHeight w:val="238"/>
          <w:jc w:val="center"/>
        </w:trPr>
        <w:tc>
          <w:tcPr>
            <w:tcW w:w="2368" w:type="dxa"/>
            <w:gridSpan w:val="6"/>
            <w:vMerge/>
            <w:tcBorders>
              <w:top w:val="nil"/>
              <w:left w:val="nil"/>
              <w:bottom w:val="nil"/>
              <w:right w:val="single" w:sz="8" w:space="0" w:color="000000"/>
            </w:tcBorders>
            <w:vAlign w:val="center"/>
            <w:hideMark/>
          </w:tcPr>
          <w:p w14:paraId="302CA090"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9BD2ED"/>
            <w:vAlign w:val="center"/>
            <w:hideMark/>
          </w:tcPr>
          <w:p w14:paraId="3B187354" w14:textId="7883946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340D2E24" w14:textId="2C88D39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78AFDFA2" w14:textId="182919B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E2351C6" w14:textId="7BCCA2F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7C04DF9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 (in EUR)</w:t>
            </w:r>
          </w:p>
        </w:tc>
        <w:tc>
          <w:tcPr>
            <w:tcW w:w="1842" w:type="dxa"/>
            <w:gridSpan w:val="3"/>
            <w:shd w:val="clear" w:color="000000" w:fill="9BD2ED"/>
            <w:vAlign w:val="center"/>
            <w:hideMark/>
          </w:tcPr>
          <w:p w14:paraId="62026258" w14:textId="73D539E1"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083B6B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2663CC46" w14:textId="77777777" w:rsidTr="003F623B">
        <w:trPr>
          <w:gridBefore w:val="1"/>
          <w:gridAfter w:val="1"/>
          <w:wBefore w:w="17" w:type="dxa"/>
          <w:wAfter w:w="180" w:type="dxa"/>
          <w:trHeight w:val="604"/>
          <w:jc w:val="center"/>
        </w:trPr>
        <w:tc>
          <w:tcPr>
            <w:tcW w:w="2368" w:type="dxa"/>
            <w:gridSpan w:val="6"/>
            <w:vMerge/>
            <w:tcBorders>
              <w:top w:val="nil"/>
              <w:left w:val="nil"/>
              <w:bottom w:val="nil"/>
              <w:right w:val="single" w:sz="8" w:space="0" w:color="000000"/>
            </w:tcBorders>
            <w:vAlign w:val="center"/>
            <w:hideMark/>
          </w:tcPr>
          <w:p w14:paraId="4CE139D9" w14:textId="77777777" w:rsidR="00485BAA" w:rsidRPr="008C761D" w:rsidRDefault="00485BAA" w:rsidP="00485BAA">
            <w:pPr>
              <w:spacing w:after="0" w:line="240" w:lineRule="auto"/>
              <w:rPr>
                <w:rFonts w:ascii="Arial" w:eastAsia="Times New Roman" w:hAnsi="Arial" w:cs="Arial"/>
                <w:b/>
                <w:bCs/>
                <w:sz w:val="12"/>
                <w:szCs w:val="12"/>
                <w:lang w:val="en-US" w:eastAsia="mk-MK"/>
              </w:rPr>
            </w:pPr>
          </w:p>
        </w:tc>
        <w:tc>
          <w:tcPr>
            <w:tcW w:w="1771" w:type="dxa"/>
            <w:gridSpan w:val="3"/>
            <w:tcBorders>
              <w:left w:val="single" w:sz="8" w:space="0" w:color="000000"/>
            </w:tcBorders>
            <w:shd w:val="clear" w:color="000000" w:fill="FFFF99"/>
            <w:hideMark/>
          </w:tcPr>
          <w:p w14:paraId="777519BD" w14:textId="36E68FBF"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Pr="008C761D">
              <w:rPr>
                <w:rFonts w:ascii="Times New Roman" w:eastAsia="MS PGothic" w:hAnsi="Times New Roman"/>
                <w:b/>
                <w:bCs/>
                <w:i/>
                <w:iCs/>
                <w:color w:val="4F81BD"/>
                <w:sz w:val="14"/>
                <w:lang w:val="en-US" w:eastAsia="zh-CN"/>
              </w:rPr>
              <w:t xml:space="preserve"> </w:t>
            </w:r>
            <w:r w:rsidRPr="008C761D">
              <w:rPr>
                <w:rFonts w:ascii="Arial" w:eastAsia="Times New Roman" w:hAnsi="Arial" w:cs="Arial"/>
                <w:sz w:val="12"/>
                <w:szCs w:val="12"/>
                <w:lang w:val="en-US" w:eastAsia="mk-MK"/>
              </w:rPr>
              <w:t>Developing methodology for preparing annual training programm and curriculum</w:t>
            </w:r>
          </w:p>
        </w:tc>
        <w:tc>
          <w:tcPr>
            <w:tcW w:w="1194" w:type="dxa"/>
            <w:gridSpan w:val="3"/>
            <w:shd w:val="clear" w:color="000000" w:fill="FFFF99"/>
            <w:vAlign w:val="center"/>
            <w:hideMark/>
          </w:tcPr>
          <w:p w14:paraId="626954AE" w14:textId="210E7885" w:rsidR="00492444" w:rsidRPr="008C761D" w:rsidRDefault="00492444" w:rsidP="00492444">
            <w:pPr>
              <w:spacing w:after="0" w:line="240" w:lineRule="auto"/>
              <w:jc w:val="center"/>
              <w:rPr>
                <w:rFonts w:ascii="Arial" w:eastAsia="Times New Roman" w:hAnsi="Arial" w:cs="Arial"/>
                <w:sz w:val="12"/>
                <w:szCs w:val="12"/>
                <w:lang w:val="en-US" w:eastAsia="mk-MK"/>
              </w:rPr>
            </w:pPr>
          </w:p>
          <w:p w14:paraId="7DE27C23" w14:textId="433246AE" w:rsidR="00492444" w:rsidRPr="008C761D" w:rsidRDefault="000304CE" w:rsidP="0049244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2B4411" w:rsidRPr="008C761D">
              <w:rPr>
                <w:rFonts w:ascii="Arial" w:eastAsia="Times New Roman" w:hAnsi="Arial" w:cs="Arial"/>
                <w:sz w:val="12"/>
                <w:szCs w:val="12"/>
                <w:lang w:val="en-US" w:eastAsia="mk-MK"/>
              </w:rPr>
              <w:t>4</w:t>
            </w:r>
          </w:p>
          <w:p w14:paraId="74C13E40" w14:textId="7ACE5C2C" w:rsidR="00485BAA" w:rsidRPr="008C761D" w:rsidRDefault="00485BAA" w:rsidP="00492444">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hideMark/>
          </w:tcPr>
          <w:p w14:paraId="347E210D" w14:textId="12C1B352"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F90378">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hideMark/>
          </w:tcPr>
          <w:p w14:paraId="65C6B6A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135B0B94" w14:textId="59B2F174" w:rsidR="00485BAA"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6D7E27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4318B851" w14:textId="6D741C1F"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8540F1" w:rsidRPr="008C761D" w14:paraId="21774CCA" w14:textId="77777777" w:rsidTr="003F623B">
        <w:trPr>
          <w:gridBefore w:val="1"/>
          <w:gridAfter w:val="1"/>
          <w:wBefore w:w="17" w:type="dxa"/>
          <w:wAfter w:w="180" w:type="dxa"/>
          <w:trHeight w:val="309"/>
          <w:jc w:val="center"/>
        </w:trPr>
        <w:tc>
          <w:tcPr>
            <w:tcW w:w="2368" w:type="dxa"/>
            <w:gridSpan w:val="6"/>
            <w:vMerge/>
            <w:tcBorders>
              <w:top w:val="nil"/>
              <w:left w:val="nil"/>
              <w:bottom w:val="nil"/>
              <w:right w:val="single" w:sz="8" w:space="0" w:color="000000"/>
            </w:tcBorders>
            <w:vAlign w:val="center"/>
            <w:hideMark/>
          </w:tcPr>
          <w:p w14:paraId="5DA072E5" w14:textId="77777777" w:rsidR="008540F1" w:rsidRPr="008C761D" w:rsidRDefault="008540F1" w:rsidP="00485BAA">
            <w:pPr>
              <w:spacing w:after="0" w:line="240" w:lineRule="auto"/>
              <w:rPr>
                <w:rFonts w:ascii="Arial" w:eastAsia="Times New Roman" w:hAnsi="Arial" w:cs="Arial"/>
                <w:b/>
                <w:bCs/>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6F649062" w14:textId="4F723003" w:rsidR="008540F1"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2.Developing evaluation form for participants</w:t>
            </w:r>
          </w:p>
        </w:tc>
        <w:tc>
          <w:tcPr>
            <w:tcW w:w="1194" w:type="dxa"/>
            <w:gridSpan w:val="3"/>
            <w:vMerge w:val="restart"/>
            <w:shd w:val="clear" w:color="000000" w:fill="FFFF99"/>
            <w:vAlign w:val="center"/>
            <w:hideMark/>
          </w:tcPr>
          <w:p w14:paraId="0003ED9A"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w:t>
            </w:r>
          </w:p>
        </w:tc>
        <w:tc>
          <w:tcPr>
            <w:tcW w:w="1418" w:type="dxa"/>
            <w:gridSpan w:val="2"/>
            <w:vMerge w:val="restart"/>
            <w:shd w:val="clear" w:color="000000" w:fill="FFFF99"/>
            <w:vAlign w:val="center"/>
            <w:hideMark/>
          </w:tcPr>
          <w:p w14:paraId="31BED2EF" w14:textId="4C9D804C" w:rsidR="008540F1"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vMerge w:val="restart"/>
            <w:shd w:val="clear" w:color="000000" w:fill="FFFF99"/>
            <w:vAlign w:val="center"/>
            <w:hideMark/>
          </w:tcPr>
          <w:p w14:paraId="00AEF831" w14:textId="4A87C95C"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Twinning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donators</w:t>
            </w:r>
          </w:p>
        </w:tc>
        <w:tc>
          <w:tcPr>
            <w:tcW w:w="1758" w:type="dxa"/>
            <w:gridSpan w:val="2"/>
            <w:vMerge w:val="restart"/>
            <w:shd w:val="clear" w:color="000000" w:fill="FFFF99"/>
            <w:vAlign w:val="center"/>
            <w:hideMark/>
          </w:tcPr>
          <w:p w14:paraId="5374172D" w14:textId="77777777" w:rsidR="008540F1" w:rsidRPr="008C761D" w:rsidRDefault="002B4411" w:rsidP="008540F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5,000</w:t>
            </w:r>
          </w:p>
          <w:p w14:paraId="27A9F15B"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p>
        </w:tc>
        <w:tc>
          <w:tcPr>
            <w:tcW w:w="1842" w:type="dxa"/>
            <w:gridSpan w:val="3"/>
            <w:vMerge w:val="restart"/>
            <w:shd w:val="clear" w:color="000000" w:fill="FFFF99"/>
            <w:vAlign w:val="center"/>
            <w:hideMark/>
          </w:tcPr>
          <w:p w14:paraId="3D9CE8C8" w14:textId="5644BD1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EU twinning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w:t>
            </w:r>
          </w:p>
        </w:tc>
        <w:tc>
          <w:tcPr>
            <w:tcW w:w="1506" w:type="dxa"/>
            <w:gridSpan w:val="3"/>
            <w:vMerge w:val="restart"/>
            <w:shd w:val="clear" w:color="000000" w:fill="FFFF99"/>
            <w:vAlign w:val="center"/>
            <w:hideMark/>
          </w:tcPr>
          <w:p w14:paraId="479B0763" w14:textId="3755B100"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8540F1" w:rsidRPr="008C761D" w14:paraId="6FBE1C05" w14:textId="77777777" w:rsidTr="003F623B">
        <w:trPr>
          <w:gridBefore w:val="1"/>
          <w:gridAfter w:val="1"/>
          <w:wBefore w:w="17" w:type="dxa"/>
          <w:wAfter w:w="180" w:type="dxa"/>
          <w:trHeight w:val="102"/>
          <w:jc w:val="center"/>
        </w:trPr>
        <w:tc>
          <w:tcPr>
            <w:tcW w:w="1288" w:type="dxa"/>
            <w:gridSpan w:val="3"/>
            <w:tcBorders>
              <w:top w:val="nil"/>
              <w:left w:val="nil"/>
              <w:bottom w:val="nil"/>
              <w:right w:val="nil"/>
            </w:tcBorders>
            <w:shd w:val="clear" w:color="000000" w:fill="FFFFFF"/>
            <w:vAlign w:val="center"/>
            <w:hideMark/>
          </w:tcPr>
          <w:p w14:paraId="78C9A377" w14:textId="77777777" w:rsidR="008540F1" w:rsidRPr="008C761D" w:rsidRDefault="008540F1"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c>
          <w:tcPr>
            <w:tcW w:w="1080" w:type="dxa"/>
            <w:gridSpan w:val="3"/>
            <w:tcBorders>
              <w:top w:val="nil"/>
              <w:left w:val="nil"/>
              <w:bottom w:val="nil"/>
              <w:right w:val="single" w:sz="8" w:space="0" w:color="000000"/>
            </w:tcBorders>
            <w:shd w:val="clear" w:color="000000" w:fill="FFFFFF"/>
            <w:vAlign w:val="center"/>
            <w:hideMark/>
          </w:tcPr>
          <w:p w14:paraId="6A91145F" w14:textId="77777777" w:rsidR="008540F1" w:rsidRPr="008C761D" w:rsidRDefault="008540F1"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c>
          <w:tcPr>
            <w:tcW w:w="1771" w:type="dxa"/>
            <w:gridSpan w:val="3"/>
            <w:vMerge/>
            <w:tcBorders>
              <w:left w:val="single" w:sz="8" w:space="0" w:color="000000"/>
            </w:tcBorders>
            <w:vAlign w:val="center"/>
            <w:hideMark/>
          </w:tcPr>
          <w:p w14:paraId="5AC7825C"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194" w:type="dxa"/>
            <w:gridSpan w:val="3"/>
            <w:vMerge/>
            <w:vAlign w:val="center"/>
            <w:hideMark/>
          </w:tcPr>
          <w:p w14:paraId="32E0FB4F"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418" w:type="dxa"/>
            <w:gridSpan w:val="2"/>
            <w:vMerge/>
            <w:vAlign w:val="center"/>
            <w:hideMark/>
          </w:tcPr>
          <w:p w14:paraId="7C15D126"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644" w:type="dxa"/>
            <w:gridSpan w:val="3"/>
            <w:vMerge/>
            <w:vAlign w:val="center"/>
            <w:hideMark/>
          </w:tcPr>
          <w:p w14:paraId="6C059BA2"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758" w:type="dxa"/>
            <w:gridSpan w:val="2"/>
            <w:vMerge/>
            <w:shd w:val="clear" w:color="000000" w:fill="FFFF99"/>
            <w:vAlign w:val="center"/>
            <w:hideMark/>
          </w:tcPr>
          <w:p w14:paraId="2E30875F"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p>
        </w:tc>
        <w:tc>
          <w:tcPr>
            <w:tcW w:w="1842" w:type="dxa"/>
            <w:gridSpan w:val="3"/>
            <w:vMerge/>
            <w:shd w:val="clear" w:color="000000" w:fill="FFFF99"/>
            <w:vAlign w:val="center"/>
            <w:hideMark/>
          </w:tcPr>
          <w:p w14:paraId="16C6022F"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p>
        </w:tc>
        <w:tc>
          <w:tcPr>
            <w:tcW w:w="1506" w:type="dxa"/>
            <w:gridSpan w:val="3"/>
            <w:vMerge/>
            <w:vAlign w:val="center"/>
            <w:hideMark/>
          </w:tcPr>
          <w:p w14:paraId="454E812B" w14:textId="77777777" w:rsidR="008540F1" w:rsidRPr="008C761D" w:rsidRDefault="008540F1" w:rsidP="00485BAA">
            <w:pPr>
              <w:spacing w:after="0" w:line="240" w:lineRule="auto"/>
              <w:rPr>
                <w:rFonts w:ascii="Arial" w:eastAsia="Times New Roman" w:hAnsi="Arial" w:cs="Arial"/>
                <w:sz w:val="12"/>
                <w:szCs w:val="12"/>
                <w:lang w:val="en-US" w:eastAsia="mk-MK"/>
              </w:rPr>
            </w:pPr>
          </w:p>
        </w:tc>
      </w:tr>
      <w:tr w:rsidR="00485BAA" w:rsidRPr="008C761D" w14:paraId="7262C5AB" w14:textId="77777777" w:rsidTr="003F623B">
        <w:trPr>
          <w:gridBefore w:val="1"/>
          <w:gridAfter w:val="1"/>
          <w:wBefore w:w="17" w:type="dxa"/>
          <w:wAfter w:w="180" w:type="dxa"/>
          <w:trHeight w:val="207"/>
          <w:jc w:val="center"/>
        </w:trPr>
        <w:tc>
          <w:tcPr>
            <w:tcW w:w="13501" w:type="dxa"/>
            <w:gridSpan w:val="25"/>
            <w:shd w:val="clear" w:color="000000" w:fill="9BD2ED"/>
            <w:vAlign w:val="center"/>
            <w:hideMark/>
          </w:tcPr>
          <w:p w14:paraId="6B45DE01" w14:textId="3E3A879E"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77A56">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77A56">
              <w:rPr>
                <w:rFonts w:ascii="Arial" w:eastAsia="Times New Roman" w:hAnsi="Arial" w:cs="Arial"/>
                <w:b/>
                <w:bCs/>
                <w:sz w:val="12"/>
                <w:szCs w:val="12"/>
                <w:lang w:val="en-US" w:eastAsia="mk-MK"/>
              </w:rPr>
              <w:t xml:space="preserve">. </w:t>
            </w:r>
            <w:r w:rsidR="0014474B" w:rsidRPr="008C761D">
              <w:rPr>
                <w:rFonts w:ascii="Arial" w:eastAsia="Times New Roman" w:hAnsi="Arial" w:cs="Arial"/>
                <w:b/>
                <w:bCs/>
                <w:sz w:val="12"/>
                <w:szCs w:val="12"/>
                <w:lang w:val="en-US" w:eastAsia="mk-MK"/>
              </w:rPr>
              <w:t>Developing</w:t>
            </w:r>
            <w:r w:rsidR="008540F1" w:rsidRPr="008C761D">
              <w:rPr>
                <w:rFonts w:ascii="Arial" w:eastAsia="Times New Roman" w:hAnsi="Arial" w:cs="Arial"/>
                <w:b/>
                <w:bCs/>
                <w:sz w:val="12"/>
                <w:szCs w:val="12"/>
                <w:lang w:val="en-US" w:eastAsia="mk-MK"/>
              </w:rPr>
              <w:t>t of e-learning</w:t>
            </w:r>
            <w:r w:rsidR="00246335" w:rsidRPr="008C761D">
              <w:rPr>
                <w:rFonts w:ascii="Arial" w:eastAsia="Times New Roman" w:hAnsi="Arial" w:cs="Arial"/>
                <w:b/>
                <w:bCs/>
                <w:sz w:val="12"/>
                <w:szCs w:val="12"/>
                <w:lang w:val="en-US" w:eastAsia="mk-MK"/>
              </w:rPr>
              <w:t xml:space="preserve"> </w:t>
            </w:r>
            <w:r w:rsidR="008540F1" w:rsidRPr="008C761D">
              <w:rPr>
                <w:rFonts w:ascii="Arial" w:eastAsia="Times New Roman" w:hAnsi="Arial" w:cs="Arial"/>
                <w:b/>
                <w:bCs/>
                <w:sz w:val="12"/>
                <w:szCs w:val="12"/>
                <w:lang w:val="en-US" w:eastAsia="mk-MK"/>
              </w:rPr>
              <w:t>platform</w:t>
            </w:r>
          </w:p>
        </w:tc>
      </w:tr>
      <w:tr w:rsidR="00485BAA" w:rsidRPr="008C761D" w14:paraId="323C6676" w14:textId="77777777" w:rsidTr="003F623B">
        <w:trPr>
          <w:gridBefore w:val="1"/>
          <w:gridAfter w:val="1"/>
          <w:wBefore w:w="17" w:type="dxa"/>
          <w:wAfter w:w="180" w:type="dxa"/>
          <w:trHeight w:val="267"/>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5246345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6A5209B9" w14:textId="5B6A1E1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84BF989" w14:textId="5F0EF04A" w:rsidR="00485BAA" w:rsidRPr="008C761D" w:rsidRDefault="00134B6E"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 Source</w:t>
            </w:r>
          </w:p>
        </w:tc>
        <w:tc>
          <w:tcPr>
            <w:tcW w:w="1418" w:type="dxa"/>
            <w:gridSpan w:val="2"/>
            <w:shd w:val="clear" w:color="000000" w:fill="9BD2ED"/>
            <w:vAlign w:val="center"/>
            <w:hideMark/>
          </w:tcPr>
          <w:p w14:paraId="45B0FC3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8540F1"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31C8EF6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540F1"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495DE7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540F1"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04849271" w14:textId="77777777" w:rsidR="00485BAA" w:rsidRPr="008C761D" w:rsidRDefault="00485BAA" w:rsidP="008540F1">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540F1"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6CF29B4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8540F1" w:rsidRPr="008C761D">
              <w:rPr>
                <w:rFonts w:ascii="Arial" w:eastAsia="Times New Roman" w:hAnsi="Arial" w:cs="Arial"/>
                <w:b/>
                <w:bCs/>
                <w:sz w:val="12"/>
                <w:szCs w:val="12"/>
                <w:lang w:val="en-US" w:eastAsia="mk-MK"/>
              </w:rPr>
              <w:t>7</w:t>
            </w:r>
          </w:p>
        </w:tc>
      </w:tr>
      <w:tr w:rsidR="00F700C4" w:rsidRPr="008C761D" w14:paraId="22428C00" w14:textId="77777777" w:rsidTr="003F623B">
        <w:trPr>
          <w:gridBefore w:val="1"/>
          <w:gridAfter w:val="1"/>
          <w:wBefore w:w="17" w:type="dxa"/>
          <w:wAfter w:w="180" w:type="dxa"/>
          <w:trHeight w:val="270"/>
          <w:jc w:val="center"/>
        </w:trPr>
        <w:tc>
          <w:tcPr>
            <w:tcW w:w="2368" w:type="dxa"/>
            <w:gridSpan w:val="6"/>
            <w:vMerge/>
            <w:tcBorders>
              <w:top w:val="nil"/>
              <w:left w:val="nil"/>
              <w:bottom w:val="nil"/>
              <w:right w:val="single" w:sz="8" w:space="0" w:color="000000"/>
            </w:tcBorders>
            <w:vAlign w:val="center"/>
            <w:hideMark/>
          </w:tcPr>
          <w:p w14:paraId="52338B04" w14:textId="77777777" w:rsidR="00F700C4" w:rsidRPr="008C761D" w:rsidRDefault="00F700C4"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E69039A" w14:textId="26139706" w:rsidR="00F700C4" w:rsidRPr="008C761D" w:rsidRDefault="00F700C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organized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trainings</w:t>
            </w:r>
          </w:p>
        </w:tc>
        <w:tc>
          <w:tcPr>
            <w:tcW w:w="1194" w:type="dxa"/>
            <w:gridSpan w:val="3"/>
            <w:shd w:val="clear" w:color="000000" w:fill="FFFF99"/>
            <w:vAlign w:val="center"/>
            <w:hideMark/>
          </w:tcPr>
          <w:p w14:paraId="3DBBFB0B"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418" w:type="dxa"/>
            <w:gridSpan w:val="2"/>
            <w:shd w:val="clear" w:color="000000" w:fill="FFFF99"/>
            <w:vAlign w:val="center"/>
            <w:hideMark/>
          </w:tcPr>
          <w:p w14:paraId="6F9AB580"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1D31EDE8"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tc>
        <w:tc>
          <w:tcPr>
            <w:tcW w:w="1758" w:type="dxa"/>
            <w:gridSpan w:val="2"/>
            <w:shd w:val="clear" w:color="000000" w:fill="FFFF99"/>
            <w:vAlign w:val="center"/>
            <w:hideMark/>
          </w:tcPr>
          <w:p w14:paraId="1F80A13E"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842" w:type="dxa"/>
            <w:gridSpan w:val="3"/>
            <w:shd w:val="clear" w:color="000000" w:fill="FFFF99"/>
            <w:vAlign w:val="center"/>
            <w:hideMark/>
          </w:tcPr>
          <w:p w14:paraId="24B697B3"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w:t>
            </w:r>
          </w:p>
        </w:tc>
        <w:tc>
          <w:tcPr>
            <w:tcW w:w="1506" w:type="dxa"/>
            <w:gridSpan w:val="3"/>
            <w:shd w:val="clear" w:color="000000" w:fill="FFFF99"/>
            <w:vAlign w:val="center"/>
            <w:hideMark/>
          </w:tcPr>
          <w:p w14:paraId="0BE66F25" w14:textId="77777777" w:rsidR="00F700C4" w:rsidRPr="008C761D" w:rsidRDefault="00F700C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12</w:t>
            </w:r>
          </w:p>
        </w:tc>
      </w:tr>
      <w:tr w:rsidR="00485BAA" w:rsidRPr="008C761D" w14:paraId="5CF1832C" w14:textId="77777777" w:rsidTr="003F623B">
        <w:trPr>
          <w:gridBefore w:val="1"/>
          <w:gridAfter w:val="1"/>
          <w:wBefore w:w="17" w:type="dxa"/>
          <w:wAfter w:w="180" w:type="dxa"/>
          <w:trHeight w:val="317"/>
          <w:jc w:val="center"/>
        </w:trPr>
        <w:tc>
          <w:tcPr>
            <w:tcW w:w="2368" w:type="dxa"/>
            <w:gridSpan w:val="6"/>
            <w:vMerge/>
            <w:tcBorders>
              <w:top w:val="nil"/>
              <w:left w:val="nil"/>
              <w:bottom w:val="nil"/>
              <w:right w:val="single" w:sz="8" w:space="0" w:color="000000"/>
            </w:tcBorders>
            <w:vAlign w:val="center"/>
            <w:hideMark/>
          </w:tcPr>
          <w:p w14:paraId="6E01A04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4F6DF006" w14:textId="667180A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479DED52" w14:textId="589591B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10A64626" w14:textId="7D04708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55DDCDBC" w14:textId="2E5DAA5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392A8C6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058FC7F" w14:textId="49116EE5"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0DB6D0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8540F1" w:rsidRPr="008C761D" w14:paraId="64DC2F4B" w14:textId="77777777" w:rsidTr="003F623B">
        <w:trPr>
          <w:gridBefore w:val="1"/>
          <w:gridAfter w:val="1"/>
          <w:wBefore w:w="17" w:type="dxa"/>
          <w:wAfter w:w="180" w:type="dxa"/>
          <w:trHeight w:val="510"/>
          <w:jc w:val="center"/>
        </w:trPr>
        <w:tc>
          <w:tcPr>
            <w:tcW w:w="2368" w:type="dxa"/>
            <w:gridSpan w:val="6"/>
            <w:vMerge/>
            <w:tcBorders>
              <w:top w:val="nil"/>
              <w:left w:val="nil"/>
              <w:bottom w:val="nil"/>
              <w:right w:val="single" w:sz="8" w:space="0" w:color="000000"/>
            </w:tcBorders>
            <w:vAlign w:val="center"/>
          </w:tcPr>
          <w:p w14:paraId="38421796"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5A8F9ED8" w14:textId="439584B8"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Developing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 e – learning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platform</w:t>
            </w:r>
          </w:p>
        </w:tc>
        <w:tc>
          <w:tcPr>
            <w:tcW w:w="1194" w:type="dxa"/>
            <w:gridSpan w:val="3"/>
            <w:shd w:val="clear" w:color="000000" w:fill="FFFF99"/>
            <w:vAlign w:val="center"/>
          </w:tcPr>
          <w:p w14:paraId="52CDBE00"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2024-2025</w:t>
            </w:r>
          </w:p>
        </w:tc>
        <w:tc>
          <w:tcPr>
            <w:tcW w:w="1418" w:type="dxa"/>
            <w:gridSpan w:val="2"/>
            <w:shd w:val="clear" w:color="000000" w:fill="FFFF99"/>
            <w:vAlign w:val="center"/>
          </w:tcPr>
          <w:p w14:paraId="39FEF7AB" w14:textId="514FD01B" w:rsidR="008540F1"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tcPr>
          <w:p w14:paraId="057023A8"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758" w:type="dxa"/>
            <w:gridSpan w:val="2"/>
            <w:shd w:val="clear" w:color="000000" w:fill="FFFF99"/>
            <w:vAlign w:val="center"/>
          </w:tcPr>
          <w:p w14:paraId="3A1490EA" w14:textId="77777777"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50,000</w:t>
            </w:r>
          </w:p>
        </w:tc>
        <w:tc>
          <w:tcPr>
            <w:tcW w:w="1842" w:type="dxa"/>
            <w:gridSpan w:val="3"/>
            <w:shd w:val="clear" w:color="000000" w:fill="FFFF99"/>
            <w:vAlign w:val="center"/>
          </w:tcPr>
          <w:p w14:paraId="42083347" w14:textId="77777777"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506" w:type="dxa"/>
            <w:gridSpan w:val="3"/>
            <w:shd w:val="clear" w:color="000000" w:fill="FFFF99"/>
            <w:vAlign w:val="center"/>
          </w:tcPr>
          <w:p w14:paraId="4FA41591" w14:textId="2DEB4F80" w:rsidR="008540F1" w:rsidRPr="008C761D" w:rsidRDefault="008540F1" w:rsidP="00485BAA">
            <w:pPr>
              <w:spacing w:after="0" w:line="240" w:lineRule="auto"/>
              <w:jc w:val="center"/>
              <w:rPr>
                <w:rFonts w:ascii="Arial" w:eastAsia="Times New Roman" w:hAnsi="Arial" w:cs="Arial"/>
                <w:sz w:val="12"/>
                <w:szCs w:val="12"/>
                <w:lang w:val="en-US" w:eastAsia="mk-MK"/>
              </w:rPr>
            </w:pPr>
          </w:p>
        </w:tc>
      </w:tr>
      <w:tr w:rsidR="008540F1" w:rsidRPr="008C761D" w14:paraId="0A9DA991" w14:textId="77777777" w:rsidTr="003F623B">
        <w:trPr>
          <w:gridBefore w:val="1"/>
          <w:gridAfter w:val="1"/>
          <w:wBefore w:w="17" w:type="dxa"/>
          <w:wAfter w:w="180" w:type="dxa"/>
          <w:trHeight w:val="412"/>
          <w:jc w:val="center"/>
        </w:trPr>
        <w:tc>
          <w:tcPr>
            <w:tcW w:w="2368" w:type="dxa"/>
            <w:gridSpan w:val="6"/>
            <w:vMerge/>
            <w:tcBorders>
              <w:top w:val="nil"/>
              <w:left w:val="nil"/>
              <w:bottom w:val="nil"/>
              <w:right w:val="single" w:sz="8" w:space="0" w:color="000000"/>
            </w:tcBorders>
            <w:vAlign w:val="center"/>
            <w:hideMark/>
          </w:tcPr>
          <w:p w14:paraId="6E0F455B"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AE4B097" w14:textId="726FCC87"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Developing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video</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tutorial</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guidelines</w:t>
            </w:r>
          </w:p>
        </w:tc>
        <w:tc>
          <w:tcPr>
            <w:tcW w:w="1194" w:type="dxa"/>
            <w:gridSpan w:val="3"/>
            <w:shd w:val="clear" w:color="000000" w:fill="FFFF99"/>
            <w:vAlign w:val="center"/>
            <w:hideMark/>
          </w:tcPr>
          <w:p w14:paraId="12576680"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2024-2025</w:t>
            </w:r>
          </w:p>
        </w:tc>
        <w:tc>
          <w:tcPr>
            <w:tcW w:w="1418" w:type="dxa"/>
            <w:gridSpan w:val="2"/>
            <w:shd w:val="clear" w:color="000000" w:fill="FFFF99"/>
            <w:vAlign w:val="center"/>
            <w:hideMark/>
          </w:tcPr>
          <w:p w14:paraId="3E040794" w14:textId="727CB41A" w:rsidR="008540F1"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hideMark/>
          </w:tcPr>
          <w:p w14:paraId="3BA392C1"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758" w:type="dxa"/>
            <w:gridSpan w:val="2"/>
            <w:shd w:val="clear" w:color="000000" w:fill="FFFF99"/>
            <w:vAlign w:val="center"/>
            <w:hideMark/>
          </w:tcPr>
          <w:p w14:paraId="0D41D5BA"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p>
          <w:p w14:paraId="31B0EB5B" w14:textId="77777777"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6B41D108" w14:textId="77777777"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56FD0AFA" w14:textId="534234AA" w:rsidR="008540F1" w:rsidRPr="008C761D" w:rsidRDefault="008540F1" w:rsidP="00485BAA">
            <w:pPr>
              <w:spacing w:after="0" w:line="240" w:lineRule="auto"/>
              <w:jc w:val="center"/>
              <w:rPr>
                <w:rFonts w:ascii="Arial" w:eastAsia="Times New Roman" w:hAnsi="Arial" w:cs="Arial"/>
                <w:sz w:val="12"/>
                <w:szCs w:val="12"/>
                <w:lang w:val="en-US" w:eastAsia="mk-MK"/>
              </w:rPr>
            </w:pPr>
          </w:p>
          <w:p w14:paraId="449B0863"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8540F1" w:rsidRPr="008C761D" w14:paraId="03D11F32" w14:textId="77777777" w:rsidTr="003F623B">
        <w:trPr>
          <w:gridBefore w:val="1"/>
          <w:gridAfter w:val="1"/>
          <w:wBefore w:w="17" w:type="dxa"/>
          <w:wAfter w:w="180" w:type="dxa"/>
          <w:trHeight w:val="430"/>
          <w:jc w:val="center"/>
        </w:trPr>
        <w:tc>
          <w:tcPr>
            <w:tcW w:w="2368" w:type="dxa"/>
            <w:gridSpan w:val="6"/>
            <w:vMerge/>
            <w:tcBorders>
              <w:top w:val="nil"/>
              <w:left w:val="nil"/>
              <w:bottom w:val="nil"/>
              <w:right w:val="single" w:sz="8" w:space="0" w:color="000000"/>
            </w:tcBorders>
            <w:vAlign w:val="center"/>
            <w:hideMark/>
          </w:tcPr>
          <w:p w14:paraId="5D7ECCDB" w14:textId="77777777" w:rsidR="008540F1" w:rsidRPr="008C761D" w:rsidRDefault="008540F1"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485DBB4" w14:textId="7747F679" w:rsidR="008540F1" w:rsidRPr="008C761D" w:rsidRDefault="008540F1"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3.Organizing online</w:t>
            </w:r>
            <w:r w:rsidR="00246335" w:rsidRPr="008C761D">
              <w:rPr>
                <w:rFonts w:ascii="Arial" w:eastAsia="Times New Roman" w:hAnsi="Arial" w:cs="Arial"/>
                <w:sz w:val="12"/>
                <w:szCs w:val="12"/>
                <w:lang w:val="en-US" w:eastAsia="mk-MK"/>
              </w:rPr>
              <w:t xml:space="preserve"> </w:t>
            </w:r>
            <w:r w:rsidR="00134B6E" w:rsidRPr="008C761D">
              <w:rPr>
                <w:rFonts w:ascii="Arial" w:eastAsia="Times New Roman" w:hAnsi="Arial" w:cs="Arial"/>
                <w:sz w:val="12"/>
                <w:szCs w:val="12"/>
                <w:lang w:val="en-US" w:eastAsia="mk-MK"/>
              </w:rPr>
              <w:t>trainings</w:t>
            </w:r>
          </w:p>
        </w:tc>
        <w:tc>
          <w:tcPr>
            <w:tcW w:w="1194" w:type="dxa"/>
            <w:gridSpan w:val="3"/>
            <w:shd w:val="clear" w:color="000000" w:fill="FFFF99"/>
            <w:vAlign w:val="center"/>
            <w:hideMark/>
          </w:tcPr>
          <w:p w14:paraId="7E4A62AD" w14:textId="6B901926"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w:t>
            </w:r>
            <w:r w:rsidR="005E209F">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06B88255" w14:textId="66EA3AAC" w:rsidR="008540F1"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hideMark/>
          </w:tcPr>
          <w:p w14:paraId="6F6CB78A" w14:textId="7777777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758" w:type="dxa"/>
            <w:gridSpan w:val="2"/>
            <w:tcBorders>
              <w:right w:val="single" w:sz="8" w:space="0" w:color="000000"/>
            </w:tcBorders>
            <w:shd w:val="clear" w:color="000000" w:fill="FFFF99"/>
            <w:vAlign w:val="center"/>
            <w:hideMark/>
          </w:tcPr>
          <w:p w14:paraId="38CA1FF8" w14:textId="77777777" w:rsidR="008540F1" w:rsidRPr="008C761D" w:rsidRDefault="008540F1" w:rsidP="008540F1">
            <w:pPr>
              <w:spacing w:after="0" w:line="240" w:lineRule="auto"/>
              <w:jc w:val="center"/>
              <w:rPr>
                <w:rFonts w:ascii="Arial" w:eastAsia="Times New Roman" w:hAnsi="Arial" w:cs="Arial"/>
                <w:sz w:val="12"/>
                <w:szCs w:val="12"/>
                <w:lang w:val="en-US" w:eastAsia="mk-MK"/>
              </w:rPr>
            </w:pPr>
          </w:p>
          <w:p w14:paraId="3D394A3B" w14:textId="77777777"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59E18ACE" w14:textId="3A8D9634" w:rsidR="008540F1"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tcBorders>
              <w:left w:val="single" w:sz="8" w:space="0" w:color="000000"/>
            </w:tcBorders>
            <w:shd w:val="clear" w:color="000000" w:fill="FFFF99"/>
            <w:vAlign w:val="center"/>
            <w:hideMark/>
          </w:tcPr>
          <w:p w14:paraId="3C96E4B7" w14:textId="185A7367" w:rsidR="008540F1" w:rsidRPr="008C761D" w:rsidRDefault="008540F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727FA426" w14:textId="77777777" w:rsidTr="003F623B">
        <w:trPr>
          <w:gridBefore w:val="1"/>
          <w:gridAfter w:val="1"/>
          <w:wBefore w:w="17" w:type="dxa"/>
          <w:wAfter w:w="180" w:type="dxa"/>
          <w:trHeight w:val="190"/>
          <w:jc w:val="center"/>
        </w:trPr>
        <w:tc>
          <w:tcPr>
            <w:tcW w:w="13501" w:type="dxa"/>
            <w:gridSpan w:val="25"/>
            <w:shd w:val="clear" w:color="000000" w:fill="9BD2ED"/>
            <w:vAlign w:val="center"/>
            <w:hideMark/>
          </w:tcPr>
          <w:p w14:paraId="08A6650F" w14:textId="3A280B2F"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3</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8540F1" w:rsidRPr="008C761D">
              <w:rPr>
                <w:rFonts w:ascii="Arial" w:eastAsia="Times New Roman" w:hAnsi="Arial" w:cs="Arial"/>
                <w:b/>
                <w:bCs/>
                <w:sz w:val="12"/>
                <w:szCs w:val="12"/>
                <w:lang w:val="en-US" w:eastAsia="mk-MK"/>
              </w:rPr>
              <w:t>Developing</w:t>
            </w:r>
            <w:r w:rsidR="00246335" w:rsidRPr="008C761D">
              <w:rPr>
                <w:rFonts w:ascii="Arial" w:eastAsia="Times New Roman" w:hAnsi="Arial" w:cs="Arial"/>
                <w:b/>
                <w:bCs/>
                <w:sz w:val="12"/>
                <w:szCs w:val="12"/>
                <w:lang w:val="en-US" w:eastAsia="mk-MK"/>
              </w:rPr>
              <w:t xml:space="preserve"> </w:t>
            </w:r>
            <w:r w:rsidR="008540F1" w:rsidRPr="008C761D">
              <w:rPr>
                <w:rFonts w:ascii="Arial" w:eastAsia="Times New Roman" w:hAnsi="Arial" w:cs="Arial"/>
                <w:b/>
                <w:bCs/>
                <w:sz w:val="12"/>
                <w:szCs w:val="12"/>
                <w:lang w:val="en-US" w:eastAsia="mk-MK"/>
              </w:rPr>
              <w:t>leadership</w:t>
            </w:r>
            <w:r w:rsidR="00246335" w:rsidRPr="008C761D">
              <w:rPr>
                <w:rFonts w:ascii="Arial" w:eastAsia="Times New Roman" w:hAnsi="Arial" w:cs="Arial"/>
                <w:b/>
                <w:bCs/>
                <w:sz w:val="12"/>
                <w:szCs w:val="12"/>
                <w:lang w:val="en-US" w:eastAsia="mk-MK"/>
              </w:rPr>
              <w:t xml:space="preserve"> </w:t>
            </w:r>
            <w:r w:rsidR="008540F1" w:rsidRPr="008C761D">
              <w:rPr>
                <w:rFonts w:ascii="Arial" w:eastAsia="Times New Roman" w:hAnsi="Arial" w:cs="Arial"/>
                <w:b/>
                <w:bCs/>
                <w:sz w:val="12"/>
                <w:szCs w:val="12"/>
                <w:lang w:val="en-US" w:eastAsia="mk-MK"/>
              </w:rPr>
              <w:t>program</w:t>
            </w:r>
          </w:p>
        </w:tc>
      </w:tr>
      <w:tr w:rsidR="00485BAA" w:rsidRPr="008C761D" w14:paraId="585829BF" w14:textId="77777777" w:rsidTr="003F623B">
        <w:trPr>
          <w:gridBefore w:val="1"/>
          <w:gridAfter w:val="1"/>
          <w:wBefore w:w="17" w:type="dxa"/>
          <w:wAfter w:w="180" w:type="dxa"/>
          <w:trHeight w:val="223"/>
          <w:jc w:val="center"/>
        </w:trPr>
        <w:tc>
          <w:tcPr>
            <w:tcW w:w="2368" w:type="dxa"/>
            <w:gridSpan w:val="6"/>
            <w:vMerge w:val="restart"/>
            <w:tcBorders>
              <w:top w:val="nil"/>
              <w:left w:val="nil"/>
              <w:bottom w:val="nil"/>
              <w:right w:val="single" w:sz="8" w:space="0" w:color="000000"/>
            </w:tcBorders>
            <w:shd w:val="clear" w:color="auto" w:fill="auto"/>
            <w:vAlign w:val="center"/>
            <w:hideMark/>
          </w:tcPr>
          <w:p w14:paraId="25C92C6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31B878B4" w14:textId="552D8C1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0CFB67B6" w14:textId="4F63A30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23C66E3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674329"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0E7DDC57" w14:textId="77777777" w:rsidR="00485BAA" w:rsidRPr="008C761D" w:rsidRDefault="00485BAA" w:rsidP="002463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674329"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D7AB23A" w14:textId="77777777" w:rsidR="00485BAA" w:rsidRPr="008C761D" w:rsidRDefault="00485BAA" w:rsidP="002463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674329"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7140C86" w14:textId="77777777" w:rsidR="00485BAA" w:rsidRPr="008C761D" w:rsidRDefault="00485BAA" w:rsidP="002463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674329"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7314607" w14:textId="77777777" w:rsidR="00485BAA" w:rsidRPr="008C761D" w:rsidRDefault="00485BAA" w:rsidP="002463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674329" w:rsidRPr="008C761D">
              <w:rPr>
                <w:rFonts w:ascii="Arial" w:eastAsia="Times New Roman" w:hAnsi="Arial" w:cs="Arial"/>
                <w:b/>
                <w:bCs/>
                <w:sz w:val="12"/>
                <w:szCs w:val="12"/>
                <w:lang w:val="en-US" w:eastAsia="mk-MK"/>
              </w:rPr>
              <w:t>7</w:t>
            </w:r>
          </w:p>
        </w:tc>
      </w:tr>
      <w:tr w:rsidR="00485BAA" w:rsidRPr="008C761D" w14:paraId="4ED28E39" w14:textId="77777777" w:rsidTr="003F623B">
        <w:trPr>
          <w:gridBefore w:val="1"/>
          <w:gridAfter w:val="1"/>
          <w:wBefore w:w="17" w:type="dxa"/>
          <w:wAfter w:w="180" w:type="dxa"/>
          <w:trHeight w:val="499"/>
          <w:jc w:val="center"/>
        </w:trPr>
        <w:tc>
          <w:tcPr>
            <w:tcW w:w="2368" w:type="dxa"/>
            <w:gridSpan w:val="6"/>
            <w:vMerge/>
            <w:tcBorders>
              <w:top w:val="nil"/>
              <w:left w:val="nil"/>
              <w:bottom w:val="nil"/>
              <w:right w:val="single" w:sz="8" w:space="0" w:color="000000"/>
            </w:tcBorders>
            <w:vAlign w:val="center"/>
            <w:hideMark/>
          </w:tcPr>
          <w:p w14:paraId="49466EDC"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17CC09" w14:textId="45213B16" w:rsidR="00485BAA" w:rsidRPr="008C761D" w:rsidRDefault="00674329"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Organizing</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leadership </w:t>
            </w:r>
            <w:r w:rsidR="00134B6E" w:rsidRPr="008C761D">
              <w:rPr>
                <w:rFonts w:ascii="Arial" w:eastAsia="Times New Roman" w:hAnsi="Arial" w:cs="Arial"/>
                <w:sz w:val="12"/>
                <w:szCs w:val="12"/>
                <w:lang w:val="en-US" w:eastAsia="mk-MK"/>
              </w:rPr>
              <w:t>trainings</w:t>
            </w:r>
          </w:p>
        </w:tc>
        <w:tc>
          <w:tcPr>
            <w:tcW w:w="1194" w:type="dxa"/>
            <w:gridSpan w:val="3"/>
            <w:shd w:val="clear" w:color="000000" w:fill="FFFF99"/>
            <w:vAlign w:val="center"/>
            <w:hideMark/>
          </w:tcPr>
          <w:p w14:paraId="61FB2E23" w14:textId="58BF932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24633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tc>
        <w:tc>
          <w:tcPr>
            <w:tcW w:w="1418" w:type="dxa"/>
            <w:gridSpan w:val="2"/>
            <w:shd w:val="clear" w:color="000000" w:fill="FFFF99"/>
            <w:vAlign w:val="center"/>
            <w:hideMark/>
          </w:tcPr>
          <w:p w14:paraId="7C25EFB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566B55F7"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758" w:type="dxa"/>
            <w:gridSpan w:val="2"/>
            <w:shd w:val="clear" w:color="000000" w:fill="FFFF99"/>
            <w:vAlign w:val="center"/>
            <w:hideMark/>
          </w:tcPr>
          <w:p w14:paraId="6ECDCE01"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6864DE11"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506" w:type="dxa"/>
            <w:gridSpan w:val="3"/>
            <w:shd w:val="clear" w:color="000000" w:fill="FFFF99"/>
            <w:vAlign w:val="center"/>
            <w:hideMark/>
          </w:tcPr>
          <w:p w14:paraId="00A82CF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r>
      <w:tr w:rsidR="00485BAA" w:rsidRPr="008C761D" w14:paraId="5B0C1891" w14:textId="77777777" w:rsidTr="003F623B">
        <w:trPr>
          <w:gridBefore w:val="1"/>
          <w:gridAfter w:val="1"/>
          <w:wBefore w:w="17" w:type="dxa"/>
          <w:wAfter w:w="180" w:type="dxa"/>
          <w:trHeight w:val="349"/>
          <w:jc w:val="center"/>
        </w:trPr>
        <w:tc>
          <w:tcPr>
            <w:tcW w:w="2368" w:type="dxa"/>
            <w:gridSpan w:val="6"/>
            <w:vMerge/>
            <w:tcBorders>
              <w:top w:val="nil"/>
              <w:left w:val="nil"/>
              <w:bottom w:val="nil"/>
              <w:right w:val="single" w:sz="8" w:space="0" w:color="000000"/>
            </w:tcBorders>
            <w:vAlign w:val="center"/>
            <w:hideMark/>
          </w:tcPr>
          <w:p w14:paraId="7EA6EFE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654E7C5C" w14:textId="2D41E09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Activities</w:t>
            </w:r>
          </w:p>
        </w:tc>
        <w:tc>
          <w:tcPr>
            <w:tcW w:w="1194" w:type="dxa"/>
            <w:gridSpan w:val="3"/>
            <w:shd w:val="clear" w:color="000000" w:fill="9BD2ED"/>
            <w:vAlign w:val="center"/>
            <w:hideMark/>
          </w:tcPr>
          <w:p w14:paraId="0F05B09D" w14:textId="487D1D2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Implementation</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period</w:t>
            </w:r>
          </w:p>
        </w:tc>
        <w:tc>
          <w:tcPr>
            <w:tcW w:w="1418" w:type="dxa"/>
            <w:gridSpan w:val="2"/>
            <w:shd w:val="clear" w:color="000000" w:fill="9BD2ED"/>
            <w:vAlign w:val="center"/>
            <w:hideMark/>
          </w:tcPr>
          <w:p w14:paraId="68552CAF" w14:textId="02D34C4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6A01183" w14:textId="7F22696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5CCA38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76AB7E09" w14:textId="2A4C5E5F"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C0F1E5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7007DA6E" w14:textId="77777777" w:rsidTr="003F623B">
        <w:trPr>
          <w:gridBefore w:val="1"/>
          <w:gridAfter w:val="1"/>
          <w:wBefore w:w="17" w:type="dxa"/>
          <w:wAfter w:w="180" w:type="dxa"/>
          <w:trHeight w:val="484"/>
          <w:jc w:val="center"/>
        </w:trPr>
        <w:tc>
          <w:tcPr>
            <w:tcW w:w="2368" w:type="dxa"/>
            <w:gridSpan w:val="6"/>
            <w:vMerge/>
            <w:tcBorders>
              <w:top w:val="nil"/>
              <w:left w:val="nil"/>
              <w:bottom w:val="nil"/>
              <w:right w:val="single" w:sz="8" w:space="0" w:color="000000"/>
            </w:tcBorders>
            <w:vAlign w:val="center"/>
            <w:hideMark/>
          </w:tcPr>
          <w:p w14:paraId="7A17638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E51ADEB" w14:textId="23CA016A"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Developing methodology for preparing annual training programme and </w:t>
            </w:r>
            <w:r w:rsidRPr="008C761D" w:rsidDel="000A0508">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 curriculum</w:t>
            </w:r>
          </w:p>
        </w:tc>
        <w:tc>
          <w:tcPr>
            <w:tcW w:w="1194" w:type="dxa"/>
            <w:gridSpan w:val="3"/>
            <w:shd w:val="clear" w:color="000000" w:fill="FFFF99"/>
            <w:vAlign w:val="center"/>
            <w:hideMark/>
          </w:tcPr>
          <w:p w14:paraId="4E8A1106"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2026-2027</w:t>
            </w:r>
          </w:p>
        </w:tc>
        <w:tc>
          <w:tcPr>
            <w:tcW w:w="1418" w:type="dxa"/>
            <w:gridSpan w:val="2"/>
            <w:shd w:val="clear" w:color="000000" w:fill="FFFF99"/>
            <w:vAlign w:val="center"/>
            <w:hideMark/>
          </w:tcPr>
          <w:p w14:paraId="21BBE860" w14:textId="6B6D4A33" w:rsidR="00485BAA"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hideMark/>
          </w:tcPr>
          <w:p w14:paraId="40CE7282"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758" w:type="dxa"/>
            <w:gridSpan w:val="2"/>
            <w:shd w:val="clear" w:color="000000" w:fill="FFFF99"/>
            <w:vAlign w:val="center"/>
            <w:hideMark/>
          </w:tcPr>
          <w:p w14:paraId="4B0BB194" w14:textId="69B036B8" w:rsidR="00485BAA"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30,000</w:t>
            </w:r>
          </w:p>
        </w:tc>
        <w:tc>
          <w:tcPr>
            <w:tcW w:w="1842" w:type="dxa"/>
            <w:gridSpan w:val="3"/>
            <w:shd w:val="clear" w:color="000000" w:fill="FFFF99"/>
            <w:vAlign w:val="center"/>
            <w:hideMark/>
          </w:tcPr>
          <w:p w14:paraId="1AA85821" w14:textId="77777777" w:rsidR="00485BAA"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506" w:type="dxa"/>
            <w:gridSpan w:val="3"/>
            <w:shd w:val="clear" w:color="000000" w:fill="FFFF99"/>
            <w:vAlign w:val="center"/>
            <w:hideMark/>
          </w:tcPr>
          <w:p w14:paraId="4749A9E7" w14:textId="4B306F33"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674329" w:rsidRPr="008C761D" w14:paraId="197D2D38" w14:textId="77777777" w:rsidTr="003F623B">
        <w:trPr>
          <w:gridBefore w:val="1"/>
          <w:gridAfter w:val="1"/>
          <w:wBefore w:w="17" w:type="dxa"/>
          <w:wAfter w:w="180" w:type="dxa"/>
          <w:trHeight w:val="484"/>
          <w:jc w:val="center"/>
        </w:trPr>
        <w:tc>
          <w:tcPr>
            <w:tcW w:w="2368" w:type="dxa"/>
            <w:gridSpan w:val="6"/>
            <w:tcBorders>
              <w:top w:val="nil"/>
              <w:left w:val="nil"/>
              <w:bottom w:val="nil"/>
              <w:right w:val="single" w:sz="8" w:space="0" w:color="000000"/>
            </w:tcBorders>
            <w:vAlign w:val="center"/>
          </w:tcPr>
          <w:p w14:paraId="1A1431D5" w14:textId="77777777" w:rsidR="00674329" w:rsidRPr="008C761D" w:rsidRDefault="00674329"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13C86B09" w14:textId="28302A14" w:rsidR="00674329" w:rsidRPr="008C761D" w:rsidRDefault="0014474B"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674329" w:rsidRPr="008C761D">
              <w:rPr>
                <w:rFonts w:ascii="Arial" w:eastAsia="Times New Roman" w:hAnsi="Arial" w:cs="Arial"/>
                <w:sz w:val="12"/>
                <w:szCs w:val="12"/>
                <w:lang w:val="en-US" w:eastAsia="mk-MK"/>
              </w:rPr>
              <w:t>.Organizing trainings</w:t>
            </w:r>
          </w:p>
        </w:tc>
        <w:tc>
          <w:tcPr>
            <w:tcW w:w="1194" w:type="dxa"/>
            <w:gridSpan w:val="3"/>
            <w:shd w:val="clear" w:color="000000" w:fill="FFFF99"/>
            <w:vAlign w:val="center"/>
          </w:tcPr>
          <w:p w14:paraId="0ABEE3A8" w14:textId="77777777" w:rsidR="00674329"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2026-2027</w:t>
            </w:r>
          </w:p>
        </w:tc>
        <w:tc>
          <w:tcPr>
            <w:tcW w:w="1418" w:type="dxa"/>
            <w:gridSpan w:val="2"/>
            <w:shd w:val="clear" w:color="000000" w:fill="FFFF99"/>
            <w:vAlign w:val="center"/>
          </w:tcPr>
          <w:p w14:paraId="58305E06" w14:textId="73AEF541" w:rsidR="00674329" w:rsidRPr="008C761D" w:rsidRDefault="00F9037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Pr>
                <w:rFonts w:ascii="Arial" w:eastAsia="Times New Roman" w:hAnsi="Arial" w:cs="Arial"/>
                <w:sz w:val="12"/>
                <w:szCs w:val="12"/>
                <w:lang w:val="en-US" w:eastAsia="mk-MK"/>
              </w:rPr>
              <w:t xml:space="preserve"> – PF Academy</w:t>
            </w:r>
          </w:p>
        </w:tc>
        <w:tc>
          <w:tcPr>
            <w:tcW w:w="1644" w:type="dxa"/>
            <w:gridSpan w:val="3"/>
            <w:shd w:val="clear" w:color="000000" w:fill="FFFF99"/>
            <w:vAlign w:val="center"/>
          </w:tcPr>
          <w:p w14:paraId="5293FCA5" w14:textId="77777777" w:rsidR="00674329"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Donators</w:t>
            </w:r>
          </w:p>
        </w:tc>
        <w:tc>
          <w:tcPr>
            <w:tcW w:w="1758" w:type="dxa"/>
            <w:gridSpan w:val="2"/>
            <w:shd w:val="clear" w:color="000000" w:fill="FFFF99"/>
            <w:vAlign w:val="center"/>
          </w:tcPr>
          <w:p w14:paraId="1250386F" w14:textId="77777777" w:rsidR="00674329" w:rsidRPr="008C761D" w:rsidRDefault="0067432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2A91C2C8" w14:textId="5ACB170F" w:rsidR="00674329" w:rsidRPr="008C761D" w:rsidRDefault="002B441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34EA3EEF" w14:textId="1C26D231" w:rsidR="00674329" w:rsidRPr="008C761D" w:rsidRDefault="00674329" w:rsidP="00FC63A0">
            <w:pPr>
              <w:spacing w:after="0" w:line="240" w:lineRule="auto"/>
              <w:rPr>
                <w:rFonts w:ascii="Arial" w:eastAsia="Times New Roman" w:hAnsi="Arial" w:cs="Arial"/>
                <w:sz w:val="12"/>
                <w:szCs w:val="12"/>
                <w:lang w:val="en-US" w:eastAsia="mk-MK"/>
              </w:rPr>
            </w:pPr>
          </w:p>
        </w:tc>
      </w:tr>
      <w:tr w:rsidR="00485BAA" w:rsidRPr="008C761D" w14:paraId="163C3D62" w14:textId="77777777" w:rsidTr="003F623B">
        <w:trPr>
          <w:gridBefore w:val="1"/>
          <w:gridAfter w:val="1"/>
          <w:wBefore w:w="17" w:type="dxa"/>
          <w:wAfter w:w="180" w:type="dxa"/>
          <w:trHeight w:val="304"/>
          <w:jc w:val="center"/>
        </w:trPr>
        <w:tc>
          <w:tcPr>
            <w:tcW w:w="13501" w:type="dxa"/>
            <w:gridSpan w:val="25"/>
            <w:shd w:val="clear" w:color="000000" w:fill="1F3864"/>
            <w:vAlign w:val="center"/>
            <w:hideMark/>
          </w:tcPr>
          <w:p w14:paraId="723C8160" w14:textId="2D500E6A"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Public</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Internal</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Financial</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Control</w:t>
            </w:r>
          </w:p>
        </w:tc>
      </w:tr>
      <w:tr w:rsidR="00485BAA" w:rsidRPr="008C761D" w14:paraId="77799C61" w14:textId="77777777" w:rsidTr="003F623B">
        <w:trPr>
          <w:gridBefore w:val="1"/>
          <w:gridAfter w:val="1"/>
          <w:wBefore w:w="17" w:type="dxa"/>
          <w:wAfter w:w="180" w:type="dxa"/>
          <w:trHeight w:val="340"/>
          <w:jc w:val="center"/>
        </w:trPr>
        <w:tc>
          <w:tcPr>
            <w:tcW w:w="13501" w:type="dxa"/>
            <w:gridSpan w:val="25"/>
            <w:shd w:val="clear" w:color="000000" w:fill="1F3864"/>
            <w:vAlign w:val="center"/>
            <w:hideMark/>
          </w:tcPr>
          <w:p w14:paraId="200B95AC" w14:textId="546D8280"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Financial</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management</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24633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control</w:t>
            </w:r>
          </w:p>
        </w:tc>
      </w:tr>
      <w:tr w:rsidR="00485BAA" w:rsidRPr="008C761D" w14:paraId="48D1F30B" w14:textId="77777777" w:rsidTr="003F623B">
        <w:trPr>
          <w:gridBefore w:val="1"/>
          <w:gridAfter w:val="1"/>
          <w:wBefore w:w="17" w:type="dxa"/>
          <w:wAfter w:w="180" w:type="dxa"/>
          <w:trHeight w:val="358"/>
          <w:jc w:val="center"/>
        </w:trPr>
        <w:tc>
          <w:tcPr>
            <w:tcW w:w="2368" w:type="dxa"/>
            <w:gridSpan w:val="6"/>
            <w:shd w:val="clear" w:color="000000" w:fill="9BD2ED"/>
            <w:vAlign w:val="center"/>
            <w:hideMark/>
          </w:tcPr>
          <w:p w14:paraId="0F713E9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067AB206" w14:textId="121F1BA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2C0C4621" w14:textId="4E73B9A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6DEB316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B65B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2D45A2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B65B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579424B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B65B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951A5D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B65B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7C544B1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0B65BB" w:rsidRPr="008C761D">
              <w:rPr>
                <w:rFonts w:ascii="Arial" w:eastAsia="Times New Roman" w:hAnsi="Arial" w:cs="Arial"/>
                <w:b/>
                <w:bCs/>
                <w:sz w:val="12"/>
                <w:szCs w:val="12"/>
                <w:lang w:val="en-US" w:eastAsia="mk-MK"/>
              </w:rPr>
              <w:t>7</w:t>
            </w:r>
          </w:p>
        </w:tc>
      </w:tr>
      <w:tr w:rsidR="000B65BB" w:rsidRPr="008C761D" w14:paraId="57ABA6E6" w14:textId="77777777" w:rsidTr="003F623B">
        <w:trPr>
          <w:gridBefore w:val="1"/>
          <w:gridAfter w:val="1"/>
          <w:wBefore w:w="17" w:type="dxa"/>
          <w:wAfter w:w="180" w:type="dxa"/>
          <w:trHeight w:val="822"/>
          <w:jc w:val="center"/>
        </w:trPr>
        <w:tc>
          <w:tcPr>
            <w:tcW w:w="2368" w:type="dxa"/>
            <w:gridSpan w:val="6"/>
            <w:vMerge w:val="restart"/>
            <w:shd w:val="clear" w:color="000000" w:fill="FFFF99"/>
            <w:vAlign w:val="center"/>
            <w:hideMark/>
          </w:tcPr>
          <w:p w14:paraId="3965DBAA" w14:textId="0E0CA429" w:rsidR="000B65BB"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procedures for key financial management elements</w:t>
            </w:r>
          </w:p>
        </w:tc>
        <w:tc>
          <w:tcPr>
            <w:tcW w:w="1771" w:type="dxa"/>
            <w:gridSpan w:val="3"/>
            <w:shd w:val="clear" w:color="000000" w:fill="FFFF99"/>
            <w:vAlign w:val="center"/>
            <w:hideMark/>
          </w:tcPr>
          <w:p w14:paraId="13A8ED77" w14:textId="7B88A316" w:rsidR="000B65BB"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institutions that have applied the guidelines for risk management in their operations</w:t>
            </w:r>
          </w:p>
        </w:tc>
        <w:tc>
          <w:tcPr>
            <w:tcW w:w="1194" w:type="dxa"/>
            <w:gridSpan w:val="3"/>
            <w:shd w:val="clear" w:color="000000" w:fill="FFFF99"/>
            <w:vAlign w:val="center"/>
            <w:hideMark/>
          </w:tcPr>
          <w:p w14:paraId="52AAA680"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77C26625"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
        </w:tc>
        <w:tc>
          <w:tcPr>
            <w:tcW w:w="1644" w:type="dxa"/>
            <w:gridSpan w:val="3"/>
            <w:shd w:val="clear" w:color="000000" w:fill="FFFF99"/>
            <w:vAlign w:val="center"/>
            <w:hideMark/>
          </w:tcPr>
          <w:p w14:paraId="77D59DFD"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55</w:t>
            </w:r>
          </w:p>
        </w:tc>
        <w:tc>
          <w:tcPr>
            <w:tcW w:w="1758" w:type="dxa"/>
            <w:gridSpan w:val="2"/>
            <w:shd w:val="clear" w:color="000000" w:fill="FFFF99"/>
            <w:vAlign w:val="center"/>
            <w:hideMark/>
          </w:tcPr>
          <w:p w14:paraId="591AD930"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hideMark/>
          </w:tcPr>
          <w:p w14:paraId="760ADE07"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65</w:t>
            </w:r>
          </w:p>
        </w:tc>
        <w:tc>
          <w:tcPr>
            <w:tcW w:w="1506" w:type="dxa"/>
            <w:gridSpan w:val="3"/>
            <w:shd w:val="clear" w:color="000000" w:fill="FFFF99"/>
            <w:vAlign w:val="center"/>
            <w:hideMark/>
          </w:tcPr>
          <w:p w14:paraId="19F49959"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r>
      <w:tr w:rsidR="000B65BB" w:rsidRPr="008C761D" w14:paraId="0D0E5E88" w14:textId="77777777" w:rsidTr="003F623B">
        <w:trPr>
          <w:gridBefore w:val="1"/>
          <w:gridAfter w:val="1"/>
          <w:wBefore w:w="17" w:type="dxa"/>
          <w:wAfter w:w="180" w:type="dxa"/>
          <w:trHeight w:val="822"/>
          <w:jc w:val="center"/>
        </w:trPr>
        <w:tc>
          <w:tcPr>
            <w:tcW w:w="2368" w:type="dxa"/>
            <w:gridSpan w:val="6"/>
            <w:vMerge/>
            <w:shd w:val="clear" w:color="000000" w:fill="FFFF99"/>
            <w:vAlign w:val="center"/>
          </w:tcPr>
          <w:p w14:paraId="6F2EAEE7" w14:textId="77777777" w:rsidR="000B65BB" w:rsidRPr="008C761D" w:rsidRDefault="000B65BB"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tcPr>
          <w:p w14:paraId="2E57E19C" w14:textId="77777777" w:rsidR="00246335" w:rsidRPr="008C761D" w:rsidRDefault="00246335" w:rsidP="0024633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Percentage of institutions that have delegated </w:t>
            </w:r>
            <w:r w:rsidRPr="008C761D">
              <w:rPr>
                <w:lang w:val="en-US"/>
              </w:rPr>
              <w:t>a</w:t>
            </w:r>
            <w:r w:rsidRPr="008C761D">
              <w:rPr>
                <w:rFonts w:ascii="Arial" w:eastAsia="Times New Roman" w:hAnsi="Arial" w:cs="Arial"/>
                <w:sz w:val="12"/>
                <w:szCs w:val="12"/>
                <w:lang w:val="en-US" w:eastAsia="mk-MK"/>
              </w:rPr>
              <w:t>uthorities and responsibilities for financial management and control</w:t>
            </w:r>
          </w:p>
          <w:p w14:paraId="3593FA7E" w14:textId="77777777" w:rsidR="000B65BB" w:rsidRPr="008C761D" w:rsidRDefault="000B65BB"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tcPr>
          <w:p w14:paraId="08FD824D"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tcPr>
          <w:p w14:paraId="007C853D"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40</w:t>
            </w:r>
          </w:p>
        </w:tc>
        <w:tc>
          <w:tcPr>
            <w:tcW w:w="1644" w:type="dxa"/>
            <w:gridSpan w:val="3"/>
            <w:shd w:val="clear" w:color="000000" w:fill="FFFF99"/>
            <w:vAlign w:val="center"/>
          </w:tcPr>
          <w:p w14:paraId="441030A7"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
        </w:tc>
        <w:tc>
          <w:tcPr>
            <w:tcW w:w="1758" w:type="dxa"/>
            <w:gridSpan w:val="2"/>
            <w:shd w:val="clear" w:color="000000" w:fill="FFFF99"/>
            <w:vAlign w:val="center"/>
          </w:tcPr>
          <w:p w14:paraId="3C27590D"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tcPr>
          <w:p w14:paraId="4C90199E"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506" w:type="dxa"/>
            <w:gridSpan w:val="3"/>
            <w:shd w:val="clear" w:color="000000" w:fill="FFFF99"/>
            <w:vAlign w:val="center"/>
          </w:tcPr>
          <w:p w14:paraId="4F33B0B1"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r>
      <w:tr w:rsidR="000B65BB" w:rsidRPr="008C761D" w14:paraId="017741F8" w14:textId="77777777" w:rsidTr="003F623B">
        <w:trPr>
          <w:gridBefore w:val="1"/>
          <w:gridAfter w:val="1"/>
          <w:wBefore w:w="17" w:type="dxa"/>
          <w:wAfter w:w="180" w:type="dxa"/>
          <w:trHeight w:val="822"/>
          <w:jc w:val="center"/>
        </w:trPr>
        <w:tc>
          <w:tcPr>
            <w:tcW w:w="2368" w:type="dxa"/>
            <w:gridSpan w:val="6"/>
            <w:vMerge/>
            <w:shd w:val="clear" w:color="000000" w:fill="FFFF99"/>
            <w:vAlign w:val="center"/>
          </w:tcPr>
          <w:p w14:paraId="7B4D2DEB" w14:textId="77777777" w:rsidR="000B65BB" w:rsidRPr="008C761D" w:rsidRDefault="000B65BB"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tcPr>
          <w:p w14:paraId="5AE77825" w14:textId="1E704860" w:rsidR="000B65BB"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implemented recommendations given during quality checks</w:t>
            </w:r>
          </w:p>
        </w:tc>
        <w:tc>
          <w:tcPr>
            <w:tcW w:w="1194" w:type="dxa"/>
            <w:gridSpan w:val="3"/>
            <w:shd w:val="clear" w:color="000000" w:fill="FFFF99"/>
            <w:vAlign w:val="center"/>
          </w:tcPr>
          <w:p w14:paraId="7CF9134E"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tcPr>
          <w:p w14:paraId="7A669ECE"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tcPr>
          <w:p w14:paraId="4DE72E42"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
        </w:tc>
        <w:tc>
          <w:tcPr>
            <w:tcW w:w="1758" w:type="dxa"/>
            <w:gridSpan w:val="2"/>
            <w:shd w:val="clear" w:color="000000" w:fill="FFFF99"/>
            <w:vAlign w:val="center"/>
          </w:tcPr>
          <w:p w14:paraId="38E689B2"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tcPr>
          <w:p w14:paraId="7F3D44D5"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506" w:type="dxa"/>
            <w:gridSpan w:val="3"/>
            <w:shd w:val="clear" w:color="000000" w:fill="FFFF99"/>
            <w:vAlign w:val="center"/>
          </w:tcPr>
          <w:p w14:paraId="6C86910B" w14:textId="77777777" w:rsidR="000B65BB"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r>
      <w:tr w:rsidR="00485BAA" w:rsidRPr="008C761D" w14:paraId="13BE43F0" w14:textId="77777777" w:rsidTr="003F623B">
        <w:trPr>
          <w:gridBefore w:val="1"/>
          <w:gridAfter w:val="1"/>
          <w:wBefore w:w="17" w:type="dxa"/>
          <w:wAfter w:w="180" w:type="dxa"/>
          <w:trHeight w:val="315"/>
          <w:jc w:val="center"/>
        </w:trPr>
        <w:tc>
          <w:tcPr>
            <w:tcW w:w="13501" w:type="dxa"/>
            <w:gridSpan w:val="25"/>
            <w:shd w:val="clear" w:color="000000" w:fill="9BD2ED"/>
            <w:vAlign w:val="center"/>
            <w:hideMark/>
          </w:tcPr>
          <w:p w14:paraId="572A7B05" w14:textId="0B9418C6" w:rsidR="00485BAA" w:rsidRPr="008C761D" w:rsidRDefault="00542194"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00246335" w:rsidRPr="008C761D">
              <w:rPr>
                <w:rFonts w:ascii="Arial" w:eastAsia="Times New Roman" w:hAnsi="Arial" w:cs="Arial"/>
                <w:b/>
                <w:bCs/>
                <w:sz w:val="12"/>
                <w:szCs w:val="12"/>
                <w:lang w:val="en-US" w:eastAsia="mk-MK"/>
              </w:rPr>
              <w:t xml:space="preserve"> Creating the conditions for improvement of a system of financial management based on risk management</w:t>
            </w:r>
          </w:p>
        </w:tc>
      </w:tr>
      <w:tr w:rsidR="00485BAA" w:rsidRPr="008C761D" w14:paraId="0ED193D4" w14:textId="77777777" w:rsidTr="003F623B">
        <w:trPr>
          <w:gridBefore w:val="1"/>
          <w:gridAfter w:val="1"/>
          <w:wBefore w:w="17" w:type="dxa"/>
          <w:wAfter w:w="180" w:type="dxa"/>
          <w:trHeight w:val="495"/>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05411A5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2D9B5DE2" w14:textId="18648D7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3C6D7361" w14:textId="6493869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24633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DF026A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0B65B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1106D8E4"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0B65B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EBB539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0B65B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038344AB" w14:textId="77777777" w:rsidR="00485BAA" w:rsidRPr="008C761D" w:rsidRDefault="00485BAA" w:rsidP="000B65BB">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0B65B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DEE020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0B65BB" w:rsidRPr="008C761D">
              <w:rPr>
                <w:rFonts w:ascii="Arial" w:eastAsia="Times New Roman" w:hAnsi="Arial" w:cs="Arial"/>
                <w:b/>
                <w:bCs/>
                <w:sz w:val="12"/>
                <w:szCs w:val="12"/>
                <w:lang w:val="en-US" w:eastAsia="mk-MK"/>
              </w:rPr>
              <w:t>7</w:t>
            </w:r>
          </w:p>
        </w:tc>
      </w:tr>
      <w:tr w:rsidR="00485BAA" w:rsidRPr="008C761D" w14:paraId="3DA86F52" w14:textId="77777777" w:rsidTr="003F623B">
        <w:trPr>
          <w:gridBefore w:val="1"/>
          <w:gridAfter w:val="1"/>
          <w:wBefore w:w="17" w:type="dxa"/>
          <w:wAfter w:w="180" w:type="dxa"/>
          <w:trHeight w:val="710"/>
          <w:jc w:val="center"/>
        </w:trPr>
        <w:tc>
          <w:tcPr>
            <w:tcW w:w="2368" w:type="dxa"/>
            <w:gridSpan w:val="6"/>
            <w:vMerge/>
            <w:tcBorders>
              <w:top w:val="nil"/>
              <w:left w:val="nil"/>
              <w:bottom w:val="nil"/>
              <w:right w:val="single" w:sz="8" w:space="0" w:color="000000"/>
            </w:tcBorders>
            <w:vAlign w:val="center"/>
            <w:hideMark/>
          </w:tcPr>
          <w:p w14:paraId="1920DD19"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6613C27" w14:textId="77777777" w:rsidR="00246335" w:rsidRPr="008C761D" w:rsidRDefault="00246335" w:rsidP="00246335">
            <w:pPr>
              <w:pStyle w:val="ListParagraph"/>
              <w:tabs>
                <w:tab w:val="left" w:pos="46"/>
              </w:tabs>
              <w:spacing w:after="0" w:line="240" w:lineRule="auto"/>
              <w:ind w:left="46"/>
              <w:rPr>
                <w:rFonts w:cs="Calibri"/>
                <w:sz w:val="20"/>
                <w:szCs w:val="20"/>
                <w:lang w:val="en-US"/>
              </w:rPr>
            </w:pPr>
            <w:r w:rsidRPr="008C761D">
              <w:rPr>
                <w:rFonts w:ascii="Arial" w:eastAsia="Times New Roman" w:hAnsi="Arial" w:cs="Arial"/>
                <w:sz w:val="12"/>
                <w:szCs w:val="12"/>
                <w:lang w:val="en-US" w:eastAsia="mk-MK"/>
              </w:rPr>
              <w:t>Prepared Simplified guideline for risk management process</w:t>
            </w:r>
            <w:r w:rsidRPr="008C761D" w:rsidDel="00E37537">
              <w:rPr>
                <w:rFonts w:cs="Calibri"/>
                <w:sz w:val="20"/>
                <w:szCs w:val="20"/>
                <w:lang w:val="en-US"/>
              </w:rPr>
              <w:t xml:space="preserve"> </w:t>
            </w:r>
          </w:p>
          <w:p w14:paraId="41D8D04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35BC029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08BB8AC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5C8A3506" w14:textId="77777777" w:rsidR="00FC3AB5" w:rsidRPr="008C761D" w:rsidRDefault="00FC3AB5" w:rsidP="00FC3AB5">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and promoted of the new more practical and simplified guideline for risk management process</w:t>
            </w:r>
          </w:p>
          <w:p w14:paraId="777D369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58" w:type="dxa"/>
            <w:gridSpan w:val="2"/>
            <w:shd w:val="clear" w:color="000000" w:fill="FFFF99"/>
            <w:vAlign w:val="center"/>
            <w:hideMark/>
          </w:tcPr>
          <w:p w14:paraId="19A4C735" w14:textId="77777777" w:rsidR="00485BAA"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2</w:t>
            </w:r>
            <w:r w:rsidR="00485BAA" w:rsidRPr="008C761D">
              <w:rPr>
                <w:rFonts w:ascii="Arial" w:eastAsia="Times New Roman" w:hAnsi="Arial" w:cs="Arial"/>
                <w:sz w:val="12"/>
                <w:szCs w:val="12"/>
                <w:lang w:val="en-US" w:eastAsia="mk-MK"/>
              </w:rPr>
              <w:t> </w:t>
            </w:r>
          </w:p>
        </w:tc>
        <w:tc>
          <w:tcPr>
            <w:tcW w:w="1842" w:type="dxa"/>
            <w:gridSpan w:val="3"/>
            <w:shd w:val="clear" w:color="000000" w:fill="FFFF99"/>
            <w:vAlign w:val="center"/>
            <w:hideMark/>
          </w:tcPr>
          <w:p w14:paraId="617AE922" w14:textId="0C3E2ED5" w:rsidR="00485BAA" w:rsidRPr="008C761D" w:rsidRDefault="00134B6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w:t>
            </w:r>
            <w:r w:rsidR="000B65BB" w:rsidRPr="008C761D">
              <w:rPr>
                <w:rFonts w:ascii="Arial" w:eastAsia="Times New Roman" w:hAnsi="Arial" w:cs="Arial"/>
                <w:sz w:val="12"/>
                <w:szCs w:val="12"/>
                <w:lang w:val="en-US" w:eastAsia="mk-MK"/>
              </w:rPr>
              <w:t xml:space="preserve"> 2</w:t>
            </w:r>
          </w:p>
        </w:tc>
        <w:tc>
          <w:tcPr>
            <w:tcW w:w="1506" w:type="dxa"/>
            <w:gridSpan w:val="3"/>
            <w:shd w:val="clear" w:color="000000" w:fill="FFFF99"/>
            <w:vAlign w:val="center"/>
            <w:hideMark/>
          </w:tcPr>
          <w:p w14:paraId="434EB5FC" w14:textId="77777777" w:rsidR="00485BAA"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2</w:t>
            </w:r>
          </w:p>
        </w:tc>
      </w:tr>
      <w:tr w:rsidR="00485BAA" w:rsidRPr="008C761D" w14:paraId="1F8CF2BD" w14:textId="77777777" w:rsidTr="003F623B">
        <w:trPr>
          <w:gridBefore w:val="1"/>
          <w:gridAfter w:val="1"/>
          <w:wBefore w:w="17" w:type="dxa"/>
          <w:wAfter w:w="180" w:type="dxa"/>
          <w:trHeight w:val="975"/>
          <w:jc w:val="center"/>
        </w:trPr>
        <w:tc>
          <w:tcPr>
            <w:tcW w:w="2368" w:type="dxa"/>
            <w:gridSpan w:val="6"/>
            <w:vMerge/>
            <w:tcBorders>
              <w:top w:val="nil"/>
              <w:left w:val="nil"/>
              <w:bottom w:val="nil"/>
              <w:right w:val="single" w:sz="8" w:space="0" w:color="000000"/>
            </w:tcBorders>
            <w:vAlign w:val="center"/>
            <w:hideMark/>
          </w:tcPr>
          <w:p w14:paraId="01C3706A"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1BC3AE5" w14:textId="13B8C90F"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practical guideline for managerial accountability</w:t>
            </w:r>
          </w:p>
        </w:tc>
        <w:tc>
          <w:tcPr>
            <w:tcW w:w="1194" w:type="dxa"/>
            <w:gridSpan w:val="3"/>
            <w:shd w:val="clear" w:color="000000" w:fill="FFFF99"/>
            <w:vAlign w:val="center"/>
            <w:hideMark/>
          </w:tcPr>
          <w:p w14:paraId="6D2C395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54A16AE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4F8F93CF" w14:textId="0DDCB37B" w:rsidR="00485BAA" w:rsidRPr="008C761D" w:rsidRDefault="00FC3AB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and promoted of the new practical guideline for managerial accountability</w:t>
            </w:r>
          </w:p>
        </w:tc>
        <w:tc>
          <w:tcPr>
            <w:tcW w:w="1758" w:type="dxa"/>
            <w:gridSpan w:val="2"/>
            <w:shd w:val="clear" w:color="000000" w:fill="FFFF99"/>
            <w:vAlign w:val="center"/>
            <w:hideMark/>
          </w:tcPr>
          <w:p w14:paraId="52264F41" w14:textId="77777777" w:rsidR="00485BAA"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2 </w:t>
            </w:r>
          </w:p>
        </w:tc>
        <w:tc>
          <w:tcPr>
            <w:tcW w:w="1842" w:type="dxa"/>
            <w:gridSpan w:val="3"/>
            <w:shd w:val="clear" w:color="000000" w:fill="FFFF99"/>
            <w:vAlign w:val="center"/>
            <w:hideMark/>
          </w:tcPr>
          <w:p w14:paraId="22BB4F66" w14:textId="77777777" w:rsidR="00485BAA"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2 </w:t>
            </w:r>
          </w:p>
        </w:tc>
        <w:tc>
          <w:tcPr>
            <w:tcW w:w="1506" w:type="dxa"/>
            <w:gridSpan w:val="3"/>
            <w:shd w:val="clear" w:color="000000" w:fill="FFFF99"/>
            <w:vAlign w:val="center"/>
            <w:hideMark/>
          </w:tcPr>
          <w:p w14:paraId="06E1CD48" w14:textId="77777777" w:rsidR="00485BAA" w:rsidRPr="008C761D" w:rsidRDefault="000B65B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2 </w:t>
            </w:r>
          </w:p>
        </w:tc>
      </w:tr>
      <w:tr w:rsidR="00485BAA" w:rsidRPr="008C761D" w14:paraId="67B42BEE" w14:textId="77777777" w:rsidTr="003F623B">
        <w:trPr>
          <w:gridBefore w:val="1"/>
          <w:gridAfter w:val="1"/>
          <w:wBefore w:w="17" w:type="dxa"/>
          <w:wAfter w:w="180" w:type="dxa"/>
          <w:trHeight w:val="550"/>
          <w:jc w:val="center"/>
        </w:trPr>
        <w:tc>
          <w:tcPr>
            <w:tcW w:w="2368" w:type="dxa"/>
            <w:gridSpan w:val="6"/>
            <w:vMerge/>
            <w:tcBorders>
              <w:top w:val="nil"/>
              <w:left w:val="nil"/>
              <w:bottom w:val="nil"/>
              <w:right w:val="single" w:sz="8" w:space="0" w:color="000000"/>
            </w:tcBorders>
            <w:vAlign w:val="center"/>
            <w:hideMark/>
          </w:tcPr>
          <w:p w14:paraId="7D48FD3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42849C0" w14:textId="73533B3A" w:rsidR="00485BAA" w:rsidRPr="008C761D" w:rsidRDefault="002463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Strengthen the capacities of CHU</w:t>
            </w:r>
          </w:p>
        </w:tc>
        <w:tc>
          <w:tcPr>
            <w:tcW w:w="1194" w:type="dxa"/>
            <w:gridSpan w:val="3"/>
            <w:shd w:val="clear" w:color="000000" w:fill="FFFF99"/>
            <w:vAlign w:val="center"/>
            <w:hideMark/>
          </w:tcPr>
          <w:p w14:paraId="48A2524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163BF7B7" w14:textId="77777777"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totalof</w:t>
            </w:r>
            <w:r w:rsidR="000B65BB" w:rsidRPr="008C761D">
              <w:rPr>
                <w:rFonts w:ascii="Arial" w:eastAsia="Times New Roman" w:hAnsi="Arial" w:cs="Arial"/>
                <w:sz w:val="12"/>
                <w:szCs w:val="12"/>
                <w:lang w:val="en-US" w:eastAsia="mk-MK"/>
              </w:rPr>
              <w:t>8</w:t>
            </w:r>
            <w:r w:rsidRPr="008C761D">
              <w:rPr>
                <w:rFonts w:ascii="Arial" w:eastAsia="Times New Roman" w:hAnsi="Arial" w:cs="Arial"/>
                <w:sz w:val="12"/>
                <w:szCs w:val="12"/>
                <w:lang w:val="en-US" w:eastAsia="mk-MK"/>
              </w:rPr>
              <w:t>people</w:t>
            </w:r>
            <w:r w:rsidRPr="008C761D">
              <w:rPr>
                <w:rFonts w:ascii="Arial" w:eastAsia="Times New Roman" w:hAnsi="Arial" w:cs="Arial"/>
                <w:sz w:val="12"/>
                <w:szCs w:val="12"/>
                <w:lang w:val="en-US" w:eastAsia="mk-MK"/>
              </w:rPr>
              <w:br/>
              <w:t>Trainings 6</w:t>
            </w:r>
          </w:p>
        </w:tc>
        <w:tc>
          <w:tcPr>
            <w:tcW w:w="1644" w:type="dxa"/>
            <w:gridSpan w:val="3"/>
            <w:shd w:val="clear" w:color="000000" w:fill="FFFF99"/>
            <w:vAlign w:val="center"/>
            <w:hideMark/>
          </w:tcPr>
          <w:p w14:paraId="159AF39C" w14:textId="39478FEE" w:rsidR="00485BAA" w:rsidRPr="008C761D" w:rsidRDefault="00FC3AB5"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 of 10 people</w:t>
            </w:r>
            <w:r w:rsidRPr="008C761D">
              <w:rPr>
                <w:rFonts w:ascii="Arial" w:eastAsia="Times New Roman" w:hAnsi="Arial" w:cs="Arial"/>
                <w:sz w:val="12"/>
                <w:szCs w:val="12"/>
                <w:lang w:val="en-US" w:eastAsia="mk-MK"/>
              </w:rPr>
              <w:br/>
              <w:t>Trainings 4</w:t>
            </w:r>
          </w:p>
        </w:tc>
        <w:tc>
          <w:tcPr>
            <w:tcW w:w="1758" w:type="dxa"/>
            <w:gridSpan w:val="2"/>
            <w:shd w:val="clear" w:color="000000" w:fill="FFFF99"/>
            <w:vAlign w:val="center"/>
            <w:hideMark/>
          </w:tcPr>
          <w:p w14:paraId="74807020" w14:textId="5F86DD06"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0B65BB" w:rsidRPr="008C761D">
              <w:rPr>
                <w:rFonts w:ascii="Arial" w:eastAsia="Times New Roman" w:hAnsi="Arial" w:cs="Arial"/>
                <w:sz w:val="12"/>
                <w:szCs w:val="12"/>
                <w:lang w:val="en-US" w:eastAsia="mk-MK"/>
              </w:rPr>
              <w:t>12</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Pr="008C761D">
              <w:rPr>
                <w:rFonts w:ascii="Arial" w:eastAsia="Times New Roman" w:hAnsi="Arial" w:cs="Arial"/>
                <w:sz w:val="12"/>
                <w:szCs w:val="12"/>
                <w:lang w:val="en-US" w:eastAsia="mk-MK"/>
              </w:rPr>
              <w:br/>
              <w:t>Trainings</w:t>
            </w:r>
            <w:r w:rsidR="000B65BB" w:rsidRPr="008C761D">
              <w:rPr>
                <w:rFonts w:ascii="Arial" w:eastAsia="Times New Roman" w:hAnsi="Arial" w:cs="Arial"/>
                <w:sz w:val="12"/>
                <w:szCs w:val="12"/>
                <w:lang w:val="en-US" w:eastAsia="mk-MK"/>
              </w:rPr>
              <w:t>4</w:t>
            </w:r>
          </w:p>
        </w:tc>
        <w:tc>
          <w:tcPr>
            <w:tcW w:w="1842" w:type="dxa"/>
            <w:gridSpan w:val="3"/>
            <w:shd w:val="clear" w:color="000000" w:fill="FFFF99"/>
            <w:vAlign w:val="center"/>
            <w:hideMark/>
          </w:tcPr>
          <w:p w14:paraId="7E5A6E43" w14:textId="2302DA8B"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0B65BB" w:rsidRPr="008C761D">
              <w:rPr>
                <w:rFonts w:ascii="Arial" w:eastAsia="Times New Roman" w:hAnsi="Arial" w:cs="Arial"/>
                <w:sz w:val="12"/>
                <w:szCs w:val="12"/>
                <w:lang w:val="en-US" w:eastAsia="mk-MK"/>
              </w:rPr>
              <w:t>13</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Pr="008C761D">
              <w:rPr>
                <w:rFonts w:ascii="Arial" w:eastAsia="Times New Roman" w:hAnsi="Arial" w:cs="Arial"/>
                <w:sz w:val="12"/>
                <w:szCs w:val="12"/>
                <w:lang w:val="en-US" w:eastAsia="mk-MK"/>
              </w:rPr>
              <w:br/>
              <w:t>Trainings</w:t>
            </w:r>
            <w:r w:rsidR="00FC3AB5" w:rsidRPr="008C761D">
              <w:rPr>
                <w:rFonts w:ascii="Arial" w:eastAsia="Times New Roman" w:hAnsi="Arial" w:cs="Arial"/>
                <w:sz w:val="12"/>
                <w:szCs w:val="12"/>
                <w:lang w:val="en-US" w:eastAsia="mk-MK"/>
              </w:rPr>
              <w:t xml:space="preserve"> </w:t>
            </w:r>
            <w:r w:rsidR="000B65BB" w:rsidRPr="008C761D">
              <w:rPr>
                <w:rFonts w:ascii="Arial" w:eastAsia="Times New Roman" w:hAnsi="Arial" w:cs="Arial"/>
                <w:sz w:val="12"/>
                <w:szCs w:val="12"/>
                <w:lang w:val="en-US" w:eastAsia="mk-MK"/>
              </w:rPr>
              <w:t>4</w:t>
            </w:r>
          </w:p>
        </w:tc>
        <w:tc>
          <w:tcPr>
            <w:tcW w:w="1506" w:type="dxa"/>
            <w:gridSpan w:val="3"/>
            <w:shd w:val="clear" w:color="000000" w:fill="FFFF99"/>
            <w:vAlign w:val="center"/>
            <w:hideMark/>
          </w:tcPr>
          <w:p w14:paraId="6E44FD3E" w14:textId="3D09E9C1" w:rsidR="00485BAA" w:rsidRPr="008C761D" w:rsidRDefault="00485BAA"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1</w:t>
            </w:r>
            <w:r w:rsidR="000B65BB" w:rsidRPr="008C761D">
              <w:rPr>
                <w:rFonts w:ascii="Arial" w:eastAsia="Times New Roman" w:hAnsi="Arial" w:cs="Arial"/>
                <w:sz w:val="12"/>
                <w:szCs w:val="12"/>
                <w:lang w:val="en-US" w:eastAsia="mk-MK"/>
              </w:rPr>
              <w:t>4</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Pr="008C761D">
              <w:rPr>
                <w:rFonts w:ascii="Arial" w:eastAsia="Times New Roman" w:hAnsi="Arial" w:cs="Arial"/>
                <w:sz w:val="12"/>
                <w:szCs w:val="12"/>
                <w:lang w:val="en-US" w:eastAsia="mk-MK"/>
              </w:rPr>
              <w:br/>
              <w:t>Trainings</w:t>
            </w:r>
            <w:r w:rsidR="00FC3AB5" w:rsidRPr="008C761D">
              <w:rPr>
                <w:rFonts w:ascii="Arial" w:eastAsia="Times New Roman" w:hAnsi="Arial" w:cs="Arial"/>
                <w:sz w:val="12"/>
                <w:szCs w:val="12"/>
                <w:lang w:val="en-US" w:eastAsia="mk-MK"/>
              </w:rPr>
              <w:t xml:space="preserve"> </w:t>
            </w:r>
            <w:r w:rsidR="000B65BB" w:rsidRPr="008C761D">
              <w:rPr>
                <w:rFonts w:ascii="Arial" w:eastAsia="Times New Roman" w:hAnsi="Arial" w:cs="Arial"/>
                <w:sz w:val="12"/>
                <w:szCs w:val="12"/>
                <w:lang w:val="en-US" w:eastAsia="mk-MK"/>
              </w:rPr>
              <w:t>4</w:t>
            </w:r>
          </w:p>
        </w:tc>
      </w:tr>
      <w:tr w:rsidR="00485BAA" w:rsidRPr="008C761D" w14:paraId="4561DADA" w14:textId="77777777" w:rsidTr="003F623B">
        <w:trPr>
          <w:gridBefore w:val="1"/>
          <w:gridAfter w:val="1"/>
          <w:wBefore w:w="17" w:type="dxa"/>
          <w:wAfter w:w="180" w:type="dxa"/>
          <w:trHeight w:val="390"/>
          <w:jc w:val="center"/>
        </w:trPr>
        <w:tc>
          <w:tcPr>
            <w:tcW w:w="2368" w:type="dxa"/>
            <w:gridSpan w:val="6"/>
            <w:vMerge/>
            <w:tcBorders>
              <w:top w:val="nil"/>
              <w:left w:val="nil"/>
              <w:bottom w:val="nil"/>
              <w:right w:val="single" w:sz="8" w:space="0" w:color="000000"/>
            </w:tcBorders>
            <w:vAlign w:val="center"/>
            <w:hideMark/>
          </w:tcPr>
          <w:p w14:paraId="060645C5"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39AF572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16AF630A" w14:textId="42AAD5D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61773160" w14:textId="2ED9FE3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34AE194D" w14:textId="7BFA091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160D684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B6551D1" w14:textId="6D446E7D"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funding</w:t>
            </w:r>
          </w:p>
        </w:tc>
        <w:tc>
          <w:tcPr>
            <w:tcW w:w="1506" w:type="dxa"/>
            <w:gridSpan w:val="3"/>
            <w:shd w:val="clear" w:color="000000" w:fill="9BD2ED"/>
            <w:vAlign w:val="center"/>
            <w:hideMark/>
          </w:tcPr>
          <w:p w14:paraId="19008E5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02554C95" w14:textId="77777777" w:rsidTr="003F623B">
        <w:trPr>
          <w:gridBefore w:val="1"/>
          <w:gridAfter w:val="1"/>
          <w:wBefore w:w="17" w:type="dxa"/>
          <w:wAfter w:w="180" w:type="dxa"/>
          <w:trHeight w:val="722"/>
          <w:jc w:val="center"/>
        </w:trPr>
        <w:tc>
          <w:tcPr>
            <w:tcW w:w="2368" w:type="dxa"/>
            <w:gridSpan w:val="6"/>
            <w:vMerge/>
            <w:tcBorders>
              <w:top w:val="nil"/>
              <w:left w:val="nil"/>
              <w:bottom w:val="nil"/>
              <w:right w:val="single" w:sz="8" w:space="0" w:color="000000"/>
            </w:tcBorders>
            <w:vAlign w:val="center"/>
            <w:hideMark/>
          </w:tcPr>
          <w:p w14:paraId="5615B3F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9A5CB3F" w14:textId="681E6E15"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Strengthen the capacity of the CHU to monitor and report on the functioning of the overall internal control system</w:t>
            </w:r>
          </w:p>
        </w:tc>
        <w:tc>
          <w:tcPr>
            <w:tcW w:w="1194" w:type="dxa"/>
            <w:gridSpan w:val="3"/>
            <w:shd w:val="clear" w:color="000000" w:fill="FFFF99"/>
            <w:vAlign w:val="center"/>
            <w:hideMark/>
          </w:tcPr>
          <w:p w14:paraId="0872F26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39240E"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39240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3CCAFE77" w14:textId="7E42091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F90378">
              <w:rPr>
                <w:rFonts w:ascii="Arial" w:eastAsia="Times New Roman" w:hAnsi="Arial" w:cs="Arial"/>
                <w:sz w:val="12"/>
                <w:szCs w:val="12"/>
                <w:lang w:val="en-US" w:eastAsia="mk-MK"/>
              </w:rPr>
              <w:t>- PIFC</w:t>
            </w:r>
          </w:p>
        </w:tc>
        <w:tc>
          <w:tcPr>
            <w:tcW w:w="1644" w:type="dxa"/>
            <w:gridSpan w:val="3"/>
            <w:shd w:val="clear" w:color="000000" w:fill="FFFF99"/>
            <w:vAlign w:val="center"/>
            <w:hideMark/>
          </w:tcPr>
          <w:p w14:paraId="5290DDEA" w14:textId="6B64DBA4"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Twinning</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/EU</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NAFE</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SIGMA</w:t>
            </w:r>
          </w:p>
        </w:tc>
        <w:tc>
          <w:tcPr>
            <w:tcW w:w="1758" w:type="dxa"/>
            <w:gridSpan w:val="2"/>
            <w:shd w:val="clear" w:color="000000" w:fill="FFFF99"/>
            <w:vAlign w:val="center"/>
            <w:hideMark/>
          </w:tcPr>
          <w:p w14:paraId="1A9E4D2D" w14:textId="1513C40E" w:rsidR="00485BAA" w:rsidRPr="008C761D" w:rsidRDefault="00697441"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r w:rsidR="00485BAA" w:rsidRPr="008C761D">
              <w:rPr>
                <w:rFonts w:ascii="Arial" w:eastAsia="Times New Roman" w:hAnsi="Arial" w:cs="Arial"/>
                <w:sz w:val="12"/>
                <w:szCs w:val="12"/>
                <w:lang w:val="en-US" w:eastAsia="mk-MK"/>
              </w:rPr>
              <w:t>1,000</w:t>
            </w:r>
          </w:p>
        </w:tc>
        <w:tc>
          <w:tcPr>
            <w:tcW w:w="1842" w:type="dxa"/>
            <w:gridSpan w:val="3"/>
            <w:shd w:val="clear" w:color="000000" w:fill="FFFF99"/>
            <w:vAlign w:val="center"/>
            <w:hideMark/>
          </w:tcPr>
          <w:p w14:paraId="460371CB" w14:textId="77777777" w:rsidR="0039240E" w:rsidRPr="008C761D" w:rsidRDefault="0039240E" w:rsidP="0039240E">
            <w:pPr>
              <w:spacing w:after="0" w:line="240" w:lineRule="auto"/>
              <w:jc w:val="center"/>
              <w:rPr>
                <w:rFonts w:ascii="Arial" w:eastAsia="Times New Roman" w:hAnsi="Arial" w:cs="Arial"/>
                <w:sz w:val="12"/>
                <w:szCs w:val="12"/>
                <w:lang w:val="en-US" w:eastAsia="mk-MK"/>
              </w:rPr>
            </w:pPr>
            <w:proofErr w:type="gramStart"/>
            <w:r w:rsidRPr="008C761D">
              <w:rPr>
                <w:rFonts w:ascii="Arial" w:eastAsia="Times New Roman" w:hAnsi="Arial" w:cs="Arial"/>
                <w:sz w:val="12"/>
                <w:szCs w:val="12"/>
                <w:lang w:val="en-US" w:eastAsia="mk-MK"/>
              </w:rPr>
              <w:t>Other</w:t>
            </w:r>
            <w:proofErr w:type="gramEnd"/>
            <w:r w:rsidRPr="008C761D">
              <w:rPr>
                <w:rFonts w:ascii="Arial" w:eastAsia="Times New Roman" w:hAnsi="Arial" w:cs="Arial"/>
                <w:sz w:val="12"/>
                <w:szCs w:val="12"/>
                <w:lang w:val="en-US" w:eastAsia="mk-MK"/>
              </w:rPr>
              <w:t xml:space="preserve"> partners/ National Budget</w:t>
            </w:r>
          </w:p>
          <w:p w14:paraId="0D31464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3662AB60" w14:textId="7F0E37E5"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32A4C20C" w14:textId="77777777" w:rsidTr="003F623B">
        <w:trPr>
          <w:gridBefore w:val="1"/>
          <w:gridAfter w:val="1"/>
          <w:wBefore w:w="17" w:type="dxa"/>
          <w:wAfter w:w="180" w:type="dxa"/>
          <w:trHeight w:val="831"/>
          <w:jc w:val="center"/>
        </w:trPr>
        <w:tc>
          <w:tcPr>
            <w:tcW w:w="2368" w:type="dxa"/>
            <w:gridSpan w:val="6"/>
            <w:vMerge/>
            <w:tcBorders>
              <w:top w:val="nil"/>
              <w:left w:val="nil"/>
              <w:bottom w:val="nil"/>
              <w:right w:val="single" w:sz="8" w:space="0" w:color="000000"/>
            </w:tcBorders>
            <w:vAlign w:val="center"/>
            <w:hideMark/>
          </w:tcPr>
          <w:p w14:paraId="1D67A74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31CCC38" w14:textId="4C4173FE"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Preparation of the methodology for specific Financial Management and Control issues;</w:t>
            </w:r>
          </w:p>
        </w:tc>
        <w:tc>
          <w:tcPr>
            <w:tcW w:w="1194" w:type="dxa"/>
            <w:gridSpan w:val="3"/>
            <w:shd w:val="clear" w:color="000000" w:fill="FFFF99"/>
            <w:vAlign w:val="center"/>
            <w:hideMark/>
          </w:tcPr>
          <w:p w14:paraId="22D357D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39240E"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39240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0DE72C2" w14:textId="09B5625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F90378">
              <w:rPr>
                <w:rFonts w:ascii="Arial" w:eastAsia="Times New Roman" w:hAnsi="Arial" w:cs="Arial"/>
                <w:sz w:val="12"/>
                <w:szCs w:val="12"/>
                <w:lang w:val="en-US" w:eastAsia="mk-MK"/>
              </w:rPr>
              <w:t xml:space="preserve"> - PIFC</w:t>
            </w:r>
          </w:p>
        </w:tc>
        <w:tc>
          <w:tcPr>
            <w:tcW w:w="1644" w:type="dxa"/>
            <w:gridSpan w:val="3"/>
            <w:shd w:val="clear" w:color="000000" w:fill="FFFF99"/>
            <w:vAlign w:val="center"/>
            <w:hideMark/>
          </w:tcPr>
          <w:p w14:paraId="10E53C2B"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542003B" w14:textId="77777777" w:rsidR="00485BAA" w:rsidRPr="008C761D" w:rsidRDefault="0039240E"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10.000</w:t>
            </w:r>
          </w:p>
        </w:tc>
        <w:tc>
          <w:tcPr>
            <w:tcW w:w="1842" w:type="dxa"/>
            <w:gridSpan w:val="3"/>
            <w:shd w:val="clear" w:color="000000" w:fill="FFFF99"/>
            <w:vAlign w:val="center"/>
            <w:hideMark/>
          </w:tcPr>
          <w:p w14:paraId="100FC3A2"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 budget</w:t>
            </w:r>
          </w:p>
        </w:tc>
        <w:tc>
          <w:tcPr>
            <w:tcW w:w="1506" w:type="dxa"/>
            <w:gridSpan w:val="3"/>
            <w:shd w:val="clear" w:color="000000" w:fill="FFFF99"/>
            <w:vAlign w:val="center"/>
            <w:hideMark/>
          </w:tcPr>
          <w:p w14:paraId="47D0DC6B" w14:textId="4E4DFD94"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078B5734" w14:textId="77777777" w:rsidTr="003F623B">
        <w:trPr>
          <w:gridBefore w:val="1"/>
          <w:gridAfter w:val="1"/>
          <w:wBefore w:w="17" w:type="dxa"/>
          <w:wAfter w:w="180" w:type="dxa"/>
          <w:trHeight w:val="1817"/>
          <w:jc w:val="center"/>
        </w:trPr>
        <w:tc>
          <w:tcPr>
            <w:tcW w:w="2368" w:type="dxa"/>
            <w:gridSpan w:val="6"/>
            <w:vMerge/>
            <w:tcBorders>
              <w:top w:val="nil"/>
              <w:left w:val="nil"/>
              <w:bottom w:val="nil"/>
              <w:right w:val="single" w:sz="8" w:space="0" w:color="000000"/>
            </w:tcBorders>
            <w:vAlign w:val="center"/>
            <w:hideMark/>
          </w:tcPr>
          <w:p w14:paraId="75B523A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1255040" w14:textId="7BBCA6CF"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Establishment of a network of institutions of financial issues units in coordination with the CHU, for exchange of experiences, best practices and raising awareness among public sector entities about responsibilities for the quality of financial management and control</w:t>
            </w:r>
          </w:p>
        </w:tc>
        <w:tc>
          <w:tcPr>
            <w:tcW w:w="1194" w:type="dxa"/>
            <w:gridSpan w:val="3"/>
            <w:shd w:val="clear" w:color="000000" w:fill="FFFF99"/>
            <w:vAlign w:val="center"/>
            <w:hideMark/>
          </w:tcPr>
          <w:p w14:paraId="4F8482E3" w14:textId="04DF439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730CBF"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-202</w:t>
            </w:r>
            <w:r w:rsidR="0039240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99E1DE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p>
        </w:tc>
        <w:tc>
          <w:tcPr>
            <w:tcW w:w="1644" w:type="dxa"/>
            <w:gridSpan w:val="3"/>
            <w:shd w:val="clear" w:color="000000" w:fill="FFFF99"/>
            <w:vAlign w:val="center"/>
            <w:hideMark/>
          </w:tcPr>
          <w:p w14:paraId="31EED04F" w14:textId="473F2B9E"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31BA3DE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15,000 </w:t>
            </w:r>
          </w:p>
        </w:tc>
        <w:tc>
          <w:tcPr>
            <w:tcW w:w="1842" w:type="dxa"/>
            <w:gridSpan w:val="3"/>
            <w:shd w:val="clear" w:color="000000" w:fill="FFFF99"/>
            <w:vAlign w:val="center"/>
            <w:hideMark/>
          </w:tcPr>
          <w:p w14:paraId="50E62455" w14:textId="0F5852F5"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shd w:val="clear" w:color="000000" w:fill="FFFF99"/>
            <w:vAlign w:val="center"/>
            <w:hideMark/>
          </w:tcPr>
          <w:p w14:paraId="280CA10E" w14:textId="44DF8715"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2FFFE70A" w14:textId="77777777" w:rsidTr="003F623B">
        <w:trPr>
          <w:gridBefore w:val="1"/>
          <w:gridAfter w:val="1"/>
          <w:wBefore w:w="17" w:type="dxa"/>
          <w:wAfter w:w="180" w:type="dxa"/>
          <w:trHeight w:val="295"/>
          <w:jc w:val="center"/>
        </w:trPr>
        <w:tc>
          <w:tcPr>
            <w:tcW w:w="13501" w:type="dxa"/>
            <w:gridSpan w:val="25"/>
            <w:shd w:val="clear" w:color="000000" w:fill="1F3864"/>
            <w:vAlign w:val="center"/>
            <w:hideMark/>
          </w:tcPr>
          <w:p w14:paraId="079D1373" w14:textId="18ED1EB5"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Public</w:t>
            </w:r>
            <w:r w:rsidR="00FC3AB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Internal</w:t>
            </w:r>
            <w:r w:rsidR="00FC3AB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Financial</w:t>
            </w:r>
            <w:r w:rsidR="00FC3AB5"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Control</w:t>
            </w:r>
          </w:p>
        </w:tc>
      </w:tr>
      <w:tr w:rsidR="00485BAA" w:rsidRPr="008C761D" w14:paraId="03FD6A6C" w14:textId="77777777" w:rsidTr="003F623B">
        <w:trPr>
          <w:gridBefore w:val="1"/>
          <w:gridAfter w:val="1"/>
          <w:wBefore w:w="17" w:type="dxa"/>
          <w:wAfter w:w="180" w:type="dxa"/>
          <w:trHeight w:val="259"/>
          <w:jc w:val="center"/>
        </w:trPr>
        <w:tc>
          <w:tcPr>
            <w:tcW w:w="13501" w:type="dxa"/>
            <w:gridSpan w:val="25"/>
            <w:shd w:val="clear" w:color="000000" w:fill="1F3864"/>
            <w:vAlign w:val="center"/>
            <w:hideMark/>
          </w:tcPr>
          <w:p w14:paraId="074F3052" w14:textId="64770682"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Internal</w:t>
            </w:r>
            <w:r w:rsidR="00134B6E">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audit</w:t>
            </w:r>
          </w:p>
        </w:tc>
      </w:tr>
      <w:tr w:rsidR="00485BAA" w:rsidRPr="008C761D" w14:paraId="7E4F1EB3" w14:textId="77777777" w:rsidTr="003F623B">
        <w:trPr>
          <w:gridBefore w:val="1"/>
          <w:gridAfter w:val="1"/>
          <w:wBefore w:w="17" w:type="dxa"/>
          <w:wAfter w:w="180" w:type="dxa"/>
          <w:trHeight w:val="261"/>
          <w:jc w:val="center"/>
        </w:trPr>
        <w:tc>
          <w:tcPr>
            <w:tcW w:w="2368" w:type="dxa"/>
            <w:gridSpan w:val="6"/>
            <w:shd w:val="clear" w:color="000000" w:fill="9BD2ED"/>
            <w:vAlign w:val="center"/>
            <w:hideMark/>
          </w:tcPr>
          <w:p w14:paraId="2BE8604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0CC2D36C" w14:textId="71E87BA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2935963A" w14:textId="7EDCFB2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7D0E73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9240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4421E8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9240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7996E0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9240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441E74F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9240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F7A9FB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9240E" w:rsidRPr="008C761D">
              <w:rPr>
                <w:rFonts w:ascii="Arial" w:eastAsia="Times New Roman" w:hAnsi="Arial" w:cs="Arial"/>
                <w:b/>
                <w:bCs/>
                <w:sz w:val="12"/>
                <w:szCs w:val="12"/>
                <w:lang w:val="en-US" w:eastAsia="mk-MK"/>
              </w:rPr>
              <w:t>7</w:t>
            </w:r>
          </w:p>
        </w:tc>
      </w:tr>
      <w:tr w:rsidR="00485BAA" w:rsidRPr="008C761D" w14:paraId="50FC9A66" w14:textId="77777777" w:rsidTr="003F623B">
        <w:trPr>
          <w:gridBefore w:val="1"/>
          <w:gridAfter w:val="1"/>
          <w:wBefore w:w="17" w:type="dxa"/>
          <w:wAfter w:w="180" w:type="dxa"/>
          <w:trHeight w:val="548"/>
          <w:jc w:val="center"/>
        </w:trPr>
        <w:tc>
          <w:tcPr>
            <w:tcW w:w="2368" w:type="dxa"/>
            <w:gridSpan w:val="6"/>
            <w:vMerge w:val="restart"/>
            <w:shd w:val="clear" w:color="000000" w:fill="FFFF99"/>
            <w:vAlign w:val="center"/>
            <w:hideMark/>
          </w:tcPr>
          <w:p w14:paraId="3C59C1B2" w14:textId="7484FCD6"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Strengthened internal audit units that operate in line with the standards and that contributes to achievement of the goals of the public sector institutions</w:t>
            </w:r>
          </w:p>
        </w:tc>
        <w:tc>
          <w:tcPr>
            <w:tcW w:w="1771" w:type="dxa"/>
            <w:gridSpan w:val="3"/>
            <w:shd w:val="clear" w:color="000000" w:fill="FFFF99"/>
            <w:vAlign w:val="center"/>
            <w:hideMark/>
          </w:tcPr>
          <w:p w14:paraId="5A68AF7E" w14:textId="65400D9D"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internal auditors in the ministries</w:t>
            </w:r>
          </w:p>
        </w:tc>
        <w:tc>
          <w:tcPr>
            <w:tcW w:w="1194" w:type="dxa"/>
            <w:gridSpan w:val="3"/>
            <w:shd w:val="clear" w:color="000000" w:fill="FFFF99"/>
            <w:vAlign w:val="center"/>
            <w:hideMark/>
          </w:tcPr>
          <w:p w14:paraId="7D2148D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00F458AB"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33</w:t>
            </w:r>
          </w:p>
        </w:tc>
        <w:tc>
          <w:tcPr>
            <w:tcW w:w="1644" w:type="dxa"/>
            <w:gridSpan w:val="3"/>
            <w:shd w:val="clear" w:color="000000" w:fill="FFFF99"/>
            <w:vAlign w:val="center"/>
            <w:hideMark/>
          </w:tcPr>
          <w:p w14:paraId="38FA55A3"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r w:rsidR="00485BAA" w:rsidRPr="008C761D">
              <w:rPr>
                <w:rFonts w:ascii="Arial" w:eastAsia="Times New Roman" w:hAnsi="Arial" w:cs="Arial"/>
                <w:sz w:val="12"/>
                <w:szCs w:val="12"/>
                <w:lang w:val="en-US" w:eastAsia="mk-MK"/>
              </w:rPr>
              <w:t>0</w:t>
            </w:r>
          </w:p>
        </w:tc>
        <w:tc>
          <w:tcPr>
            <w:tcW w:w="1758" w:type="dxa"/>
            <w:gridSpan w:val="2"/>
            <w:shd w:val="clear" w:color="000000" w:fill="FFFF99"/>
            <w:vAlign w:val="center"/>
            <w:hideMark/>
          </w:tcPr>
          <w:p w14:paraId="76B42CE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hideMark/>
          </w:tcPr>
          <w:p w14:paraId="792C55D0"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65</w:t>
            </w:r>
          </w:p>
        </w:tc>
        <w:tc>
          <w:tcPr>
            <w:tcW w:w="1506" w:type="dxa"/>
            <w:gridSpan w:val="3"/>
            <w:shd w:val="clear" w:color="000000" w:fill="FFFF99"/>
            <w:vAlign w:val="center"/>
            <w:hideMark/>
          </w:tcPr>
          <w:p w14:paraId="34E504F9"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485BAA" w:rsidRPr="008C761D">
              <w:rPr>
                <w:rFonts w:ascii="Arial" w:eastAsia="Times New Roman" w:hAnsi="Arial" w:cs="Arial"/>
                <w:sz w:val="12"/>
                <w:szCs w:val="12"/>
                <w:lang w:val="en-US" w:eastAsia="mk-MK"/>
              </w:rPr>
              <w:t>0</w:t>
            </w:r>
          </w:p>
        </w:tc>
      </w:tr>
      <w:tr w:rsidR="0039240E" w:rsidRPr="008C761D" w14:paraId="61133710" w14:textId="77777777" w:rsidTr="003F623B">
        <w:trPr>
          <w:gridBefore w:val="1"/>
          <w:gridAfter w:val="1"/>
          <w:wBefore w:w="17" w:type="dxa"/>
          <w:wAfter w:w="180" w:type="dxa"/>
          <w:trHeight w:val="548"/>
          <w:jc w:val="center"/>
        </w:trPr>
        <w:tc>
          <w:tcPr>
            <w:tcW w:w="2368" w:type="dxa"/>
            <w:gridSpan w:val="6"/>
            <w:vMerge/>
            <w:shd w:val="clear" w:color="000000" w:fill="FFFF99"/>
            <w:vAlign w:val="center"/>
          </w:tcPr>
          <w:p w14:paraId="05BC2203" w14:textId="77777777" w:rsidR="0039240E" w:rsidRPr="008C761D" w:rsidRDefault="0039240E"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tcPr>
          <w:p w14:paraId="1D71703C" w14:textId="7C92F1A3" w:rsidR="0039240E"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implemented recommendations given during quality checks</w:t>
            </w:r>
          </w:p>
        </w:tc>
        <w:tc>
          <w:tcPr>
            <w:tcW w:w="1194" w:type="dxa"/>
            <w:gridSpan w:val="3"/>
            <w:shd w:val="clear" w:color="000000" w:fill="FFFF99"/>
            <w:vAlign w:val="center"/>
          </w:tcPr>
          <w:p w14:paraId="23EB688B" w14:textId="4D7CB348" w:rsidR="0039240E" w:rsidRPr="008C761D" w:rsidRDefault="00407B0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tcPr>
          <w:p w14:paraId="19165F8F"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tcPr>
          <w:p w14:paraId="0A5CBA3C"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
        </w:tc>
        <w:tc>
          <w:tcPr>
            <w:tcW w:w="1758" w:type="dxa"/>
            <w:gridSpan w:val="2"/>
            <w:shd w:val="clear" w:color="000000" w:fill="FFFF99"/>
            <w:vAlign w:val="center"/>
          </w:tcPr>
          <w:p w14:paraId="226135A3"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tcPr>
          <w:p w14:paraId="06537DA5"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506" w:type="dxa"/>
            <w:gridSpan w:val="3"/>
            <w:shd w:val="clear" w:color="000000" w:fill="FFFF99"/>
            <w:vAlign w:val="center"/>
          </w:tcPr>
          <w:p w14:paraId="4C07C4BC"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r>
      <w:tr w:rsidR="0039240E" w:rsidRPr="008C761D" w14:paraId="2593C047" w14:textId="77777777" w:rsidTr="003F623B">
        <w:trPr>
          <w:gridBefore w:val="1"/>
          <w:gridAfter w:val="1"/>
          <w:wBefore w:w="17" w:type="dxa"/>
          <w:wAfter w:w="180" w:type="dxa"/>
          <w:trHeight w:val="548"/>
          <w:jc w:val="center"/>
        </w:trPr>
        <w:tc>
          <w:tcPr>
            <w:tcW w:w="2368" w:type="dxa"/>
            <w:gridSpan w:val="6"/>
            <w:vMerge/>
            <w:shd w:val="clear" w:color="000000" w:fill="FFFF99"/>
            <w:vAlign w:val="center"/>
          </w:tcPr>
          <w:p w14:paraId="393447B1" w14:textId="77777777" w:rsidR="0039240E" w:rsidRPr="008C761D" w:rsidRDefault="0039240E"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tcPr>
          <w:p w14:paraId="25AF13D7" w14:textId="5DFCB330" w:rsidR="0039240E"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Percentage of </w:t>
            </w:r>
            <w:r w:rsidR="00134B6E" w:rsidRPr="008C761D">
              <w:rPr>
                <w:rFonts w:ascii="Arial" w:eastAsia="Times New Roman" w:hAnsi="Arial" w:cs="Arial"/>
                <w:sz w:val="12"/>
                <w:szCs w:val="12"/>
                <w:lang w:val="en-US" w:eastAsia="mk-MK"/>
              </w:rPr>
              <w:t>certified</w:t>
            </w:r>
            <w:r w:rsidRPr="008C761D">
              <w:rPr>
                <w:rFonts w:ascii="Arial" w:eastAsia="Times New Roman" w:hAnsi="Arial" w:cs="Arial"/>
                <w:sz w:val="12"/>
                <w:szCs w:val="12"/>
                <w:lang w:val="en-US" w:eastAsia="mk-MK"/>
              </w:rPr>
              <w:t xml:space="preserve"> internal auditors</w:t>
            </w:r>
          </w:p>
        </w:tc>
        <w:tc>
          <w:tcPr>
            <w:tcW w:w="1194" w:type="dxa"/>
            <w:gridSpan w:val="3"/>
            <w:shd w:val="clear" w:color="000000" w:fill="FFFF99"/>
            <w:vAlign w:val="center"/>
          </w:tcPr>
          <w:p w14:paraId="4898DDF8" w14:textId="43F6B689" w:rsidR="0039240E" w:rsidRPr="008C761D" w:rsidRDefault="00407B0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tcPr>
          <w:p w14:paraId="2B885C25"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c>
          <w:tcPr>
            <w:tcW w:w="1644" w:type="dxa"/>
            <w:gridSpan w:val="3"/>
            <w:shd w:val="clear" w:color="000000" w:fill="FFFF99"/>
            <w:vAlign w:val="center"/>
          </w:tcPr>
          <w:p w14:paraId="2943C43F"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45</w:t>
            </w:r>
          </w:p>
        </w:tc>
        <w:tc>
          <w:tcPr>
            <w:tcW w:w="1758" w:type="dxa"/>
            <w:gridSpan w:val="2"/>
            <w:shd w:val="clear" w:color="000000" w:fill="FFFF99"/>
            <w:vAlign w:val="center"/>
          </w:tcPr>
          <w:p w14:paraId="27CC5F55"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tcPr>
          <w:p w14:paraId="66720D6D"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506" w:type="dxa"/>
            <w:gridSpan w:val="3"/>
            <w:shd w:val="clear" w:color="000000" w:fill="FFFF99"/>
            <w:vAlign w:val="center"/>
          </w:tcPr>
          <w:p w14:paraId="407A0EBA"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r>
      <w:tr w:rsidR="0039240E" w:rsidRPr="008C761D" w14:paraId="5AF7CCA9" w14:textId="77777777" w:rsidTr="003F623B">
        <w:trPr>
          <w:gridBefore w:val="1"/>
          <w:gridAfter w:val="1"/>
          <w:wBefore w:w="17" w:type="dxa"/>
          <w:wAfter w:w="180" w:type="dxa"/>
          <w:trHeight w:val="548"/>
          <w:jc w:val="center"/>
        </w:trPr>
        <w:tc>
          <w:tcPr>
            <w:tcW w:w="2368" w:type="dxa"/>
            <w:gridSpan w:val="6"/>
            <w:vMerge/>
            <w:shd w:val="clear" w:color="000000" w:fill="FFFF99"/>
            <w:vAlign w:val="center"/>
          </w:tcPr>
          <w:p w14:paraId="30441AF1" w14:textId="77777777" w:rsidR="0039240E" w:rsidRPr="008C761D" w:rsidRDefault="0039240E"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tcPr>
          <w:p w14:paraId="2E560CBE" w14:textId="77777777" w:rsidR="00FC3AB5" w:rsidRPr="008C761D" w:rsidRDefault="00FC3AB5" w:rsidP="00FC3AB5">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implemented recommendations</w:t>
            </w:r>
          </w:p>
          <w:p w14:paraId="516E07B1" w14:textId="77777777" w:rsidR="0039240E" w:rsidRPr="008C761D" w:rsidRDefault="0039240E" w:rsidP="00485BA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tcPr>
          <w:p w14:paraId="0529F1E3" w14:textId="6AC57664" w:rsidR="0039240E" w:rsidRPr="008C761D" w:rsidRDefault="00407B0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tcPr>
          <w:p w14:paraId="35314A1D"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64</w:t>
            </w:r>
          </w:p>
        </w:tc>
        <w:tc>
          <w:tcPr>
            <w:tcW w:w="1644" w:type="dxa"/>
            <w:gridSpan w:val="3"/>
            <w:shd w:val="clear" w:color="000000" w:fill="FFFF99"/>
            <w:vAlign w:val="center"/>
          </w:tcPr>
          <w:p w14:paraId="3EF4FA4D"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68</w:t>
            </w:r>
          </w:p>
        </w:tc>
        <w:tc>
          <w:tcPr>
            <w:tcW w:w="1758" w:type="dxa"/>
            <w:gridSpan w:val="2"/>
            <w:shd w:val="clear" w:color="000000" w:fill="FFFF99"/>
            <w:vAlign w:val="center"/>
          </w:tcPr>
          <w:p w14:paraId="5733258D"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72</w:t>
            </w:r>
          </w:p>
        </w:tc>
        <w:tc>
          <w:tcPr>
            <w:tcW w:w="1842" w:type="dxa"/>
            <w:gridSpan w:val="3"/>
            <w:shd w:val="clear" w:color="000000" w:fill="FFFF99"/>
            <w:vAlign w:val="center"/>
          </w:tcPr>
          <w:p w14:paraId="60347A4C"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76</w:t>
            </w:r>
          </w:p>
        </w:tc>
        <w:tc>
          <w:tcPr>
            <w:tcW w:w="1506" w:type="dxa"/>
            <w:gridSpan w:val="3"/>
            <w:shd w:val="clear" w:color="000000" w:fill="FFFF99"/>
            <w:vAlign w:val="center"/>
          </w:tcPr>
          <w:p w14:paraId="58449AE9" w14:textId="77777777" w:rsidR="0039240E"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r>
      <w:tr w:rsidR="00485BAA" w:rsidRPr="008C761D" w14:paraId="37FACFDF" w14:textId="77777777" w:rsidTr="003F623B">
        <w:trPr>
          <w:gridBefore w:val="1"/>
          <w:gridAfter w:val="1"/>
          <w:wBefore w:w="17" w:type="dxa"/>
          <w:wAfter w:w="180" w:type="dxa"/>
          <w:trHeight w:val="257"/>
          <w:jc w:val="center"/>
        </w:trPr>
        <w:tc>
          <w:tcPr>
            <w:tcW w:w="13501" w:type="dxa"/>
            <w:gridSpan w:val="25"/>
            <w:shd w:val="clear" w:color="000000" w:fill="9BD2ED"/>
            <w:vAlign w:val="center"/>
            <w:hideMark/>
          </w:tcPr>
          <w:p w14:paraId="6F735E70" w14:textId="1CD10F0B"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FC3AB5" w:rsidRPr="008C761D">
              <w:rPr>
                <w:rFonts w:ascii="Arial" w:eastAsia="Times New Roman" w:hAnsi="Arial" w:cs="Arial"/>
                <w:b/>
                <w:bCs/>
                <w:sz w:val="12"/>
                <w:szCs w:val="12"/>
                <w:lang w:val="en-US" w:eastAsia="mk-MK"/>
              </w:rPr>
              <w:t>Strengthening the quality of work of the internal audit units in the ministries</w:t>
            </w:r>
          </w:p>
        </w:tc>
      </w:tr>
      <w:tr w:rsidR="00485BAA" w:rsidRPr="008C761D" w14:paraId="4F309322" w14:textId="77777777" w:rsidTr="003F623B">
        <w:trPr>
          <w:gridBefore w:val="1"/>
          <w:gridAfter w:val="1"/>
          <w:wBefore w:w="17" w:type="dxa"/>
          <w:wAfter w:w="180" w:type="dxa"/>
          <w:trHeight w:val="260"/>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2C05681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66781306" w14:textId="10A5D38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277EBC00" w14:textId="44B1280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3FF184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9240E"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C53323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9240E"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0EB91F7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9240E"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EF93C19" w14:textId="77777777" w:rsidR="00485BAA" w:rsidRPr="008C761D" w:rsidRDefault="00485BAA" w:rsidP="0039240E">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9240E"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6A836E6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9240E" w:rsidRPr="008C761D">
              <w:rPr>
                <w:rFonts w:ascii="Arial" w:eastAsia="Times New Roman" w:hAnsi="Arial" w:cs="Arial"/>
                <w:b/>
                <w:bCs/>
                <w:sz w:val="12"/>
                <w:szCs w:val="12"/>
                <w:lang w:val="en-US" w:eastAsia="mk-MK"/>
              </w:rPr>
              <w:t>7</w:t>
            </w:r>
          </w:p>
        </w:tc>
      </w:tr>
      <w:tr w:rsidR="00485BAA" w:rsidRPr="008C761D" w14:paraId="17D805D4" w14:textId="77777777" w:rsidTr="003F623B">
        <w:trPr>
          <w:gridBefore w:val="1"/>
          <w:gridAfter w:val="1"/>
          <w:wBefore w:w="17" w:type="dxa"/>
          <w:wAfter w:w="180" w:type="dxa"/>
          <w:trHeight w:val="549"/>
          <w:jc w:val="center"/>
        </w:trPr>
        <w:tc>
          <w:tcPr>
            <w:tcW w:w="2368" w:type="dxa"/>
            <w:gridSpan w:val="6"/>
            <w:vMerge/>
            <w:tcBorders>
              <w:top w:val="nil"/>
              <w:left w:val="nil"/>
              <w:bottom w:val="nil"/>
              <w:right w:val="single" w:sz="8" w:space="0" w:color="000000"/>
            </w:tcBorders>
            <w:vAlign w:val="center"/>
            <w:hideMark/>
          </w:tcPr>
          <w:p w14:paraId="15894E0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F8331BE" w14:textId="4A1399BE" w:rsidR="00485BAA" w:rsidRPr="008C761D" w:rsidRDefault="00F06A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Organized</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trainings</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internal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auditors;</w:t>
            </w:r>
          </w:p>
        </w:tc>
        <w:tc>
          <w:tcPr>
            <w:tcW w:w="1194" w:type="dxa"/>
            <w:gridSpan w:val="3"/>
            <w:shd w:val="clear" w:color="000000" w:fill="FFFF99"/>
            <w:vAlign w:val="center"/>
            <w:hideMark/>
          </w:tcPr>
          <w:p w14:paraId="77181FA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73829358"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p>
        </w:tc>
        <w:tc>
          <w:tcPr>
            <w:tcW w:w="1644" w:type="dxa"/>
            <w:gridSpan w:val="3"/>
            <w:shd w:val="clear" w:color="000000" w:fill="FFFF99"/>
            <w:vAlign w:val="center"/>
            <w:hideMark/>
          </w:tcPr>
          <w:p w14:paraId="735B7CCB"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c>
          <w:tcPr>
            <w:tcW w:w="1758" w:type="dxa"/>
            <w:gridSpan w:val="2"/>
            <w:shd w:val="clear" w:color="000000" w:fill="FFFF99"/>
            <w:vAlign w:val="center"/>
            <w:hideMark/>
          </w:tcPr>
          <w:p w14:paraId="17CF7242"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p>
        </w:tc>
        <w:tc>
          <w:tcPr>
            <w:tcW w:w="1842" w:type="dxa"/>
            <w:gridSpan w:val="3"/>
            <w:shd w:val="clear" w:color="000000" w:fill="FFFF99"/>
            <w:vAlign w:val="center"/>
            <w:hideMark/>
          </w:tcPr>
          <w:p w14:paraId="0C5F00DB"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p>
        </w:tc>
        <w:tc>
          <w:tcPr>
            <w:tcW w:w="1506" w:type="dxa"/>
            <w:gridSpan w:val="3"/>
            <w:shd w:val="clear" w:color="000000" w:fill="FFFF99"/>
            <w:vAlign w:val="center"/>
            <w:hideMark/>
          </w:tcPr>
          <w:p w14:paraId="33B091D9" w14:textId="77777777" w:rsidR="00485BAA" w:rsidRPr="008C761D" w:rsidRDefault="0039240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w:t>
            </w:r>
          </w:p>
        </w:tc>
      </w:tr>
      <w:tr w:rsidR="00485BAA" w:rsidRPr="008C761D" w14:paraId="39F5DAA7" w14:textId="77777777" w:rsidTr="003F623B">
        <w:trPr>
          <w:gridBefore w:val="1"/>
          <w:gridAfter w:val="1"/>
          <w:wBefore w:w="17" w:type="dxa"/>
          <w:wAfter w:w="180" w:type="dxa"/>
          <w:trHeight w:val="557"/>
          <w:jc w:val="center"/>
        </w:trPr>
        <w:tc>
          <w:tcPr>
            <w:tcW w:w="2368" w:type="dxa"/>
            <w:gridSpan w:val="6"/>
            <w:vMerge/>
            <w:tcBorders>
              <w:top w:val="nil"/>
              <w:left w:val="nil"/>
              <w:bottom w:val="nil"/>
              <w:right w:val="single" w:sz="8" w:space="0" w:color="000000"/>
            </w:tcBorders>
            <w:vAlign w:val="center"/>
            <w:hideMark/>
          </w:tcPr>
          <w:p w14:paraId="5564613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6F36F74" w14:textId="4990A310" w:rsidR="00485BAA" w:rsidRPr="008C761D" w:rsidRDefault="00F06A3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Organized</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certification</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internal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auditors.</w:t>
            </w:r>
          </w:p>
        </w:tc>
        <w:tc>
          <w:tcPr>
            <w:tcW w:w="1194" w:type="dxa"/>
            <w:gridSpan w:val="3"/>
            <w:shd w:val="clear" w:color="000000" w:fill="FFFF99"/>
            <w:vAlign w:val="center"/>
            <w:hideMark/>
          </w:tcPr>
          <w:p w14:paraId="4407662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6AE66B56" w14:textId="77777777"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000000" w:fill="FFFF99"/>
            <w:vAlign w:val="center"/>
            <w:hideMark/>
          </w:tcPr>
          <w:p w14:paraId="24B0B08A" w14:textId="77777777"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tc>
        <w:tc>
          <w:tcPr>
            <w:tcW w:w="1758" w:type="dxa"/>
            <w:gridSpan w:val="2"/>
            <w:shd w:val="clear" w:color="000000" w:fill="FFFF99"/>
            <w:vAlign w:val="center"/>
            <w:hideMark/>
          </w:tcPr>
          <w:p w14:paraId="29715FF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 Internalauditors</w:t>
            </w:r>
          </w:p>
        </w:tc>
        <w:tc>
          <w:tcPr>
            <w:tcW w:w="1842" w:type="dxa"/>
            <w:gridSpan w:val="3"/>
            <w:shd w:val="clear" w:color="000000" w:fill="FFFF99"/>
            <w:vAlign w:val="center"/>
            <w:hideMark/>
          </w:tcPr>
          <w:p w14:paraId="7D7C8682" w14:textId="77777777"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c>
          <w:tcPr>
            <w:tcW w:w="1506" w:type="dxa"/>
            <w:gridSpan w:val="3"/>
            <w:shd w:val="clear" w:color="000000" w:fill="FFFF99"/>
            <w:vAlign w:val="center"/>
            <w:hideMark/>
          </w:tcPr>
          <w:p w14:paraId="2D41375E" w14:textId="77777777"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r>
      <w:tr w:rsidR="00485BAA" w:rsidRPr="008C761D" w14:paraId="65A6B8FE" w14:textId="77777777" w:rsidTr="003F623B">
        <w:trPr>
          <w:gridBefore w:val="1"/>
          <w:gridAfter w:val="1"/>
          <w:wBefore w:w="17" w:type="dxa"/>
          <w:wAfter w:w="180" w:type="dxa"/>
          <w:trHeight w:val="780"/>
          <w:jc w:val="center"/>
        </w:trPr>
        <w:tc>
          <w:tcPr>
            <w:tcW w:w="2368" w:type="dxa"/>
            <w:gridSpan w:val="6"/>
            <w:vMerge/>
            <w:tcBorders>
              <w:top w:val="nil"/>
              <w:left w:val="nil"/>
              <w:bottom w:val="nil"/>
              <w:right w:val="single" w:sz="8" w:space="0" w:color="000000"/>
            </w:tcBorders>
            <w:vAlign w:val="center"/>
            <w:hideMark/>
          </w:tcPr>
          <w:p w14:paraId="27D219C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233AA5B" w14:textId="74F8421F" w:rsidR="00485BAA" w:rsidRPr="008C761D" w:rsidRDefault="00485BAA"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Strengthen</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capacities</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CHU</w:t>
            </w:r>
          </w:p>
        </w:tc>
        <w:tc>
          <w:tcPr>
            <w:tcW w:w="1194" w:type="dxa"/>
            <w:gridSpan w:val="3"/>
            <w:shd w:val="clear" w:color="000000" w:fill="FFFF99"/>
            <w:vAlign w:val="center"/>
            <w:hideMark/>
          </w:tcPr>
          <w:p w14:paraId="531B2E5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54CD8BCE" w14:textId="209DFCF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F06A35" w:rsidRPr="008C761D">
              <w:rPr>
                <w:rFonts w:ascii="Arial" w:eastAsia="Times New Roman" w:hAnsi="Arial" w:cs="Arial"/>
                <w:sz w:val="12"/>
                <w:szCs w:val="12"/>
                <w:lang w:val="en-US" w:eastAsia="mk-MK"/>
              </w:rPr>
              <w:t>8</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00F06A35" w:rsidRPr="008C761D">
              <w:rPr>
                <w:rFonts w:ascii="Arial" w:eastAsia="Times New Roman" w:hAnsi="Arial" w:cs="Arial"/>
                <w:sz w:val="12"/>
                <w:szCs w:val="12"/>
                <w:lang w:val="en-US" w:eastAsia="mk-MK"/>
              </w:rPr>
              <w:t xml:space="preserve"> Trainings 6</w:t>
            </w:r>
          </w:p>
        </w:tc>
        <w:tc>
          <w:tcPr>
            <w:tcW w:w="1644" w:type="dxa"/>
            <w:gridSpan w:val="3"/>
            <w:shd w:val="clear" w:color="000000" w:fill="FFFF99"/>
            <w:vAlign w:val="center"/>
            <w:hideMark/>
          </w:tcPr>
          <w:p w14:paraId="6C79539F" w14:textId="1ABA1A0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F06A35" w:rsidRPr="008C761D">
              <w:rPr>
                <w:rFonts w:ascii="Arial" w:eastAsia="Times New Roman" w:hAnsi="Arial" w:cs="Arial"/>
                <w:sz w:val="12"/>
                <w:szCs w:val="12"/>
                <w:lang w:val="en-US" w:eastAsia="mk-MK"/>
              </w:rPr>
              <w:t>10</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00F06A35" w:rsidRPr="008C761D">
              <w:rPr>
                <w:rFonts w:ascii="Arial" w:eastAsia="Times New Roman" w:hAnsi="Arial" w:cs="Arial"/>
                <w:sz w:val="12"/>
                <w:szCs w:val="12"/>
                <w:lang w:val="en-US" w:eastAsia="mk-MK"/>
              </w:rPr>
              <w:t>, Trainings 4</w:t>
            </w:r>
          </w:p>
        </w:tc>
        <w:tc>
          <w:tcPr>
            <w:tcW w:w="1758" w:type="dxa"/>
            <w:gridSpan w:val="2"/>
            <w:shd w:val="clear" w:color="000000" w:fill="FFFF99"/>
            <w:vAlign w:val="center"/>
            <w:hideMark/>
          </w:tcPr>
          <w:p w14:paraId="0589E949" w14:textId="7D2188E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F06A35" w:rsidRPr="008C761D">
              <w:rPr>
                <w:rFonts w:ascii="Arial" w:eastAsia="Times New Roman" w:hAnsi="Arial" w:cs="Arial"/>
                <w:sz w:val="12"/>
                <w:szCs w:val="12"/>
                <w:lang w:val="en-US" w:eastAsia="mk-MK"/>
              </w:rPr>
              <w:t>12</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00FC3AB5" w:rsidRPr="008C761D">
              <w:rPr>
                <w:rFonts w:ascii="Arial" w:eastAsia="Times New Roman" w:hAnsi="Arial" w:cs="Arial"/>
                <w:sz w:val="12"/>
                <w:szCs w:val="12"/>
                <w:lang w:val="en-US" w:eastAsia="mk-MK"/>
              </w:rPr>
              <w:t xml:space="preserve"> </w:t>
            </w:r>
            <w:r w:rsidR="00F06A35" w:rsidRPr="008C761D">
              <w:rPr>
                <w:rFonts w:ascii="Arial" w:eastAsia="Times New Roman" w:hAnsi="Arial" w:cs="Arial"/>
                <w:sz w:val="12"/>
                <w:szCs w:val="12"/>
                <w:lang w:val="en-US" w:eastAsia="mk-MK"/>
              </w:rPr>
              <w:t>12</w:t>
            </w:r>
          </w:p>
          <w:p w14:paraId="16C74600" w14:textId="77777777" w:rsidR="00F06A35"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4</w:t>
            </w:r>
          </w:p>
        </w:tc>
        <w:tc>
          <w:tcPr>
            <w:tcW w:w="1842" w:type="dxa"/>
            <w:gridSpan w:val="3"/>
            <w:shd w:val="clear" w:color="000000" w:fill="FFFF99"/>
            <w:vAlign w:val="center"/>
            <w:hideMark/>
          </w:tcPr>
          <w:p w14:paraId="75D5357B" w14:textId="1B4686B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FC3AB5" w:rsidRPr="008C761D">
              <w:rPr>
                <w:rFonts w:ascii="Arial" w:eastAsia="Times New Roman" w:hAnsi="Arial" w:cs="Arial"/>
                <w:sz w:val="12"/>
                <w:szCs w:val="12"/>
                <w:lang w:val="en-US" w:eastAsia="mk-MK"/>
              </w:rPr>
              <w:t xml:space="preserve"> </w:t>
            </w:r>
            <w:r w:rsidR="00F06A35" w:rsidRPr="008C761D">
              <w:rPr>
                <w:rFonts w:ascii="Arial" w:eastAsia="Times New Roman" w:hAnsi="Arial" w:cs="Arial"/>
                <w:sz w:val="12"/>
                <w:szCs w:val="12"/>
                <w:lang w:val="en-US" w:eastAsia="mk-MK"/>
              </w:rPr>
              <w:t>13</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r w:rsidRPr="008C761D">
              <w:rPr>
                <w:rFonts w:ascii="Arial" w:eastAsia="Times New Roman" w:hAnsi="Arial" w:cs="Arial"/>
                <w:sz w:val="12"/>
                <w:szCs w:val="12"/>
                <w:lang w:val="en-US" w:eastAsia="mk-MK"/>
              </w:rPr>
              <w:br/>
              <w:t>Trainings</w:t>
            </w:r>
            <w:r w:rsidR="00F06A35" w:rsidRPr="008C761D">
              <w:rPr>
                <w:rFonts w:ascii="Arial" w:eastAsia="Times New Roman" w:hAnsi="Arial" w:cs="Arial"/>
                <w:sz w:val="12"/>
                <w:szCs w:val="12"/>
                <w:lang w:val="en-US" w:eastAsia="mk-MK"/>
              </w:rPr>
              <w:t>4</w:t>
            </w:r>
          </w:p>
        </w:tc>
        <w:tc>
          <w:tcPr>
            <w:tcW w:w="1506" w:type="dxa"/>
            <w:gridSpan w:val="3"/>
            <w:shd w:val="clear" w:color="000000" w:fill="FFFF99"/>
            <w:vAlign w:val="center"/>
            <w:hideMark/>
          </w:tcPr>
          <w:p w14:paraId="0F719477" w14:textId="4CB57EA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Employed a total</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1</w:t>
            </w:r>
            <w:r w:rsidR="00F06A35" w:rsidRPr="008C761D">
              <w:rPr>
                <w:rFonts w:ascii="Arial" w:eastAsia="Times New Roman" w:hAnsi="Arial" w:cs="Arial"/>
                <w:sz w:val="12"/>
                <w:szCs w:val="12"/>
                <w:lang w:val="en-US" w:eastAsia="mk-MK"/>
              </w:rPr>
              <w:t>4</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people</w:t>
            </w:r>
          </w:p>
          <w:p w14:paraId="1359588C" w14:textId="77777777" w:rsidR="00F06A35"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Trainings 4</w:t>
            </w:r>
          </w:p>
        </w:tc>
      </w:tr>
      <w:tr w:rsidR="00485BAA" w:rsidRPr="008C761D" w14:paraId="303C7F0C" w14:textId="77777777" w:rsidTr="003F623B">
        <w:trPr>
          <w:gridBefore w:val="1"/>
          <w:gridAfter w:val="1"/>
          <w:wBefore w:w="17" w:type="dxa"/>
          <w:wAfter w:w="180" w:type="dxa"/>
          <w:trHeight w:val="405"/>
          <w:jc w:val="center"/>
        </w:trPr>
        <w:tc>
          <w:tcPr>
            <w:tcW w:w="2368" w:type="dxa"/>
            <w:gridSpan w:val="6"/>
            <w:vMerge/>
            <w:tcBorders>
              <w:top w:val="nil"/>
              <w:left w:val="nil"/>
              <w:bottom w:val="nil"/>
              <w:right w:val="single" w:sz="8" w:space="0" w:color="000000"/>
            </w:tcBorders>
            <w:vAlign w:val="center"/>
            <w:hideMark/>
          </w:tcPr>
          <w:p w14:paraId="4813C2B6"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3921A32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5A7DADC4" w14:textId="3B4A9C8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22802FCA" w14:textId="38634CB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AB62E54" w14:textId="5483F83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A1C0D1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12F8E51" w14:textId="7908F5B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FC3AB5"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funding</w:t>
            </w:r>
          </w:p>
        </w:tc>
        <w:tc>
          <w:tcPr>
            <w:tcW w:w="1506" w:type="dxa"/>
            <w:gridSpan w:val="3"/>
            <w:shd w:val="clear" w:color="000000" w:fill="9BD2ED"/>
            <w:vAlign w:val="center"/>
            <w:hideMark/>
          </w:tcPr>
          <w:p w14:paraId="6873742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DD8DE58" w14:textId="77777777" w:rsidTr="003F623B">
        <w:trPr>
          <w:gridBefore w:val="1"/>
          <w:gridAfter w:val="1"/>
          <w:wBefore w:w="17" w:type="dxa"/>
          <w:wAfter w:w="180" w:type="dxa"/>
          <w:trHeight w:val="250"/>
          <w:jc w:val="center"/>
        </w:trPr>
        <w:tc>
          <w:tcPr>
            <w:tcW w:w="2368" w:type="dxa"/>
            <w:gridSpan w:val="6"/>
            <w:vMerge/>
            <w:tcBorders>
              <w:top w:val="nil"/>
              <w:left w:val="nil"/>
              <w:bottom w:val="nil"/>
              <w:right w:val="single" w:sz="8" w:space="0" w:color="000000"/>
            </w:tcBorders>
            <w:vAlign w:val="center"/>
            <w:hideMark/>
          </w:tcPr>
          <w:p w14:paraId="1BE2B8A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63D237C7" w14:textId="5B022906"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Improving of Human Resources capacities of Internal Audit Units in the Ministries through adequate staffing and Continuous Professional Development at the internal auditors</w:t>
            </w:r>
          </w:p>
        </w:tc>
        <w:tc>
          <w:tcPr>
            <w:tcW w:w="1194" w:type="dxa"/>
            <w:gridSpan w:val="3"/>
            <w:shd w:val="clear" w:color="000000" w:fill="FFFF99"/>
            <w:vAlign w:val="center"/>
            <w:hideMark/>
          </w:tcPr>
          <w:p w14:paraId="12B2C315" w14:textId="04306820"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730CBF"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6EF2C4C8" w14:textId="23B3FC62"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Ministries</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MF</w:t>
            </w:r>
            <w:r w:rsidR="00E97E20">
              <w:rPr>
                <w:rFonts w:ascii="Arial" w:eastAsia="Times New Roman" w:hAnsi="Arial" w:cs="Arial"/>
                <w:sz w:val="12"/>
                <w:szCs w:val="12"/>
                <w:lang w:val="en-US" w:eastAsia="mk-MK"/>
              </w:rPr>
              <w:t xml:space="preserve"> - PIFC</w:t>
            </w:r>
            <w:r w:rsidR="00485BAA" w:rsidRPr="008C761D">
              <w:rPr>
                <w:rFonts w:ascii="Arial" w:eastAsia="Times New Roman" w:hAnsi="Arial" w:cs="Arial"/>
                <w:sz w:val="12"/>
                <w:szCs w:val="12"/>
                <w:lang w:val="en-US" w:eastAsia="mk-MK"/>
              </w:rPr>
              <w:t> </w:t>
            </w:r>
          </w:p>
        </w:tc>
        <w:tc>
          <w:tcPr>
            <w:tcW w:w="1644" w:type="dxa"/>
            <w:gridSpan w:val="3"/>
            <w:shd w:val="clear" w:color="000000" w:fill="FFFF99"/>
            <w:vAlign w:val="center"/>
            <w:hideMark/>
          </w:tcPr>
          <w:p w14:paraId="727429C9" w14:textId="345BC540"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r w:rsidR="00485BAA" w:rsidRPr="008C761D">
              <w:rPr>
                <w:rFonts w:ascii="Arial" w:eastAsia="Times New Roman" w:hAnsi="Arial" w:cs="Arial"/>
                <w:sz w:val="12"/>
                <w:szCs w:val="12"/>
                <w:lang w:val="en-US" w:eastAsia="mk-MK"/>
              </w:rPr>
              <w:t> </w:t>
            </w:r>
          </w:p>
        </w:tc>
        <w:tc>
          <w:tcPr>
            <w:tcW w:w="1758" w:type="dxa"/>
            <w:gridSpan w:val="2"/>
            <w:shd w:val="clear" w:color="000000" w:fill="FFFF99"/>
            <w:vAlign w:val="center"/>
            <w:hideMark/>
          </w:tcPr>
          <w:p w14:paraId="6D73EB0B" w14:textId="77777777" w:rsidR="00485BAA" w:rsidRPr="008C761D" w:rsidRDefault="00697441"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60.000</w:t>
            </w:r>
          </w:p>
        </w:tc>
        <w:tc>
          <w:tcPr>
            <w:tcW w:w="1842" w:type="dxa"/>
            <w:gridSpan w:val="3"/>
            <w:shd w:val="clear" w:color="000000" w:fill="FFFF99"/>
            <w:vAlign w:val="center"/>
            <w:hideMark/>
          </w:tcPr>
          <w:p w14:paraId="130CFBE9" w14:textId="77777777" w:rsidR="00485BAA" w:rsidRPr="008C761D" w:rsidRDefault="00F06A35"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 funds</w:t>
            </w:r>
          </w:p>
        </w:tc>
        <w:tc>
          <w:tcPr>
            <w:tcW w:w="1506" w:type="dxa"/>
            <w:gridSpan w:val="3"/>
            <w:shd w:val="clear" w:color="000000" w:fill="FFFF99"/>
            <w:vAlign w:val="center"/>
            <w:hideMark/>
          </w:tcPr>
          <w:p w14:paraId="7428D74F" w14:textId="1C5A0787" w:rsidR="00485BAA" w:rsidRPr="008C761D" w:rsidRDefault="00485BAA" w:rsidP="00FC63A0">
            <w:pPr>
              <w:spacing w:after="0" w:line="240" w:lineRule="auto"/>
              <w:rPr>
                <w:rFonts w:ascii="Arial" w:eastAsia="Times New Roman" w:hAnsi="Arial" w:cs="Arial"/>
                <w:sz w:val="12"/>
                <w:szCs w:val="12"/>
                <w:lang w:val="en-US" w:eastAsia="mk-MK"/>
              </w:rPr>
            </w:pPr>
          </w:p>
        </w:tc>
      </w:tr>
      <w:tr w:rsidR="00485BAA" w:rsidRPr="008C761D" w14:paraId="337FCDDB" w14:textId="77777777" w:rsidTr="003F623B">
        <w:trPr>
          <w:gridBefore w:val="1"/>
          <w:gridAfter w:val="1"/>
          <w:wBefore w:w="17" w:type="dxa"/>
          <w:wAfter w:w="180" w:type="dxa"/>
          <w:trHeight w:val="583"/>
          <w:jc w:val="center"/>
        </w:trPr>
        <w:tc>
          <w:tcPr>
            <w:tcW w:w="2368" w:type="dxa"/>
            <w:gridSpan w:val="6"/>
            <w:vMerge/>
            <w:tcBorders>
              <w:top w:val="nil"/>
              <w:left w:val="nil"/>
              <w:bottom w:val="nil"/>
              <w:right w:val="single" w:sz="8" w:space="0" w:color="000000"/>
            </w:tcBorders>
            <w:vAlign w:val="center"/>
            <w:hideMark/>
          </w:tcPr>
          <w:p w14:paraId="63D6BE7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056D086" w14:textId="5D2F5BFA"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Strengthening CHU’s capacities for checking the quality of operations of the internal audit units</w:t>
            </w:r>
          </w:p>
        </w:tc>
        <w:tc>
          <w:tcPr>
            <w:tcW w:w="1194" w:type="dxa"/>
            <w:gridSpan w:val="3"/>
            <w:shd w:val="clear" w:color="000000" w:fill="FFFF99"/>
            <w:vAlign w:val="center"/>
            <w:hideMark/>
          </w:tcPr>
          <w:p w14:paraId="5D8A7BF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F06A35"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F06A35"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24C2CA63" w14:textId="3E5F7F7D"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r w:rsidR="00E97E20">
              <w:rPr>
                <w:rFonts w:ascii="Arial" w:eastAsia="Times New Roman" w:hAnsi="Arial" w:cs="Arial"/>
                <w:sz w:val="12"/>
                <w:szCs w:val="12"/>
                <w:lang w:val="en-US" w:eastAsia="mk-MK"/>
              </w:rPr>
              <w:t xml:space="preserve"> - PIFC</w:t>
            </w:r>
          </w:p>
        </w:tc>
        <w:tc>
          <w:tcPr>
            <w:tcW w:w="1644" w:type="dxa"/>
            <w:gridSpan w:val="3"/>
            <w:shd w:val="clear" w:color="000000" w:fill="FFFF99"/>
            <w:vAlign w:val="center"/>
            <w:hideMark/>
          </w:tcPr>
          <w:p w14:paraId="5FDB0404" w14:textId="40023F1A"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Twinning</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project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/EU/NAFE/SIGMA</w:t>
            </w:r>
            <w:r w:rsidR="00485BAA" w:rsidRPr="008C761D">
              <w:rPr>
                <w:rFonts w:ascii="Arial" w:eastAsia="Times New Roman" w:hAnsi="Arial" w:cs="Arial"/>
                <w:sz w:val="12"/>
                <w:szCs w:val="12"/>
                <w:lang w:val="en-US" w:eastAsia="mk-MK"/>
              </w:rPr>
              <w:t> </w:t>
            </w:r>
          </w:p>
        </w:tc>
        <w:tc>
          <w:tcPr>
            <w:tcW w:w="1758" w:type="dxa"/>
            <w:gridSpan w:val="2"/>
            <w:shd w:val="clear" w:color="000000" w:fill="FFFF99"/>
            <w:vAlign w:val="center"/>
            <w:hideMark/>
          </w:tcPr>
          <w:p w14:paraId="7035F54D" w14:textId="77777777" w:rsidR="00485BAA" w:rsidRPr="008C761D" w:rsidRDefault="00697441"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61,000</w:t>
            </w:r>
          </w:p>
        </w:tc>
        <w:tc>
          <w:tcPr>
            <w:tcW w:w="1842" w:type="dxa"/>
            <w:gridSpan w:val="3"/>
            <w:shd w:val="clear" w:color="000000" w:fill="FFFF99"/>
            <w:vAlign w:val="center"/>
            <w:hideMark/>
          </w:tcPr>
          <w:p w14:paraId="611081BB" w14:textId="6497ACEB" w:rsidR="00485BAA" w:rsidRPr="008C761D" w:rsidRDefault="00F06A35"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Other sources</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r w:rsidR="00FC3AB5"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funds</w:t>
            </w:r>
          </w:p>
        </w:tc>
        <w:tc>
          <w:tcPr>
            <w:tcW w:w="1506" w:type="dxa"/>
            <w:gridSpan w:val="3"/>
            <w:shd w:val="clear" w:color="000000" w:fill="FFFF99"/>
            <w:vAlign w:val="center"/>
            <w:hideMark/>
          </w:tcPr>
          <w:p w14:paraId="514DDF64" w14:textId="189EBA33" w:rsidR="00485BAA" w:rsidRPr="008C761D" w:rsidRDefault="00485BAA" w:rsidP="009A7962">
            <w:pPr>
              <w:spacing w:after="0" w:line="240" w:lineRule="auto"/>
              <w:jc w:val="center"/>
              <w:rPr>
                <w:rFonts w:ascii="Arial" w:eastAsia="Times New Roman" w:hAnsi="Arial" w:cs="Arial"/>
                <w:sz w:val="12"/>
                <w:szCs w:val="12"/>
                <w:lang w:val="en-US" w:eastAsia="mk-MK"/>
              </w:rPr>
            </w:pPr>
          </w:p>
        </w:tc>
      </w:tr>
      <w:tr w:rsidR="00485BAA" w:rsidRPr="008C761D" w14:paraId="26569C2E" w14:textId="77777777" w:rsidTr="003F623B">
        <w:trPr>
          <w:gridBefore w:val="1"/>
          <w:gridAfter w:val="1"/>
          <w:wBefore w:w="17" w:type="dxa"/>
          <w:wAfter w:w="180" w:type="dxa"/>
          <w:trHeight w:val="979"/>
          <w:jc w:val="center"/>
        </w:trPr>
        <w:tc>
          <w:tcPr>
            <w:tcW w:w="2368" w:type="dxa"/>
            <w:gridSpan w:val="6"/>
            <w:vMerge/>
            <w:tcBorders>
              <w:top w:val="nil"/>
              <w:left w:val="nil"/>
              <w:bottom w:val="single" w:sz="8" w:space="0" w:color="000000"/>
              <w:right w:val="single" w:sz="8" w:space="0" w:color="000000"/>
            </w:tcBorders>
            <w:vAlign w:val="center"/>
            <w:hideMark/>
          </w:tcPr>
          <w:p w14:paraId="49090BD2"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000000" w:fill="FFFF99"/>
            <w:vAlign w:val="center"/>
            <w:hideMark/>
          </w:tcPr>
          <w:p w14:paraId="7B175924" w14:textId="02BF19E9" w:rsidR="00485BAA" w:rsidRPr="008C761D" w:rsidRDefault="00FC3AB5"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Establishment of a network of institutions of internal audit units in coordination with the CHU, for exchange of experiences and best practices</w:t>
            </w:r>
          </w:p>
        </w:tc>
        <w:tc>
          <w:tcPr>
            <w:tcW w:w="1194" w:type="dxa"/>
            <w:gridSpan w:val="3"/>
            <w:tcBorders>
              <w:bottom w:val="single" w:sz="8" w:space="0" w:color="000000"/>
            </w:tcBorders>
            <w:shd w:val="clear" w:color="000000" w:fill="FFFF99"/>
            <w:vAlign w:val="center"/>
            <w:hideMark/>
          </w:tcPr>
          <w:p w14:paraId="49C3C2D2" w14:textId="5017418E"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730CBF"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-202</w:t>
            </w:r>
            <w:r w:rsidR="00F06A35" w:rsidRPr="008C761D">
              <w:rPr>
                <w:rFonts w:ascii="Arial" w:eastAsia="Times New Roman" w:hAnsi="Arial" w:cs="Arial"/>
                <w:sz w:val="12"/>
                <w:szCs w:val="12"/>
                <w:lang w:val="en-US" w:eastAsia="mk-MK"/>
              </w:rPr>
              <w:t>7</w:t>
            </w:r>
          </w:p>
        </w:tc>
        <w:tc>
          <w:tcPr>
            <w:tcW w:w="1418" w:type="dxa"/>
            <w:gridSpan w:val="2"/>
            <w:tcBorders>
              <w:bottom w:val="single" w:sz="8" w:space="0" w:color="000000"/>
            </w:tcBorders>
            <w:shd w:val="clear" w:color="000000" w:fill="FFFF99"/>
            <w:vAlign w:val="center"/>
            <w:hideMark/>
          </w:tcPr>
          <w:p w14:paraId="7615DF28" w14:textId="302E809B"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r w:rsidR="00E97E20">
              <w:rPr>
                <w:rFonts w:ascii="Arial" w:eastAsia="Times New Roman" w:hAnsi="Arial" w:cs="Arial"/>
                <w:sz w:val="12"/>
                <w:szCs w:val="12"/>
                <w:lang w:val="en-US" w:eastAsia="mk-MK"/>
              </w:rPr>
              <w:t xml:space="preserve"> - PIFC</w:t>
            </w:r>
          </w:p>
        </w:tc>
        <w:tc>
          <w:tcPr>
            <w:tcW w:w="1644" w:type="dxa"/>
            <w:gridSpan w:val="3"/>
            <w:tcBorders>
              <w:bottom w:val="single" w:sz="8" w:space="0" w:color="000000"/>
            </w:tcBorders>
            <w:shd w:val="clear" w:color="000000" w:fill="FFFF99"/>
            <w:vAlign w:val="center"/>
            <w:hideMark/>
          </w:tcPr>
          <w:p w14:paraId="401EFED0" w14:textId="107FC2DB"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tcBorders>
              <w:bottom w:val="single" w:sz="8" w:space="0" w:color="000000"/>
            </w:tcBorders>
            <w:shd w:val="clear" w:color="000000" w:fill="FFFF99"/>
            <w:vAlign w:val="center"/>
            <w:hideMark/>
          </w:tcPr>
          <w:p w14:paraId="00224004" w14:textId="2337BE29" w:rsidR="00485BAA" w:rsidRPr="008C761D" w:rsidRDefault="00485BAA"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15,000</w:t>
            </w:r>
          </w:p>
        </w:tc>
        <w:tc>
          <w:tcPr>
            <w:tcW w:w="1842" w:type="dxa"/>
            <w:gridSpan w:val="3"/>
            <w:tcBorders>
              <w:bottom w:val="single" w:sz="8" w:space="0" w:color="000000"/>
            </w:tcBorders>
            <w:shd w:val="clear" w:color="000000" w:fill="FFFF99"/>
            <w:vAlign w:val="center"/>
            <w:hideMark/>
          </w:tcPr>
          <w:p w14:paraId="3CFE93BF" w14:textId="220AC465" w:rsidR="00485BAA" w:rsidRPr="008C761D" w:rsidRDefault="00FC3AB5" w:rsidP="009A796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w:t>
            </w:r>
            <w:r w:rsidR="00485BAA" w:rsidRPr="008C761D">
              <w:rPr>
                <w:rFonts w:ascii="Arial" w:eastAsia="Times New Roman" w:hAnsi="Arial" w:cs="Arial"/>
                <w:sz w:val="12"/>
                <w:szCs w:val="12"/>
                <w:lang w:val="en-US" w:eastAsia="mk-MK"/>
              </w:rPr>
              <w:t>udget</w:t>
            </w:r>
            <w:r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funds</w:t>
            </w:r>
          </w:p>
        </w:tc>
        <w:tc>
          <w:tcPr>
            <w:tcW w:w="1506" w:type="dxa"/>
            <w:gridSpan w:val="3"/>
            <w:tcBorders>
              <w:bottom w:val="single" w:sz="8" w:space="0" w:color="000000"/>
            </w:tcBorders>
            <w:shd w:val="clear" w:color="000000" w:fill="FFFF99"/>
            <w:vAlign w:val="center"/>
            <w:hideMark/>
          </w:tcPr>
          <w:p w14:paraId="0D76EC5E" w14:textId="63ADABA5" w:rsidR="00485BAA" w:rsidRPr="008C761D" w:rsidRDefault="00485BAA" w:rsidP="009A7962">
            <w:pPr>
              <w:spacing w:after="0" w:line="240" w:lineRule="auto"/>
              <w:jc w:val="center"/>
              <w:rPr>
                <w:rFonts w:ascii="Arial" w:eastAsia="Times New Roman" w:hAnsi="Arial" w:cs="Arial"/>
                <w:sz w:val="12"/>
                <w:szCs w:val="12"/>
                <w:lang w:val="en-US" w:eastAsia="mk-MK"/>
              </w:rPr>
            </w:pPr>
          </w:p>
        </w:tc>
      </w:tr>
      <w:tr w:rsidR="00485BAA" w:rsidRPr="008C761D" w14:paraId="4B951897" w14:textId="77777777" w:rsidTr="003F623B">
        <w:trPr>
          <w:gridBefore w:val="1"/>
          <w:gridAfter w:val="1"/>
          <w:wBefore w:w="17" w:type="dxa"/>
          <w:wAfter w:w="180" w:type="dxa"/>
          <w:trHeight w:val="439"/>
          <w:jc w:val="center"/>
        </w:trPr>
        <w:tc>
          <w:tcPr>
            <w:tcW w:w="13501" w:type="dxa"/>
            <w:gridSpan w:val="25"/>
            <w:shd w:val="clear" w:color="000000" w:fill="9BD2ED"/>
            <w:vAlign w:val="center"/>
            <w:hideMark/>
          </w:tcPr>
          <w:p w14:paraId="63B255DE" w14:textId="3D986151"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FC3AB5" w:rsidRPr="008C761D">
              <w:rPr>
                <w:rFonts w:ascii="Arial" w:eastAsia="Times New Roman" w:hAnsi="Arial" w:cs="Arial"/>
                <w:b/>
                <w:bCs/>
                <w:sz w:val="12"/>
                <w:szCs w:val="12"/>
                <w:lang w:val="en-US" w:eastAsia="mk-MK"/>
              </w:rPr>
              <w:t>Improving the abilities to carry out performance and IT internal audits in the public sector institutions</w:t>
            </w:r>
          </w:p>
        </w:tc>
      </w:tr>
      <w:tr w:rsidR="00F06A35" w:rsidRPr="008C761D" w14:paraId="74928EB5" w14:textId="77777777" w:rsidTr="003F623B">
        <w:trPr>
          <w:gridBefore w:val="1"/>
          <w:gridAfter w:val="1"/>
          <w:wBefore w:w="17" w:type="dxa"/>
          <w:wAfter w:w="180" w:type="dxa"/>
          <w:trHeight w:val="205"/>
          <w:jc w:val="center"/>
        </w:trPr>
        <w:tc>
          <w:tcPr>
            <w:tcW w:w="2368" w:type="dxa"/>
            <w:gridSpan w:val="6"/>
            <w:tcBorders>
              <w:top w:val="nil"/>
              <w:left w:val="nil"/>
              <w:bottom w:val="nil"/>
              <w:right w:val="single" w:sz="8" w:space="0" w:color="000000"/>
            </w:tcBorders>
            <w:shd w:val="clear" w:color="auto" w:fill="auto"/>
            <w:noWrap/>
            <w:vAlign w:val="bottom"/>
          </w:tcPr>
          <w:p w14:paraId="31DD24C2" w14:textId="77777777" w:rsidR="00F06A35" w:rsidRPr="008C761D" w:rsidRDefault="00F06A35" w:rsidP="00F06A35">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tcPr>
          <w:p w14:paraId="0BD80065" w14:textId="285323DC"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6261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tcPr>
          <w:p w14:paraId="7893D4F7" w14:textId="1893805F"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56261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tcPr>
          <w:p w14:paraId="5A5E035C" w14:textId="77777777"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tcPr>
          <w:p w14:paraId="63B3D588" w14:textId="77777777"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FG24</w:t>
            </w:r>
          </w:p>
        </w:tc>
        <w:tc>
          <w:tcPr>
            <w:tcW w:w="1758" w:type="dxa"/>
            <w:gridSpan w:val="2"/>
            <w:shd w:val="clear" w:color="000000" w:fill="9BD2ED"/>
          </w:tcPr>
          <w:p w14:paraId="0513BEF1" w14:textId="77777777"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FG25</w:t>
            </w:r>
          </w:p>
        </w:tc>
        <w:tc>
          <w:tcPr>
            <w:tcW w:w="1842" w:type="dxa"/>
            <w:gridSpan w:val="3"/>
            <w:shd w:val="clear" w:color="000000" w:fill="9BD2ED"/>
          </w:tcPr>
          <w:p w14:paraId="6190D2AE" w14:textId="77777777"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FG26</w:t>
            </w:r>
          </w:p>
        </w:tc>
        <w:tc>
          <w:tcPr>
            <w:tcW w:w="1506" w:type="dxa"/>
            <w:gridSpan w:val="3"/>
            <w:shd w:val="clear" w:color="000000" w:fill="9BD2ED"/>
          </w:tcPr>
          <w:p w14:paraId="0BEF40B8" w14:textId="77777777" w:rsidR="00F06A35" w:rsidRPr="008C761D" w:rsidRDefault="00F06A35" w:rsidP="00F06A35">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FG27</w:t>
            </w:r>
          </w:p>
        </w:tc>
      </w:tr>
      <w:tr w:rsidR="00485BAA" w:rsidRPr="008C761D" w14:paraId="24B969CF" w14:textId="77777777" w:rsidTr="003F623B">
        <w:trPr>
          <w:gridBefore w:val="1"/>
          <w:gridAfter w:val="1"/>
          <w:wBefore w:w="17" w:type="dxa"/>
          <w:wAfter w:w="180" w:type="dxa"/>
          <w:trHeight w:val="270"/>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3579BAF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auto" w:fill="FFFF99"/>
            <w:vAlign w:val="center"/>
            <w:hideMark/>
          </w:tcPr>
          <w:p w14:paraId="1A06E12A" w14:textId="37A5641C"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 Guideline</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performance</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internal</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p>
        </w:tc>
        <w:tc>
          <w:tcPr>
            <w:tcW w:w="1194" w:type="dxa"/>
            <w:gridSpan w:val="3"/>
            <w:shd w:val="clear" w:color="auto" w:fill="FFFF99"/>
            <w:vAlign w:val="center"/>
            <w:hideMark/>
          </w:tcPr>
          <w:p w14:paraId="14F8C1A8"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auto" w:fill="FFFF99"/>
            <w:vAlign w:val="center"/>
            <w:hideMark/>
          </w:tcPr>
          <w:p w14:paraId="262A02C1"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644" w:type="dxa"/>
            <w:gridSpan w:val="3"/>
            <w:shd w:val="clear" w:color="auto" w:fill="FFFF99"/>
            <w:vAlign w:val="center"/>
            <w:hideMark/>
          </w:tcPr>
          <w:p w14:paraId="34B86CD9" w14:textId="16C73EE7" w:rsidR="00485BAA" w:rsidRPr="008C761D" w:rsidRDefault="0069744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promoted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Guideline</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performance</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internal</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p>
        </w:tc>
        <w:tc>
          <w:tcPr>
            <w:tcW w:w="1758" w:type="dxa"/>
            <w:gridSpan w:val="2"/>
            <w:shd w:val="clear" w:color="auto" w:fill="FFFF99"/>
            <w:vAlign w:val="center"/>
            <w:hideMark/>
          </w:tcPr>
          <w:p w14:paraId="2234864B"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842" w:type="dxa"/>
            <w:gridSpan w:val="3"/>
            <w:shd w:val="clear" w:color="auto" w:fill="FFFF99"/>
            <w:vAlign w:val="center"/>
            <w:hideMark/>
          </w:tcPr>
          <w:p w14:paraId="5410AD55" w14:textId="77777777" w:rsidR="00485BAA" w:rsidRPr="008C761D" w:rsidRDefault="00F06A35"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p>
        </w:tc>
        <w:tc>
          <w:tcPr>
            <w:tcW w:w="1506" w:type="dxa"/>
            <w:gridSpan w:val="3"/>
            <w:shd w:val="clear" w:color="auto" w:fill="FFFF99"/>
            <w:vAlign w:val="center"/>
            <w:hideMark/>
          </w:tcPr>
          <w:p w14:paraId="1ED677AA"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w:t>
            </w:r>
          </w:p>
        </w:tc>
      </w:tr>
      <w:tr w:rsidR="00485BAA" w:rsidRPr="008C761D" w14:paraId="1D520023" w14:textId="77777777" w:rsidTr="003F623B">
        <w:trPr>
          <w:gridBefore w:val="1"/>
          <w:gridAfter w:val="1"/>
          <w:wBefore w:w="17" w:type="dxa"/>
          <w:wAfter w:w="180" w:type="dxa"/>
          <w:trHeight w:val="492"/>
          <w:jc w:val="center"/>
        </w:trPr>
        <w:tc>
          <w:tcPr>
            <w:tcW w:w="2368" w:type="dxa"/>
            <w:gridSpan w:val="6"/>
            <w:vMerge/>
            <w:tcBorders>
              <w:top w:val="nil"/>
              <w:left w:val="nil"/>
              <w:bottom w:val="nil"/>
              <w:right w:val="single" w:sz="8" w:space="0" w:color="000000"/>
            </w:tcBorders>
            <w:vAlign w:val="center"/>
            <w:hideMark/>
          </w:tcPr>
          <w:p w14:paraId="781CF4C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09E65FB1" w14:textId="62A95975"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Prepared </w:t>
            </w:r>
            <w:r w:rsidR="00134B6E" w:rsidRPr="008C761D">
              <w:rPr>
                <w:rFonts w:ascii="Arial" w:eastAsia="Times New Roman" w:hAnsi="Arial" w:cs="Arial"/>
                <w:sz w:val="12"/>
                <w:szCs w:val="12"/>
                <w:lang w:val="en-US" w:eastAsia="mk-MK"/>
              </w:rPr>
              <w:t>Guideline for</w:t>
            </w:r>
            <w:r w:rsidRPr="008C761D">
              <w:rPr>
                <w:rFonts w:ascii="Arial" w:eastAsia="Times New Roman" w:hAnsi="Arial" w:cs="Arial"/>
                <w:sz w:val="12"/>
                <w:szCs w:val="12"/>
                <w:lang w:val="en-US" w:eastAsia="mk-MK"/>
              </w:rPr>
              <w:t xml:space="preserve"> IT </w:t>
            </w:r>
            <w:r w:rsidR="00134B6E" w:rsidRPr="008C761D">
              <w:rPr>
                <w:rFonts w:ascii="Arial" w:eastAsia="Times New Roman" w:hAnsi="Arial" w:cs="Arial"/>
                <w:sz w:val="12"/>
                <w:szCs w:val="12"/>
                <w:lang w:val="en-US" w:eastAsia="mk-MK"/>
              </w:rPr>
              <w:t>internal audits</w:t>
            </w:r>
          </w:p>
        </w:tc>
        <w:tc>
          <w:tcPr>
            <w:tcW w:w="1194" w:type="dxa"/>
            <w:gridSpan w:val="3"/>
            <w:shd w:val="clear" w:color="000000" w:fill="FFFF99"/>
            <w:vAlign w:val="center"/>
            <w:hideMark/>
          </w:tcPr>
          <w:p w14:paraId="65F1B92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p>
        </w:tc>
        <w:tc>
          <w:tcPr>
            <w:tcW w:w="1418" w:type="dxa"/>
            <w:gridSpan w:val="2"/>
            <w:shd w:val="clear" w:color="000000" w:fill="FFFF99"/>
            <w:vAlign w:val="center"/>
            <w:hideMark/>
          </w:tcPr>
          <w:p w14:paraId="0559F62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644" w:type="dxa"/>
            <w:gridSpan w:val="3"/>
            <w:shd w:val="clear" w:color="000000" w:fill="FFFF99"/>
            <w:vAlign w:val="center"/>
            <w:hideMark/>
          </w:tcPr>
          <w:p w14:paraId="6745D55E" w14:textId="600EEC02" w:rsidR="00485BAA" w:rsidRPr="008C761D" w:rsidRDefault="0069744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Prepared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promoted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Guideline</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 IT internal</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p>
        </w:tc>
        <w:tc>
          <w:tcPr>
            <w:tcW w:w="1758" w:type="dxa"/>
            <w:gridSpan w:val="2"/>
            <w:shd w:val="clear" w:color="000000" w:fill="FFFF99"/>
            <w:vAlign w:val="center"/>
            <w:hideMark/>
          </w:tcPr>
          <w:p w14:paraId="7D1759C0" w14:textId="1062F692"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03DB1C74" w14:textId="3F99FC8E"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506" w:type="dxa"/>
            <w:gridSpan w:val="3"/>
            <w:shd w:val="clear" w:color="000000" w:fill="FFFF99"/>
            <w:vAlign w:val="center"/>
            <w:hideMark/>
          </w:tcPr>
          <w:p w14:paraId="07DF51CE" w14:textId="117AB24C" w:rsidR="00485BAA"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485BAA" w:rsidRPr="008C761D" w14:paraId="7DA147F7" w14:textId="77777777" w:rsidTr="003F623B">
        <w:trPr>
          <w:gridBefore w:val="1"/>
          <w:gridAfter w:val="1"/>
          <w:wBefore w:w="17" w:type="dxa"/>
          <w:wAfter w:w="180" w:type="dxa"/>
          <w:trHeight w:val="542"/>
          <w:jc w:val="center"/>
        </w:trPr>
        <w:tc>
          <w:tcPr>
            <w:tcW w:w="2368" w:type="dxa"/>
            <w:gridSpan w:val="6"/>
            <w:vMerge/>
            <w:tcBorders>
              <w:top w:val="nil"/>
              <w:left w:val="nil"/>
              <w:bottom w:val="nil"/>
              <w:right w:val="single" w:sz="8" w:space="0" w:color="000000"/>
            </w:tcBorders>
            <w:vAlign w:val="center"/>
            <w:hideMark/>
          </w:tcPr>
          <w:p w14:paraId="6DDC104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6A9F7C" w14:textId="42C44A5F" w:rsidR="00485BAA" w:rsidRPr="008C761D" w:rsidRDefault="00C9688E" w:rsidP="00A60A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Increased number of conducted performance audits and IT </w:t>
            </w:r>
            <w:r w:rsidR="00134B6E" w:rsidRPr="008C761D">
              <w:rPr>
                <w:rFonts w:ascii="Arial" w:eastAsia="Times New Roman" w:hAnsi="Arial" w:cs="Arial"/>
                <w:sz w:val="12"/>
                <w:szCs w:val="12"/>
                <w:lang w:val="en-US" w:eastAsia="mk-MK"/>
              </w:rPr>
              <w:t>audits. Signed</w:t>
            </w:r>
            <w:r w:rsidRPr="008C761D">
              <w:rPr>
                <w:rFonts w:ascii="Arial" w:eastAsia="Times New Roman" w:hAnsi="Arial" w:cs="Arial"/>
                <w:sz w:val="12"/>
                <w:szCs w:val="12"/>
                <w:lang w:val="en-US" w:eastAsia="mk-MK"/>
              </w:rPr>
              <w:t xml:space="preserve"> Charter for conducting IT audits and performance audits</w:t>
            </w:r>
          </w:p>
        </w:tc>
        <w:tc>
          <w:tcPr>
            <w:tcW w:w="1194" w:type="dxa"/>
            <w:gridSpan w:val="3"/>
            <w:shd w:val="clear" w:color="000000" w:fill="FFFF99"/>
            <w:vAlign w:val="center"/>
            <w:hideMark/>
          </w:tcPr>
          <w:p w14:paraId="4B752A65" w14:textId="6B93CB3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ministries</w:t>
            </w:r>
          </w:p>
        </w:tc>
        <w:tc>
          <w:tcPr>
            <w:tcW w:w="1418" w:type="dxa"/>
            <w:gridSpan w:val="2"/>
            <w:shd w:val="clear" w:color="000000" w:fill="FFFF99"/>
            <w:vAlign w:val="center"/>
            <w:hideMark/>
          </w:tcPr>
          <w:p w14:paraId="68E83011"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p>
        </w:tc>
        <w:tc>
          <w:tcPr>
            <w:tcW w:w="1644" w:type="dxa"/>
            <w:gridSpan w:val="3"/>
            <w:shd w:val="clear" w:color="000000" w:fill="FFFF99"/>
            <w:vAlign w:val="center"/>
            <w:hideMark/>
          </w:tcPr>
          <w:p w14:paraId="2E88F20A" w14:textId="15A4F662"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p>
        </w:tc>
        <w:tc>
          <w:tcPr>
            <w:tcW w:w="1758" w:type="dxa"/>
            <w:gridSpan w:val="2"/>
            <w:shd w:val="clear" w:color="000000" w:fill="FFFF99"/>
            <w:vAlign w:val="center"/>
            <w:hideMark/>
          </w:tcPr>
          <w:p w14:paraId="56BA38C2"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w:t>
            </w:r>
          </w:p>
        </w:tc>
        <w:tc>
          <w:tcPr>
            <w:tcW w:w="1842" w:type="dxa"/>
            <w:gridSpan w:val="3"/>
            <w:shd w:val="clear" w:color="000000" w:fill="FFFF99"/>
            <w:vAlign w:val="center"/>
            <w:hideMark/>
          </w:tcPr>
          <w:p w14:paraId="41203D1F"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21</w:t>
            </w:r>
          </w:p>
        </w:tc>
        <w:tc>
          <w:tcPr>
            <w:tcW w:w="1506" w:type="dxa"/>
            <w:gridSpan w:val="3"/>
            <w:shd w:val="clear" w:color="000000" w:fill="FFFF99"/>
            <w:vAlign w:val="center"/>
            <w:hideMark/>
          </w:tcPr>
          <w:p w14:paraId="0CD5B584" w14:textId="77777777" w:rsidR="00485BAA"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27</w:t>
            </w:r>
          </w:p>
        </w:tc>
      </w:tr>
      <w:tr w:rsidR="00485BAA" w:rsidRPr="008C761D" w14:paraId="3D2D279A" w14:textId="77777777" w:rsidTr="003F623B">
        <w:trPr>
          <w:gridBefore w:val="1"/>
          <w:gridAfter w:val="1"/>
          <w:wBefore w:w="17" w:type="dxa"/>
          <w:wAfter w:w="180" w:type="dxa"/>
          <w:trHeight w:val="270"/>
          <w:jc w:val="center"/>
        </w:trPr>
        <w:tc>
          <w:tcPr>
            <w:tcW w:w="2368" w:type="dxa"/>
            <w:gridSpan w:val="6"/>
            <w:vMerge/>
            <w:tcBorders>
              <w:top w:val="nil"/>
              <w:left w:val="nil"/>
              <w:bottom w:val="nil"/>
              <w:right w:val="single" w:sz="8" w:space="0" w:color="000000"/>
            </w:tcBorders>
            <w:vAlign w:val="center"/>
            <w:hideMark/>
          </w:tcPr>
          <w:p w14:paraId="2F52C5B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577E86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341B98FA" w14:textId="2C880B7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21C87554" w14:textId="7A2D363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249EE6F" w14:textId="3385AF3A"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094CE6C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663E1A96" w14:textId="5A88D23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funding</w:t>
            </w:r>
          </w:p>
        </w:tc>
        <w:tc>
          <w:tcPr>
            <w:tcW w:w="1506" w:type="dxa"/>
            <w:gridSpan w:val="3"/>
            <w:shd w:val="clear" w:color="000000" w:fill="9BD2ED"/>
            <w:vAlign w:val="center"/>
            <w:hideMark/>
          </w:tcPr>
          <w:p w14:paraId="778ED27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43DE1DFE" w14:textId="77777777" w:rsidTr="003F623B">
        <w:trPr>
          <w:gridBefore w:val="1"/>
          <w:gridAfter w:val="1"/>
          <w:wBefore w:w="17" w:type="dxa"/>
          <w:wAfter w:w="180" w:type="dxa"/>
          <w:trHeight w:val="565"/>
          <w:jc w:val="center"/>
        </w:trPr>
        <w:tc>
          <w:tcPr>
            <w:tcW w:w="2368" w:type="dxa"/>
            <w:gridSpan w:val="6"/>
            <w:vMerge/>
            <w:tcBorders>
              <w:top w:val="nil"/>
              <w:left w:val="nil"/>
              <w:bottom w:val="nil"/>
              <w:right w:val="single" w:sz="8" w:space="0" w:color="000000"/>
            </w:tcBorders>
            <w:vAlign w:val="center"/>
            <w:hideMark/>
          </w:tcPr>
          <w:p w14:paraId="085508E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143441C" w14:textId="26F667E8" w:rsidR="00485BAA" w:rsidRPr="008C761D" w:rsidRDefault="00C9688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Preparation and promotion methodology for specific type of internal audits</w:t>
            </w:r>
          </w:p>
        </w:tc>
        <w:tc>
          <w:tcPr>
            <w:tcW w:w="1194" w:type="dxa"/>
            <w:gridSpan w:val="3"/>
            <w:shd w:val="clear" w:color="000000" w:fill="FFFF99"/>
            <w:vAlign w:val="center"/>
            <w:hideMark/>
          </w:tcPr>
          <w:p w14:paraId="4C98B6D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A60A8E"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-202</w:t>
            </w:r>
            <w:r w:rsidR="00A60A8E"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19AC548B" w14:textId="5C83F089"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r w:rsidR="00E97E20">
              <w:rPr>
                <w:rFonts w:ascii="Arial" w:eastAsia="Times New Roman" w:hAnsi="Arial" w:cs="Arial"/>
                <w:sz w:val="12"/>
                <w:szCs w:val="12"/>
                <w:lang w:val="en-US" w:eastAsia="mk-MK"/>
              </w:rPr>
              <w:t xml:space="preserve"> - PIFC</w:t>
            </w:r>
          </w:p>
        </w:tc>
        <w:tc>
          <w:tcPr>
            <w:tcW w:w="1644" w:type="dxa"/>
            <w:gridSpan w:val="3"/>
            <w:shd w:val="clear" w:color="000000" w:fill="FFFF99"/>
            <w:vAlign w:val="center"/>
            <w:hideMark/>
          </w:tcPr>
          <w:p w14:paraId="03340F93" w14:textId="0C396EAD" w:rsidR="00485BAA"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7F461AEB" w14:textId="77777777" w:rsidR="00485BAA" w:rsidRPr="008C761D" w:rsidRDefault="002C3B3F"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3F83A322" w14:textId="1B3C8913" w:rsidR="00485BAA" w:rsidRPr="008C761D" w:rsidRDefault="002C3B3F"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38162033" w14:textId="19296252"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A60A8E" w:rsidRPr="008C761D" w14:paraId="4B403D1A" w14:textId="77777777" w:rsidTr="003F623B">
        <w:trPr>
          <w:gridBefore w:val="1"/>
          <w:gridAfter w:val="1"/>
          <w:wBefore w:w="17" w:type="dxa"/>
          <w:wAfter w:w="180" w:type="dxa"/>
          <w:trHeight w:val="663"/>
          <w:jc w:val="center"/>
        </w:trPr>
        <w:tc>
          <w:tcPr>
            <w:tcW w:w="2368" w:type="dxa"/>
            <w:gridSpan w:val="6"/>
            <w:tcBorders>
              <w:top w:val="nil"/>
              <w:left w:val="nil"/>
              <w:bottom w:val="nil"/>
              <w:right w:val="single" w:sz="8" w:space="0" w:color="000000"/>
            </w:tcBorders>
            <w:vAlign w:val="center"/>
          </w:tcPr>
          <w:p w14:paraId="3B316E78" w14:textId="77777777" w:rsidR="00A60A8E" w:rsidRPr="008C761D" w:rsidRDefault="00A60A8E"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7267B939" w14:textId="1D1CDB8C" w:rsidR="00A60A8E" w:rsidRPr="008C761D" w:rsidRDefault="00C9688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Analysis of the situation and determination of the need for the establishment of a Central Unit for IT internal audits in the Ministry of Finance</w:t>
            </w:r>
          </w:p>
        </w:tc>
        <w:tc>
          <w:tcPr>
            <w:tcW w:w="1194" w:type="dxa"/>
            <w:gridSpan w:val="3"/>
            <w:shd w:val="clear" w:color="000000" w:fill="FFFF99"/>
            <w:vAlign w:val="center"/>
          </w:tcPr>
          <w:p w14:paraId="1039B26D" w14:textId="77777777" w:rsidR="00A60A8E"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2026</w:t>
            </w:r>
          </w:p>
        </w:tc>
        <w:tc>
          <w:tcPr>
            <w:tcW w:w="1418" w:type="dxa"/>
            <w:gridSpan w:val="2"/>
            <w:shd w:val="clear" w:color="000000" w:fill="FFFF99"/>
            <w:vAlign w:val="center"/>
          </w:tcPr>
          <w:p w14:paraId="107EB6AC" w14:textId="316EF911" w:rsidR="00A60A8E"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w:t>
            </w:r>
            <w:r w:rsidR="00E97E20">
              <w:rPr>
                <w:rFonts w:ascii="Arial" w:eastAsia="Times New Roman" w:hAnsi="Arial" w:cs="Arial"/>
                <w:sz w:val="12"/>
                <w:szCs w:val="12"/>
                <w:lang w:val="en-US" w:eastAsia="mk-MK"/>
              </w:rPr>
              <w:t xml:space="preserve"> - PIFC</w:t>
            </w:r>
          </w:p>
        </w:tc>
        <w:tc>
          <w:tcPr>
            <w:tcW w:w="1644" w:type="dxa"/>
            <w:gridSpan w:val="3"/>
            <w:shd w:val="clear" w:color="000000" w:fill="FFFF99"/>
            <w:vAlign w:val="center"/>
          </w:tcPr>
          <w:p w14:paraId="6832AB5D" w14:textId="77777777" w:rsidR="00A60A8E" w:rsidRPr="008C761D" w:rsidRDefault="00A60A8E" w:rsidP="00A60A8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SIGMA/EU</w:t>
            </w:r>
          </w:p>
        </w:tc>
        <w:tc>
          <w:tcPr>
            <w:tcW w:w="1758" w:type="dxa"/>
            <w:gridSpan w:val="2"/>
            <w:shd w:val="clear" w:color="000000" w:fill="FFFF99"/>
            <w:vAlign w:val="center"/>
          </w:tcPr>
          <w:p w14:paraId="7AE5088A" w14:textId="3C76F7C6" w:rsidR="00A60A8E" w:rsidRPr="008C761D" w:rsidRDefault="009A79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25,000</w:t>
            </w:r>
          </w:p>
        </w:tc>
        <w:tc>
          <w:tcPr>
            <w:tcW w:w="1842" w:type="dxa"/>
            <w:gridSpan w:val="3"/>
            <w:shd w:val="clear" w:color="000000" w:fill="FFFF99"/>
            <w:vAlign w:val="center"/>
          </w:tcPr>
          <w:p w14:paraId="3F859CB4" w14:textId="77777777" w:rsidR="00A60A8E" w:rsidRPr="008C761D" w:rsidRDefault="00A60A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Budget funds and </w:t>
            </w:r>
            <w:proofErr w:type="gramStart"/>
            <w:r w:rsidRPr="008C761D">
              <w:rPr>
                <w:rFonts w:ascii="Arial" w:eastAsia="Times New Roman" w:hAnsi="Arial" w:cs="Arial"/>
                <w:sz w:val="12"/>
                <w:szCs w:val="12"/>
                <w:lang w:val="en-US" w:eastAsia="mk-MK"/>
              </w:rPr>
              <w:t>donors</w:t>
            </w:r>
            <w:proofErr w:type="gramEnd"/>
            <w:r w:rsidRPr="008C761D">
              <w:rPr>
                <w:rFonts w:ascii="Arial" w:eastAsia="Times New Roman" w:hAnsi="Arial" w:cs="Arial"/>
                <w:sz w:val="12"/>
                <w:szCs w:val="12"/>
                <w:lang w:val="en-US" w:eastAsia="mk-MK"/>
              </w:rPr>
              <w:t xml:space="preserve"> funds</w:t>
            </w:r>
          </w:p>
        </w:tc>
        <w:tc>
          <w:tcPr>
            <w:tcW w:w="1506" w:type="dxa"/>
            <w:gridSpan w:val="3"/>
            <w:shd w:val="clear" w:color="000000" w:fill="FFFF99"/>
            <w:noWrap/>
            <w:vAlign w:val="center"/>
          </w:tcPr>
          <w:p w14:paraId="03D987ED" w14:textId="29C5826D" w:rsidR="00A60A8E" w:rsidRPr="008C761D" w:rsidRDefault="00A60A8E" w:rsidP="00407B01">
            <w:pPr>
              <w:spacing w:after="0" w:line="240" w:lineRule="auto"/>
              <w:jc w:val="center"/>
              <w:rPr>
                <w:rFonts w:ascii="Arial" w:eastAsia="Times New Roman" w:hAnsi="Arial" w:cs="Arial"/>
                <w:sz w:val="12"/>
                <w:szCs w:val="12"/>
                <w:lang w:val="en-US" w:eastAsia="mk-MK"/>
              </w:rPr>
            </w:pPr>
          </w:p>
        </w:tc>
      </w:tr>
      <w:tr w:rsidR="00485BAA" w:rsidRPr="008C761D" w14:paraId="75082745" w14:textId="77777777" w:rsidTr="003F623B">
        <w:trPr>
          <w:gridBefore w:val="1"/>
          <w:gridAfter w:val="1"/>
          <w:wBefore w:w="17" w:type="dxa"/>
          <w:wAfter w:w="180" w:type="dxa"/>
          <w:trHeight w:val="295"/>
          <w:jc w:val="center"/>
        </w:trPr>
        <w:tc>
          <w:tcPr>
            <w:tcW w:w="13501" w:type="dxa"/>
            <w:gridSpan w:val="25"/>
            <w:shd w:val="clear" w:color="000000" w:fill="1F3864"/>
            <w:vAlign w:val="center"/>
            <w:hideMark/>
          </w:tcPr>
          <w:p w14:paraId="7A74FC83" w14:textId="7BF1879F"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VII</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External</w:t>
            </w:r>
            <w:r w:rsidR="00C9688E" w:rsidRPr="008C761D">
              <w:rPr>
                <w:rFonts w:ascii="Arial" w:eastAsia="Times New Roman" w:hAnsi="Arial" w:cs="Arial"/>
                <w:b/>
                <w:bCs/>
                <w:color w:val="FFFFFF"/>
                <w:sz w:val="12"/>
                <w:szCs w:val="12"/>
                <w:lang w:val="en-US" w:eastAsia="mk-MK"/>
              </w:rPr>
              <w:t xml:space="preserve"> </w:t>
            </w:r>
            <w:r w:rsidR="00174835">
              <w:rPr>
                <w:rFonts w:ascii="Arial" w:eastAsia="Times New Roman" w:hAnsi="Arial" w:cs="Arial"/>
                <w:b/>
                <w:bCs/>
                <w:color w:val="FFFFFF"/>
                <w:sz w:val="12"/>
                <w:szCs w:val="12"/>
                <w:lang w:val="en-US" w:eastAsia="mk-MK"/>
              </w:rPr>
              <w:t>audit</w:t>
            </w:r>
            <w:r w:rsidR="00C9688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C9688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parliamentary</w:t>
            </w:r>
            <w:r w:rsidR="00C9688E"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oversight</w:t>
            </w:r>
          </w:p>
        </w:tc>
      </w:tr>
      <w:tr w:rsidR="00485BAA" w:rsidRPr="008C761D" w14:paraId="6A9663D8"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54D781AB" w14:textId="1C3B5EDB"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External</w:t>
            </w:r>
            <w:r w:rsidR="00BA5E6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audit</w:t>
            </w:r>
          </w:p>
        </w:tc>
      </w:tr>
      <w:tr w:rsidR="00485BAA" w:rsidRPr="008C761D" w14:paraId="5680DCF8" w14:textId="77777777" w:rsidTr="003F623B">
        <w:trPr>
          <w:gridBefore w:val="1"/>
          <w:gridAfter w:val="1"/>
          <w:wBefore w:w="17" w:type="dxa"/>
          <w:wAfter w:w="180" w:type="dxa"/>
          <w:trHeight w:val="238"/>
          <w:jc w:val="center"/>
        </w:trPr>
        <w:tc>
          <w:tcPr>
            <w:tcW w:w="2368" w:type="dxa"/>
            <w:gridSpan w:val="6"/>
            <w:shd w:val="clear" w:color="000000" w:fill="9BD2ED"/>
            <w:vAlign w:val="center"/>
            <w:hideMark/>
          </w:tcPr>
          <w:p w14:paraId="268156C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4AEB9737" w14:textId="02ACD41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B150148" w14:textId="3B502FD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7FDEFAF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760702"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285012A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60702"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2E880FD"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60702"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4CA9281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60702"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0743E2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760702" w:rsidRPr="008C761D">
              <w:rPr>
                <w:rFonts w:ascii="Arial" w:eastAsia="Times New Roman" w:hAnsi="Arial" w:cs="Arial"/>
                <w:b/>
                <w:bCs/>
                <w:sz w:val="12"/>
                <w:szCs w:val="12"/>
                <w:lang w:val="en-US" w:eastAsia="mk-MK"/>
              </w:rPr>
              <w:t>7</w:t>
            </w:r>
          </w:p>
        </w:tc>
      </w:tr>
      <w:tr w:rsidR="00485BAA" w:rsidRPr="008C761D" w14:paraId="532AB83B" w14:textId="77777777" w:rsidTr="003F623B">
        <w:trPr>
          <w:gridBefore w:val="1"/>
          <w:gridAfter w:val="1"/>
          <w:wBefore w:w="17" w:type="dxa"/>
          <w:wAfter w:w="180" w:type="dxa"/>
          <w:trHeight w:val="601"/>
          <w:jc w:val="center"/>
        </w:trPr>
        <w:tc>
          <w:tcPr>
            <w:tcW w:w="2368" w:type="dxa"/>
            <w:gridSpan w:val="6"/>
            <w:shd w:val="clear" w:color="000000" w:fill="FFFF99"/>
            <w:hideMark/>
          </w:tcPr>
          <w:p w14:paraId="28A9F388" w14:textId="31069E0F"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 Reduced tax evasion and increasing fiscal discipline / increasing revenues in the Budget of RNM</w:t>
            </w:r>
          </w:p>
        </w:tc>
        <w:tc>
          <w:tcPr>
            <w:tcW w:w="1771" w:type="dxa"/>
            <w:gridSpan w:val="3"/>
            <w:shd w:val="clear" w:color="000000" w:fill="FFFF99"/>
            <w:hideMark/>
          </w:tcPr>
          <w:p w14:paraId="1AF06F4A" w14:textId="2CBEAD52"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Established amount of funds that have not been paid in the Budget of RNM</w:t>
            </w:r>
          </w:p>
        </w:tc>
        <w:tc>
          <w:tcPr>
            <w:tcW w:w="1194" w:type="dxa"/>
            <w:gridSpan w:val="3"/>
            <w:shd w:val="clear" w:color="000000" w:fill="FFFF99"/>
            <w:hideMark/>
          </w:tcPr>
          <w:p w14:paraId="14EA3D48" w14:textId="149FB85A"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the performed audits and operation</w:t>
            </w:r>
          </w:p>
        </w:tc>
        <w:tc>
          <w:tcPr>
            <w:tcW w:w="1418" w:type="dxa"/>
            <w:gridSpan w:val="2"/>
            <w:shd w:val="clear" w:color="000000" w:fill="FFFF99"/>
            <w:vAlign w:val="center"/>
            <w:hideMark/>
          </w:tcPr>
          <w:p w14:paraId="793DACFF" w14:textId="77777777" w:rsidR="00485BAA"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17,000 euros</w:t>
            </w:r>
          </w:p>
        </w:tc>
        <w:tc>
          <w:tcPr>
            <w:tcW w:w="1644" w:type="dxa"/>
            <w:gridSpan w:val="3"/>
            <w:shd w:val="clear" w:color="000000" w:fill="FFFF99"/>
            <w:vAlign w:val="center"/>
            <w:hideMark/>
          </w:tcPr>
          <w:p w14:paraId="4E22BB88"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16,000 euros</w:t>
            </w:r>
          </w:p>
        </w:tc>
        <w:tc>
          <w:tcPr>
            <w:tcW w:w="1758" w:type="dxa"/>
            <w:gridSpan w:val="2"/>
            <w:shd w:val="clear" w:color="000000" w:fill="FFFF99"/>
            <w:vAlign w:val="center"/>
            <w:hideMark/>
          </w:tcPr>
          <w:p w14:paraId="258124DA"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11,000 euros</w:t>
            </w:r>
          </w:p>
        </w:tc>
        <w:tc>
          <w:tcPr>
            <w:tcW w:w="1842" w:type="dxa"/>
            <w:gridSpan w:val="3"/>
            <w:shd w:val="clear" w:color="000000" w:fill="FFFF99"/>
            <w:vAlign w:val="center"/>
            <w:hideMark/>
          </w:tcPr>
          <w:p w14:paraId="666F8DDE"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9,000 euros</w:t>
            </w:r>
          </w:p>
        </w:tc>
        <w:tc>
          <w:tcPr>
            <w:tcW w:w="1506" w:type="dxa"/>
            <w:gridSpan w:val="3"/>
            <w:shd w:val="clear" w:color="000000" w:fill="FFFF99"/>
            <w:vAlign w:val="center"/>
            <w:hideMark/>
          </w:tcPr>
          <w:p w14:paraId="60A27336" w14:textId="77777777" w:rsidR="00485BAA" w:rsidRPr="008C761D" w:rsidRDefault="00485BAA"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7</w:t>
            </w:r>
            <w:r w:rsidR="00760702" w:rsidRPr="008C761D">
              <w:rPr>
                <w:rFonts w:ascii="Arial" w:eastAsia="Times New Roman" w:hAnsi="Arial" w:cs="Arial"/>
                <w:sz w:val="12"/>
                <w:szCs w:val="12"/>
                <w:lang w:val="en-US" w:eastAsia="mk-MK"/>
              </w:rPr>
              <w:t>0</w:t>
            </w:r>
            <w:r w:rsidRPr="008C761D">
              <w:rPr>
                <w:rFonts w:ascii="Arial" w:eastAsia="Times New Roman" w:hAnsi="Arial" w:cs="Arial"/>
                <w:sz w:val="12"/>
                <w:szCs w:val="12"/>
                <w:lang w:val="en-US" w:eastAsia="mk-MK"/>
              </w:rPr>
              <w:t>00 Eur</w:t>
            </w:r>
          </w:p>
        </w:tc>
      </w:tr>
      <w:tr w:rsidR="00485BAA" w:rsidRPr="008C761D" w14:paraId="6A404C4F" w14:textId="77777777" w:rsidTr="003F623B">
        <w:trPr>
          <w:gridBefore w:val="1"/>
          <w:gridAfter w:val="1"/>
          <w:wBefore w:w="17" w:type="dxa"/>
          <w:wAfter w:w="180" w:type="dxa"/>
          <w:trHeight w:val="680"/>
          <w:jc w:val="center"/>
        </w:trPr>
        <w:tc>
          <w:tcPr>
            <w:tcW w:w="2368" w:type="dxa"/>
            <w:gridSpan w:val="6"/>
            <w:shd w:val="clear" w:color="000000" w:fill="FFFF99"/>
            <w:hideMark/>
          </w:tcPr>
          <w:p w14:paraId="28EA9291" w14:textId="27BF0BC3" w:rsidR="00485BAA" w:rsidRPr="008C761D" w:rsidRDefault="00C9688E" w:rsidP="00C968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II. Reduced tax evasion and </w:t>
            </w:r>
            <w:proofErr w:type="gramStart"/>
            <w:r w:rsidRPr="008C761D">
              <w:rPr>
                <w:rFonts w:ascii="Arial" w:eastAsia="Times New Roman" w:hAnsi="Arial" w:cs="Arial"/>
                <w:sz w:val="12"/>
                <w:szCs w:val="12"/>
                <w:lang w:val="en-US" w:eastAsia="mk-MK"/>
              </w:rPr>
              <w:t>increasing  fiscal</w:t>
            </w:r>
            <w:proofErr w:type="gramEnd"/>
            <w:r w:rsidRPr="008C761D">
              <w:rPr>
                <w:rFonts w:ascii="Arial" w:eastAsia="Times New Roman" w:hAnsi="Arial" w:cs="Arial"/>
                <w:sz w:val="12"/>
                <w:szCs w:val="12"/>
                <w:lang w:val="en-US" w:eastAsia="mk-MK"/>
              </w:rPr>
              <w:t xml:space="preserve"> discipline / increase in revenues in the budgets of LSG  and the City of Skopje</w:t>
            </w:r>
          </w:p>
        </w:tc>
        <w:tc>
          <w:tcPr>
            <w:tcW w:w="1771" w:type="dxa"/>
            <w:gridSpan w:val="3"/>
            <w:shd w:val="clear" w:color="000000" w:fill="FFFF99"/>
            <w:hideMark/>
          </w:tcPr>
          <w:p w14:paraId="4A058411" w14:textId="31B0ED1B"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Established amount of funds that have not been paid into the Budget of the municipalities and the city of Skopje</w:t>
            </w:r>
          </w:p>
        </w:tc>
        <w:tc>
          <w:tcPr>
            <w:tcW w:w="1194" w:type="dxa"/>
            <w:gridSpan w:val="3"/>
            <w:shd w:val="clear" w:color="000000" w:fill="FFFF99"/>
            <w:hideMark/>
          </w:tcPr>
          <w:p w14:paraId="50A84D47" w14:textId="5EB0FAF6"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the performed audits and operation</w:t>
            </w:r>
          </w:p>
        </w:tc>
        <w:tc>
          <w:tcPr>
            <w:tcW w:w="1418" w:type="dxa"/>
            <w:gridSpan w:val="2"/>
            <w:shd w:val="clear" w:color="000000" w:fill="FFFF99"/>
            <w:vAlign w:val="center"/>
            <w:hideMark/>
          </w:tcPr>
          <w:p w14:paraId="63A9731C" w14:textId="77777777" w:rsidR="00485BAA"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12,000 euros</w:t>
            </w:r>
          </w:p>
        </w:tc>
        <w:tc>
          <w:tcPr>
            <w:tcW w:w="1644" w:type="dxa"/>
            <w:gridSpan w:val="3"/>
            <w:shd w:val="clear" w:color="000000" w:fill="FFFF99"/>
            <w:vAlign w:val="center"/>
            <w:hideMark/>
          </w:tcPr>
          <w:p w14:paraId="76B1DC99"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8,000 euros</w:t>
            </w:r>
          </w:p>
        </w:tc>
        <w:tc>
          <w:tcPr>
            <w:tcW w:w="1758" w:type="dxa"/>
            <w:gridSpan w:val="2"/>
            <w:shd w:val="clear" w:color="000000" w:fill="FFFF99"/>
            <w:vAlign w:val="center"/>
            <w:hideMark/>
          </w:tcPr>
          <w:p w14:paraId="2068DB36"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6,000 euros</w:t>
            </w:r>
          </w:p>
        </w:tc>
        <w:tc>
          <w:tcPr>
            <w:tcW w:w="1842" w:type="dxa"/>
            <w:gridSpan w:val="3"/>
            <w:shd w:val="clear" w:color="000000" w:fill="FFFF99"/>
            <w:vAlign w:val="center"/>
            <w:hideMark/>
          </w:tcPr>
          <w:p w14:paraId="71AE6362"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4,000 euros</w:t>
            </w:r>
          </w:p>
        </w:tc>
        <w:tc>
          <w:tcPr>
            <w:tcW w:w="1506" w:type="dxa"/>
            <w:gridSpan w:val="3"/>
            <w:shd w:val="clear" w:color="000000" w:fill="FFFF99"/>
            <w:vAlign w:val="center"/>
            <w:hideMark/>
          </w:tcPr>
          <w:p w14:paraId="4A278C5B" w14:textId="77777777" w:rsidR="00485BAA"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2,000 euros</w:t>
            </w:r>
          </w:p>
        </w:tc>
      </w:tr>
      <w:tr w:rsidR="00760702" w:rsidRPr="008C761D" w14:paraId="7E4A8A02" w14:textId="77777777" w:rsidTr="003F623B">
        <w:trPr>
          <w:gridBefore w:val="1"/>
          <w:gridAfter w:val="1"/>
          <w:wBefore w:w="17" w:type="dxa"/>
          <w:wAfter w:w="180" w:type="dxa"/>
          <w:trHeight w:val="680"/>
          <w:jc w:val="center"/>
        </w:trPr>
        <w:tc>
          <w:tcPr>
            <w:tcW w:w="2368" w:type="dxa"/>
            <w:gridSpan w:val="6"/>
            <w:shd w:val="clear" w:color="000000" w:fill="FFFF99"/>
          </w:tcPr>
          <w:p w14:paraId="3FBC56F4" w14:textId="072CF9FF" w:rsidR="00760702"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III. Adhered principles when awarding public procurement contracts</w:t>
            </w:r>
          </w:p>
        </w:tc>
        <w:tc>
          <w:tcPr>
            <w:tcW w:w="1771" w:type="dxa"/>
            <w:gridSpan w:val="3"/>
            <w:shd w:val="clear" w:color="000000" w:fill="FFFF99"/>
          </w:tcPr>
          <w:p w14:paraId="3760A9D4" w14:textId="4E1DB739" w:rsidR="00760702"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Established amount of funds during the awarding of contracts for public procurement where irregularities were </w:t>
            </w:r>
            <w:proofErr w:type="gramStart"/>
            <w:r w:rsidR="00134B6E" w:rsidRPr="008C761D">
              <w:rPr>
                <w:rFonts w:ascii="Arial" w:eastAsia="Times New Roman" w:hAnsi="Arial" w:cs="Arial"/>
                <w:sz w:val="12"/>
                <w:szCs w:val="12"/>
                <w:lang w:val="en-US" w:eastAsia="mk-MK"/>
              </w:rPr>
              <w:t>identified</w:t>
            </w:r>
            <w:r w:rsidRPr="008C761D">
              <w:rPr>
                <w:rFonts w:ascii="Arial" w:eastAsia="Times New Roman" w:hAnsi="Arial" w:cs="Arial"/>
                <w:sz w:val="12"/>
                <w:szCs w:val="12"/>
                <w:lang w:val="en-US" w:eastAsia="mk-MK"/>
              </w:rPr>
              <w:t xml:space="preserve">  with</w:t>
            </w:r>
            <w:proofErr w:type="gramEnd"/>
            <w:r w:rsidRPr="008C761D">
              <w:rPr>
                <w:rFonts w:ascii="Arial" w:eastAsia="Times New Roman" w:hAnsi="Arial" w:cs="Arial"/>
                <w:sz w:val="12"/>
                <w:szCs w:val="12"/>
                <w:lang w:val="en-US" w:eastAsia="mk-MK"/>
              </w:rPr>
              <w:t xml:space="preserve"> the audits;</w:t>
            </w:r>
          </w:p>
        </w:tc>
        <w:tc>
          <w:tcPr>
            <w:tcW w:w="1194" w:type="dxa"/>
            <w:gridSpan w:val="3"/>
            <w:shd w:val="clear" w:color="000000" w:fill="FFFF99"/>
          </w:tcPr>
          <w:p w14:paraId="12600608" w14:textId="31A6651A" w:rsidR="00760702"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performed audits and operations</w:t>
            </w:r>
          </w:p>
        </w:tc>
        <w:tc>
          <w:tcPr>
            <w:tcW w:w="1418" w:type="dxa"/>
            <w:gridSpan w:val="2"/>
            <w:shd w:val="clear" w:color="000000" w:fill="FFFF99"/>
            <w:vAlign w:val="center"/>
          </w:tcPr>
          <w:p w14:paraId="08D4167C"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10,900 euros</w:t>
            </w:r>
          </w:p>
        </w:tc>
        <w:tc>
          <w:tcPr>
            <w:tcW w:w="1644" w:type="dxa"/>
            <w:gridSpan w:val="3"/>
            <w:shd w:val="clear" w:color="000000" w:fill="FFFF99"/>
            <w:vAlign w:val="center"/>
          </w:tcPr>
          <w:p w14:paraId="4B6F41A7" w14:textId="77777777" w:rsidR="00760702"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8,100 euros</w:t>
            </w:r>
          </w:p>
        </w:tc>
        <w:tc>
          <w:tcPr>
            <w:tcW w:w="1758" w:type="dxa"/>
            <w:gridSpan w:val="2"/>
            <w:shd w:val="clear" w:color="000000" w:fill="FFFF99"/>
            <w:vAlign w:val="center"/>
          </w:tcPr>
          <w:p w14:paraId="06367CC3" w14:textId="77777777" w:rsidR="00760702"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7,500 euros</w:t>
            </w:r>
          </w:p>
        </w:tc>
        <w:tc>
          <w:tcPr>
            <w:tcW w:w="1842" w:type="dxa"/>
            <w:gridSpan w:val="3"/>
            <w:shd w:val="clear" w:color="000000" w:fill="FFFF99"/>
            <w:vAlign w:val="center"/>
          </w:tcPr>
          <w:p w14:paraId="735CF730"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p>
          <w:p w14:paraId="5083EF09" w14:textId="77777777" w:rsidR="005D3164" w:rsidRPr="008C761D" w:rsidRDefault="005D3164" w:rsidP="00407B01">
            <w:pPr>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7.300 euros</w:t>
            </w:r>
          </w:p>
        </w:tc>
        <w:tc>
          <w:tcPr>
            <w:tcW w:w="1506" w:type="dxa"/>
            <w:gridSpan w:val="3"/>
            <w:shd w:val="clear" w:color="000000" w:fill="FFFF99"/>
            <w:vAlign w:val="center"/>
          </w:tcPr>
          <w:p w14:paraId="70761D2F" w14:textId="77777777" w:rsidR="00760702" w:rsidRPr="008C761D" w:rsidRDefault="005D3164"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≥7.000 euros</w:t>
            </w:r>
          </w:p>
        </w:tc>
      </w:tr>
      <w:tr w:rsidR="00760702" w:rsidRPr="008C761D" w14:paraId="014831CD" w14:textId="77777777" w:rsidTr="003F623B">
        <w:trPr>
          <w:gridBefore w:val="1"/>
          <w:gridAfter w:val="1"/>
          <w:wBefore w:w="17" w:type="dxa"/>
          <w:wAfter w:w="180" w:type="dxa"/>
          <w:trHeight w:val="655"/>
          <w:jc w:val="center"/>
        </w:trPr>
        <w:tc>
          <w:tcPr>
            <w:tcW w:w="2368" w:type="dxa"/>
            <w:gridSpan w:val="6"/>
            <w:shd w:val="clear" w:color="000000" w:fill="FFFF99"/>
          </w:tcPr>
          <w:p w14:paraId="0C9D6B56" w14:textId="77777777" w:rsidR="00760702" w:rsidRPr="008C761D" w:rsidRDefault="00760702" w:rsidP="00485BAA">
            <w:pPr>
              <w:spacing w:after="0" w:line="240" w:lineRule="auto"/>
              <w:jc w:val="center"/>
              <w:rPr>
                <w:rFonts w:ascii="Arial" w:eastAsia="Times New Roman" w:hAnsi="Arial" w:cs="Arial"/>
                <w:sz w:val="12"/>
                <w:szCs w:val="12"/>
                <w:lang w:val="en-US" w:eastAsia="mk-MK"/>
              </w:rPr>
            </w:pPr>
          </w:p>
          <w:p w14:paraId="0E2B786B" w14:textId="33D4AC0E" w:rsidR="00760702" w:rsidRPr="008C761D" w:rsidRDefault="00C9688E" w:rsidP="00760702">
            <w:pP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IV. Scope of audits of LGUs and the City of Skopje, PE at the central and local level and JSC in state ownership</w:t>
            </w:r>
          </w:p>
        </w:tc>
        <w:tc>
          <w:tcPr>
            <w:tcW w:w="1771" w:type="dxa"/>
            <w:gridSpan w:val="3"/>
            <w:shd w:val="clear" w:color="000000" w:fill="FFFF99"/>
          </w:tcPr>
          <w:p w14:paraId="34B760DC" w14:textId="43592F5C" w:rsidR="00760702"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covered audits of LGUs and the City of Skopje, PE at the central and local level and JSC in state ownership</w:t>
            </w:r>
          </w:p>
        </w:tc>
        <w:tc>
          <w:tcPr>
            <w:tcW w:w="1194" w:type="dxa"/>
            <w:gridSpan w:val="3"/>
            <w:shd w:val="clear" w:color="000000" w:fill="FFFF99"/>
          </w:tcPr>
          <w:p w14:paraId="7A0BB667" w14:textId="742BA25E" w:rsidR="00760702"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performed audits and operations</w:t>
            </w:r>
          </w:p>
        </w:tc>
        <w:tc>
          <w:tcPr>
            <w:tcW w:w="1418" w:type="dxa"/>
            <w:gridSpan w:val="2"/>
            <w:shd w:val="clear" w:color="000000" w:fill="FFFF99"/>
            <w:vAlign w:val="center"/>
          </w:tcPr>
          <w:p w14:paraId="2E618F7F"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12</w:t>
            </w:r>
          </w:p>
        </w:tc>
        <w:tc>
          <w:tcPr>
            <w:tcW w:w="1644" w:type="dxa"/>
            <w:gridSpan w:val="3"/>
            <w:shd w:val="clear" w:color="000000" w:fill="FFFF99"/>
            <w:vAlign w:val="center"/>
          </w:tcPr>
          <w:p w14:paraId="6FCABB33"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w:t>
            </w:r>
            <w:r w:rsidR="005D3164" w:rsidRPr="008C761D">
              <w:rPr>
                <w:rFonts w:ascii="Arial" w:eastAsia="Times New Roman" w:hAnsi="Arial" w:cs="Arial"/>
                <w:sz w:val="12"/>
                <w:szCs w:val="12"/>
                <w:lang w:val="en-US" w:eastAsia="mk-MK"/>
              </w:rPr>
              <w:t>4</w:t>
            </w:r>
          </w:p>
        </w:tc>
        <w:tc>
          <w:tcPr>
            <w:tcW w:w="1758" w:type="dxa"/>
            <w:gridSpan w:val="2"/>
            <w:shd w:val="clear" w:color="000000" w:fill="FFFF99"/>
            <w:vAlign w:val="center"/>
          </w:tcPr>
          <w:p w14:paraId="4F7C78FB"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w:t>
            </w:r>
            <w:r w:rsidR="005D3164" w:rsidRPr="008C761D">
              <w:rPr>
                <w:rFonts w:ascii="Arial" w:eastAsia="Times New Roman" w:hAnsi="Arial" w:cs="Arial"/>
                <w:sz w:val="12"/>
                <w:szCs w:val="12"/>
                <w:lang w:val="en-US" w:eastAsia="mk-MK"/>
              </w:rPr>
              <w:t>5</w:t>
            </w:r>
          </w:p>
        </w:tc>
        <w:tc>
          <w:tcPr>
            <w:tcW w:w="1842" w:type="dxa"/>
            <w:gridSpan w:val="3"/>
            <w:shd w:val="clear" w:color="000000" w:fill="FFFF99"/>
            <w:vAlign w:val="center"/>
          </w:tcPr>
          <w:p w14:paraId="753A0CEC"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w:t>
            </w:r>
            <w:r w:rsidR="005D3164" w:rsidRPr="008C761D">
              <w:rPr>
                <w:rFonts w:ascii="Arial" w:eastAsia="Times New Roman" w:hAnsi="Arial" w:cs="Arial"/>
                <w:sz w:val="12"/>
                <w:szCs w:val="12"/>
                <w:lang w:val="en-US" w:eastAsia="mk-MK"/>
              </w:rPr>
              <w:t>6</w:t>
            </w:r>
          </w:p>
        </w:tc>
        <w:tc>
          <w:tcPr>
            <w:tcW w:w="1506" w:type="dxa"/>
            <w:gridSpan w:val="3"/>
            <w:shd w:val="clear" w:color="000000" w:fill="FFFF99"/>
            <w:vAlign w:val="center"/>
          </w:tcPr>
          <w:p w14:paraId="4F0EAE79" w14:textId="77777777" w:rsidR="00760702" w:rsidRPr="008C761D" w:rsidRDefault="00760702" w:rsidP="00407B0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1</w:t>
            </w:r>
            <w:r w:rsidR="005D3164" w:rsidRPr="008C761D">
              <w:rPr>
                <w:rFonts w:ascii="Arial" w:eastAsia="Times New Roman" w:hAnsi="Arial" w:cs="Arial"/>
                <w:sz w:val="12"/>
                <w:szCs w:val="12"/>
                <w:lang w:val="en-US" w:eastAsia="mk-MK"/>
              </w:rPr>
              <w:t>7</w:t>
            </w:r>
          </w:p>
        </w:tc>
      </w:tr>
      <w:tr w:rsidR="00485BAA" w:rsidRPr="008C761D" w14:paraId="477B420C" w14:textId="77777777" w:rsidTr="003F623B">
        <w:trPr>
          <w:gridBefore w:val="1"/>
          <w:gridAfter w:val="1"/>
          <w:wBefore w:w="17" w:type="dxa"/>
          <w:wAfter w:w="180" w:type="dxa"/>
          <w:trHeight w:val="196"/>
          <w:jc w:val="center"/>
        </w:trPr>
        <w:tc>
          <w:tcPr>
            <w:tcW w:w="13501" w:type="dxa"/>
            <w:gridSpan w:val="25"/>
            <w:shd w:val="clear" w:color="000000" w:fill="9BD2ED"/>
            <w:vAlign w:val="center"/>
            <w:hideMark/>
          </w:tcPr>
          <w:p w14:paraId="49AB30C8" w14:textId="6D2543EF"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C9688E" w:rsidRPr="008C761D">
              <w:rPr>
                <w:rFonts w:ascii="Arial" w:eastAsia="Times New Roman" w:hAnsi="Arial" w:cs="Arial"/>
                <w:b/>
                <w:bCs/>
                <w:sz w:val="12"/>
                <w:szCs w:val="12"/>
                <w:lang w:val="en-US" w:eastAsia="mk-MK"/>
              </w:rPr>
              <w:t>Approval legislative framework for external audit</w:t>
            </w:r>
          </w:p>
        </w:tc>
      </w:tr>
      <w:tr w:rsidR="00485BAA" w:rsidRPr="008C761D" w14:paraId="70F5FCC7" w14:textId="77777777" w:rsidTr="003F623B">
        <w:trPr>
          <w:gridBefore w:val="1"/>
          <w:gridAfter w:val="1"/>
          <w:wBefore w:w="17" w:type="dxa"/>
          <w:wAfter w:w="180" w:type="dxa"/>
          <w:trHeight w:val="263"/>
          <w:jc w:val="center"/>
        </w:trPr>
        <w:tc>
          <w:tcPr>
            <w:tcW w:w="1288" w:type="dxa"/>
            <w:gridSpan w:val="3"/>
            <w:tcBorders>
              <w:top w:val="nil"/>
              <w:left w:val="nil"/>
              <w:bottom w:val="nil"/>
              <w:right w:val="nil"/>
            </w:tcBorders>
            <w:shd w:val="clear" w:color="auto" w:fill="auto"/>
            <w:noWrap/>
            <w:vAlign w:val="bottom"/>
            <w:hideMark/>
          </w:tcPr>
          <w:p w14:paraId="5EA1A00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080" w:type="dxa"/>
            <w:gridSpan w:val="3"/>
            <w:tcBorders>
              <w:top w:val="nil"/>
              <w:left w:val="nil"/>
              <w:bottom w:val="nil"/>
              <w:right w:val="single" w:sz="8" w:space="0" w:color="000000"/>
            </w:tcBorders>
            <w:shd w:val="clear" w:color="auto" w:fill="auto"/>
            <w:noWrap/>
            <w:vAlign w:val="bottom"/>
            <w:hideMark/>
          </w:tcPr>
          <w:p w14:paraId="7985D67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bottom w:val="single" w:sz="8" w:space="0" w:color="000000"/>
            </w:tcBorders>
            <w:shd w:val="clear" w:color="000000" w:fill="9BD2ED"/>
            <w:vAlign w:val="center"/>
            <w:hideMark/>
          </w:tcPr>
          <w:p w14:paraId="1E812823" w14:textId="4D590A1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5BED9444" w14:textId="6BE4918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45DCE7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5D316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DC69C4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2766ED1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2A38C1D"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474303C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7</w:t>
            </w:r>
          </w:p>
        </w:tc>
      </w:tr>
      <w:tr w:rsidR="005D3164" w:rsidRPr="008C761D" w14:paraId="69352398" w14:textId="77777777" w:rsidTr="003F623B">
        <w:trPr>
          <w:gridBefore w:val="1"/>
          <w:gridAfter w:val="1"/>
          <w:wBefore w:w="17" w:type="dxa"/>
          <w:wAfter w:w="180" w:type="dxa"/>
          <w:trHeight w:val="1429"/>
          <w:jc w:val="center"/>
        </w:trPr>
        <w:tc>
          <w:tcPr>
            <w:tcW w:w="1288" w:type="dxa"/>
            <w:gridSpan w:val="3"/>
            <w:tcBorders>
              <w:top w:val="nil"/>
              <w:left w:val="nil"/>
              <w:bottom w:val="nil"/>
              <w:right w:val="nil"/>
            </w:tcBorders>
            <w:shd w:val="clear" w:color="auto" w:fill="auto"/>
            <w:noWrap/>
            <w:vAlign w:val="bottom"/>
            <w:hideMark/>
          </w:tcPr>
          <w:p w14:paraId="27EF63AB" w14:textId="77777777" w:rsidR="005D3164" w:rsidRPr="008C761D" w:rsidRDefault="005D3164"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5CF56E3" w14:textId="77777777" w:rsidR="005D3164" w:rsidRPr="008C761D" w:rsidRDefault="005D3164" w:rsidP="00485BAA">
            <w:pPr>
              <w:spacing w:after="0" w:line="240" w:lineRule="auto"/>
              <w:jc w:val="center"/>
              <w:rPr>
                <w:rFonts w:ascii="Arial" w:eastAsia="Times New Roman" w:hAnsi="Arial" w:cs="Arial"/>
                <w:sz w:val="12"/>
                <w:szCs w:val="12"/>
                <w:lang w:val="en-US" w:eastAsia="mk-MK"/>
              </w:rPr>
            </w:pPr>
          </w:p>
        </w:tc>
        <w:tc>
          <w:tcPr>
            <w:tcW w:w="1771" w:type="dxa"/>
            <w:gridSpan w:val="3"/>
            <w:vMerge w:val="restart"/>
            <w:tcBorders>
              <w:left w:val="single" w:sz="8" w:space="0" w:color="000000"/>
            </w:tcBorders>
            <w:shd w:val="clear" w:color="000000" w:fill="FFFF99"/>
            <w:vAlign w:val="center"/>
            <w:hideMark/>
          </w:tcPr>
          <w:p w14:paraId="59EBEA12" w14:textId="11931E1D" w:rsidR="005D3164"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Adopted amendments to the Constitution of RNM regulation of the SAO as a constitutional category </w:t>
            </w:r>
          </w:p>
        </w:tc>
        <w:tc>
          <w:tcPr>
            <w:tcW w:w="1194" w:type="dxa"/>
            <w:gridSpan w:val="3"/>
            <w:shd w:val="clear" w:color="000000" w:fill="FFFF99"/>
            <w:vAlign w:val="center"/>
            <w:hideMark/>
          </w:tcPr>
          <w:p w14:paraId="4A7F99D8" w14:textId="08180DAE" w:rsidR="005D3164"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Submitted proposal-amendment of the Constitution of the RNM for the regulation of SAO as a constitutional category;</w:t>
            </w:r>
          </w:p>
        </w:tc>
        <w:tc>
          <w:tcPr>
            <w:tcW w:w="1418" w:type="dxa"/>
            <w:gridSpan w:val="2"/>
            <w:shd w:val="clear" w:color="000000" w:fill="FFFF99"/>
            <w:vAlign w:val="center"/>
            <w:hideMark/>
          </w:tcPr>
          <w:p w14:paraId="1D416A58" w14:textId="77777777" w:rsidR="00C9688E" w:rsidRPr="008C761D" w:rsidRDefault="00C9688E" w:rsidP="00C968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legal framework contains satisfactory provisions for the independence and mandate of the SAO, but its independence is not yet guaranteed by the Constitution.</w:t>
            </w:r>
          </w:p>
          <w:p w14:paraId="078D3D4F" w14:textId="719961B2" w:rsidR="005D3164" w:rsidRPr="008C761D" w:rsidRDefault="00C9688E" w:rsidP="00C9688E">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 proposal-amendment of the Constitution of the RNM has been prepared for the regulation of SAO as a constitutional category and submitted to the authorized proposer of the constitutional amendment to be submitted to the Assembly of the RNM;</w:t>
            </w:r>
          </w:p>
        </w:tc>
        <w:tc>
          <w:tcPr>
            <w:tcW w:w="1644" w:type="dxa"/>
            <w:gridSpan w:val="3"/>
            <w:shd w:val="clear" w:color="000000" w:fill="FFFF99"/>
            <w:vAlign w:val="center"/>
            <w:hideMark/>
          </w:tcPr>
          <w:p w14:paraId="5075BA84" w14:textId="52547CF1" w:rsidR="005D316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F814A58" w14:textId="0E4A10E1" w:rsidR="005D316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vMerge w:val="restart"/>
            <w:shd w:val="clear" w:color="000000" w:fill="FFFF99"/>
            <w:vAlign w:val="center"/>
            <w:hideMark/>
          </w:tcPr>
          <w:p w14:paraId="2E0DFD7E" w14:textId="37907EB6" w:rsidR="005D3164" w:rsidRPr="008C761D" w:rsidRDefault="005D3164" w:rsidP="00407B01">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506" w:type="dxa"/>
            <w:gridSpan w:val="3"/>
            <w:vMerge w:val="restart"/>
            <w:shd w:val="clear" w:color="000000" w:fill="FFFF99"/>
            <w:vAlign w:val="center"/>
            <w:hideMark/>
          </w:tcPr>
          <w:p w14:paraId="69C29759" w14:textId="2164C670" w:rsidR="005D3164"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Adopted amendments to the Constitution of RNM for the regulation of SAO as a constitutional category </w:t>
            </w:r>
          </w:p>
        </w:tc>
      </w:tr>
      <w:tr w:rsidR="005D3164" w:rsidRPr="008C761D" w14:paraId="5E82FBE2" w14:textId="77777777" w:rsidTr="003F623B">
        <w:trPr>
          <w:gridBefore w:val="1"/>
          <w:gridAfter w:val="1"/>
          <w:wBefore w:w="17" w:type="dxa"/>
          <w:wAfter w:w="180" w:type="dxa"/>
          <w:trHeight w:val="1110"/>
          <w:jc w:val="center"/>
        </w:trPr>
        <w:tc>
          <w:tcPr>
            <w:tcW w:w="1288" w:type="dxa"/>
            <w:gridSpan w:val="3"/>
            <w:tcBorders>
              <w:top w:val="nil"/>
              <w:left w:val="nil"/>
              <w:bottom w:val="nil"/>
              <w:right w:val="nil"/>
            </w:tcBorders>
            <w:shd w:val="clear" w:color="auto" w:fill="auto"/>
            <w:noWrap/>
            <w:vAlign w:val="bottom"/>
            <w:hideMark/>
          </w:tcPr>
          <w:p w14:paraId="36A37E7F" w14:textId="77777777" w:rsidR="005D3164" w:rsidRPr="008C761D" w:rsidRDefault="005D3164"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3938A6C7" w14:textId="77777777" w:rsidR="005D3164" w:rsidRPr="008C761D" w:rsidRDefault="005D3164" w:rsidP="00485BAA">
            <w:pPr>
              <w:spacing w:after="0" w:line="240" w:lineRule="auto"/>
              <w:jc w:val="center"/>
              <w:rPr>
                <w:rFonts w:ascii="Arial" w:eastAsia="Times New Roman" w:hAnsi="Arial" w:cs="Arial"/>
                <w:sz w:val="12"/>
                <w:szCs w:val="12"/>
                <w:lang w:val="en-US" w:eastAsia="mk-MK"/>
              </w:rPr>
            </w:pPr>
          </w:p>
        </w:tc>
        <w:tc>
          <w:tcPr>
            <w:tcW w:w="1771" w:type="dxa"/>
            <w:gridSpan w:val="3"/>
            <w:vMerge/>
            <w:tcBorders>
              <w:left w:val="single" w:sz="8" w:space="0" w:color="000000"/>
            </w:tcBorders>
            <w:shd w:val="clear" w:color="000000" w:fill="FFFF99"/>
            <w:vAlign w:val="center"/>
            <w:hideMark/>
          </w:tcPr>
          <w:p w14:paraId="4D62F590" w14:textId="77777777" w:rsidR="005D3164" w:rsidRPr="008C761D" w:rsidRDefault="005D3164" w:rsidP="00485BAA">
            <w:pPr>
              <w:spacing w:after="0" w:line="240" w:lineRule="auto"/>
              <w:jc w:val="center"/>
              <w:rPr>
                <w:rFonts w:ascii="Arial" w:eastAsia="Times New Roman" w:hAnsi="Arial" w:cs="Arial"/>
                <w:sz w:val="12"/>
                <w:szCs w:val="12"/>
                <w:lang w:val="en-US" w:eastAsia="mk-MK"/>
              </w:rPr>
            </w:pPr>
          </w:p>
        </w:tc>
        <w:tc>
          <w:tcPr>
            <w:tcW w:w="1194" w:type="dxa"/>
            <w:gridSpan w:val="3"/>
            <w:shd w:val="clear" w:color="000000" w:fill="FFFF99"/>
            <w:vAlign w:val="center"/>
            <w:hideMark/>
          </w:tcPr>
          <w:p w14:paraId="687363E9" w14:textId="6236EE51" w:rsidR="005D3164"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A new draft law on state audit has been submitted to strengthen the financial and operational independence of the </w:t>
            </w:r>
            <w:proofErr w:type="gramStart"/>
            <w:r w:rsidRPr="008C761D">
              <w:rPr>
                <w:rFonts w:ascii="Arial" w:eastAsia="Times New Roman" w:hAnsi="Arial" w:cs="Arial"/>
                <w:sz w:val="12"/>
                <w:szCs w:val="12"/>
                <w:lang w:val="en-US" w:eastAsia="mk-MK"/>
              </w:rPr>
              <w:t>SAO..</w:t>
            </w:r>
            <w:proofErr w:type="gramEnd"/>
          </w:p>
        </w:tc>
        <w:tc>
          <w:tcPr>
            <w:tcW w:w="1418" w:type="dxa"/>
            <w:gridSpan w:val="2"/>
            <w:shd w:val="clear" w:color="000000" w:fill="FFFF99"/>
            <w:vAlign w:val="center"/>
            <w:hideMark/>
          </w:tcPr>
          <w:p w14:paraId="2DCCD03D" w14:textId="77777777" w:rsidR="005D3164" w:rsidRPr="008C761D" w:rsidRDefault="005D316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644" w:type="dxa"/>
            <w:gridSpan w:val="3"/>
            <w:shd w:val="clear" w:color="000000" w:fill="FFFF99"/>
            <w:vAlign w:val="center"/>
            <w:hideMark/>
          </w:tcPr>
          <w:p w14:paraId="255D91E6" w14:textId="1D9BBF1A" w:rsidR="005D3164"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 new draft Law on State Audit to strengthen the financial and operational independence of the SAO to be approved and adopted by the RNM Assembly.</w:t>
            </w:r>
          </w:p>
        </w:tc>
        <w:tc>
          <w:tcPr>
            <w:tcW w:w="1758" w:type="dxa"/>
            <w:gridSpan w:val="2"/>
            <w:shd w:val="clear" w:color="000000" w:fill="FFFF99"/>
            <w:vAlign w:val="center"/>
            <w:hideMark/>
          </w:tcPr>
          <w:p w14:paraId="11B2E0F3" w14:textId="3D59D10D" w:rsidR="005D3164" w:rsidRPr="008C761D" w:rsidRDefault="00407B01" w:rsidP="00407B01">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vMerge/>
            <w:vAlign w:val="center"/>
            <w:hideMark/>
          </w:tcPr>
          <w:p w14:paraId="166C8D31" w14:textId="77777777" w:rsidR="005D3164" w:rsidRPr="008C761D" w:rsidRDefault="005D3164" w:rsidP="00485BAA">
            <w:pPr>
              <w:spacing w:after="0" w:line="240" w:lineRule="auto"/>
              <w:rPr>
                <w:rFonts w:ascii="Arial" w:eastAsia="Times New Roman" w:hAnsi="Arial" w:cs="Arial"/>
                <w:sz w:val="12"/>
                <w:szCs w:val="12"/>
                <w:lang w:val="en-US" w:eastAsia="mk-MK"/>
              </w:rPr>
            </w:pPr>
          </w:p>
        </w:tc>
        <w:tc>
          <w:tcPr>
            <w:tcW w:w="1506" w:type="dxa"/>
            <w:gridSpan w:val="3"/>
            <w:vMerge/>
            <w:vAlign w:val="center"/>
            <w:hideMark/>
          </w:tcPr>
          <w:p w14:paraId="5D714C24" w14:textId="77777777" w:rsidR="005D3164" w:rsidRPr="008C761D" w:rsidRDefault="005D3164" w:rsidP="00485BAA">
            <w:pPr>
              <w:spacing w:after="0" w:line="240" w:lineRule="auto"/>
              <w:rPr>
                <w:rFonts w:ascii="Arial" w:eastAsia="Times New Roman" w:hAnsi="Arial" w:cs="Arial"/>
                <w:sz w:val="12"/>
                <w:szCs w:val="12"/>
                <w:lang w:val="en-US" w:eastAsia="mk-MK"/>
              </w:rPr>
            </w:pPr>
          </w:p>
        </w:tc>
      </w:tr>
      <w:tr w:rsidR="00485BAA" w:rsidRPr="008C761D" w14:paraId="2EE520ED" w14:textId="77777777" w:rsidTr="003F623B">
        <w:trPr>
          <w:gridBefore w:val="1"/>
          <w:gridAfter w:val="1"/>
          <w:wBefore w:w="17" w:type="dxa"/>
          <w:wAfter w:w="180" w:type="dxa"/>
          <w:trHeight w:val="270"/>
          <w:jc w:val="center"/>
        </w:trPr>
        <w:tc>
          <w:tcPr>
            <w:tcW w:w="1288" w:type="dxa"/>
            <w:gridSpan w:val="3"/>
            <w:tcBorders>
              <w:top w:val="nil"/>
              <w:left w:val="nil"/>
              <w:bottom w:val="nil"/>
              <w:right w:val="nil"/>
            </w:tcBorders>
            <w:shd w:val="clear" w:color="auto" w:fill="auto"/>
            <w:noWrap/>
            <w:vAlign w:val="bottom"/>
            <w:hideMark/>
          </w:tcPr>
          <w:p w14:paraId="6206022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1B8CEE4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89DF36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2E8FBFEA" w14:textId="04907821"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5BC23365" w14:textId="0A06B1E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443A9D28" w14:textId="5780FA1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17ABDDD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76AB143" w14:textId="3058BE15"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9688E"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31F329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5737DF1B" w14:textId="77777777" w:rsidTr="003F623B">
        <w:trPr>
          <w:gridBefore w:val="1"/>
          <w:gridAfter w:val="1"/>
          <w:wBefore w:w="17" w:type="dxa"/>
          <w:wAfter w:w="180" w:type="dxa"/>
          <w:trHeight w:val="831"/>
          <w:jc w:val="center"/>
        </w:trPr>
        <w:tc>
          <w:tcPr>
            <w:tcW w:w="1288" w:type="dxa"/>
            <w:gridSpan w:val="3"/>
            <w:tcBorders>
              <w:top w:val="nil"/>
              <w:left w:val="nil"/>
              <w:bottom w:val="nil"/>
              <w:right w:val="nil"/>
            </w:tcBorders>
            <w:shd w:val="clear" w:color="auto" w:fill="auto"/>
            <w:noWrap/>
            <w:vAlign w:val="bottom"/>
            <w:hideMark/>
          </w:tcPr>
          <w:p w14:paraId="272CFBE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3C9155B"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444F343" w14:textId="3AE6FBF0" w:rsidR="00485BAA" w:rsidRPr="008C761D" w:rsidRDefault="00C9688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Approval </w:t>
            </w:r>
            <w:proofErr w:type="gramStart"/>
            <w:r w:rsidRPr="008C761D">
              <w:rPr>
                <w:rFonts w:ascii="Arial" w:eastAsia="Times New Roman" w:hAnsi="Arial" w:cs="Arial"/>
                <w:sz w:val="12"/>
                <w:szCs w:val="12"/>
                <w:lang w:val="en-US" w:eastAsia="mk-MK"/>
              </w:rPr>
              <w:t>of  constitutional</w:t>
            </w:r>
            <w:proofErr w:type="gramEnd"/>
            <w:r w:rsidRPr="008C761D">
              <w:rPr>
                <w:rFonts w:ascii="Arial" w:eastAsia="Times New Roman" w:hAnsi="Arial" w:cs="Arial"/>
                <w:sz w:val="12"/>
                <w:szCs w:val="12"/>
                <w:lang w:val="en-US" w:eastAsia="mk-MK"/>
              </w:rPr>
              <w:t xml:space="preserve"> changes to achieve constitutional independence of the SAO in accordance with the principles, standards and guidelines of INTOSAI</w:t>
            </w:r>
          </w:p>
        </w:tc>
        <w:tc>
          <w:tcPr>
            <w:tcW w:w="1194" w:type="dxa"/>
            <w:gridSpan w:val="3"/>
            <w:shd w:val="clear" w:color="000000" w:fill="FFFF99"/>
            <w:vAlign w:val="center"/>
            <w:hideMark/>
          </w:tcPr>
          <w:p w14:paraId="74353BC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2022-202</w:t>
            </w:r>
            <w:r w:rsidR="005D3164" w:rsidRPr="008C761D">
              <w:rPr>
                <w:rFonts w:ascii="Arial" w:eastAsia="Times New Roman" w:hAnsi="Arial" w:cs="Arial"/>
                <w:sz w:val="12"/>
                <w:szCs w:val="12"/>
                <w:lang w:val="en-US" w:eastAsia="mk-MK"/>
              </w:rPr>
              <w:t>7</w:t>
            </w:r>
          </w:p>
        </w:tc>
        <w:tc>
          <w:tcPr>
            <w:tcW w:w="1418" w:type="dxa"/>
            <w:gridSpan w:val="2"/>
            <w:shd w:val="clear" w:color="000000" w:fill="FFFF99"/>
            <w:vAlign w:val="center"/>
            <w:hideMark/>
          </w:tcPr>
          <w:p w14:paraId="394478A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12D63DB9" w14:textId="2212BD79" w:rsidR="00485BAA" w:rsidRPr="008C761D" w:rsidRDefault="00C9688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Authorized proposer of the constitutional amendment;</w:t>
            </w:r>
            <w:r w:rsidRPr="008C761D">
              <w:rPr>
                <w:rFonts w:ascii="Arial" w:eastAsia="Times New Roman" w:hAnsi="Arial" w:cs="Arial"/>
                <w:sz w:val="12"/>
                <w:szCs w:val="12"/>
                <w:lang w:val="en-US" w:eastAsia="mk-MK"/>
              </w:rPr>
              <w:br/>
              <w:t>Assembly of RNM</w:t>
            </w:r>
          </w:p>
        </w:tc>
        <w:tc>
          <w:tcPr>
            <w:tcW w:w="1758" w:type="dxa"/>
            <w:gridSpan w:val="2"/>
            <w:shd w:val="clear" w:color="000000" w:fill="FFFF99"/>
            <w:vAlign w:val="center"/>
            <w:hideMark/>
          </w:tcPr>
          <w:p w14:paraId="400A908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7,000 </w:t>
            </w:r>
          </w:p>
        </w:tc>
        <w:tc>
          <w:tcPr>
            <w:tcW w:w="1842" w:type="dxa"/>
            <w:gridSpan w:val="3"/>
            <w:shd w:val="clear" w:color="000000" w:fill="FFFF99"/>
            <w:vAlign w:val="center"/>
            <w:hideMark/>
          </w:tcPr>
          <w:p w14:paraId="7056D52B" w14:textId="43FB8720" w:rsidR="005D3164" w:rsidRPr="008C761D" w:rsidRDefault="005D3164" w:rsidP="005D316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funding</w:t>
            </w:r>
          </w:p>
          <w:p w14:paraId="4E3CBBD2" w14:textId="77777777" w:rsidR="00485BAA" w:rsidRPr="008C761D" w:rsidRDefault="005D3164" w:rsidP="005D3164">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and others</w:t>
            </w:r>
          </w:p>
        </w:tc>
        <w:tc>
          <w:tcPr>
            <w:tcW w:w="1506" w:type="dxa"/>
            <w:gridSpan w:val="3"/>
            <w:shd w:val="clear" w:color="000000" w:fill="FFFF99"/>
            <w:vAlign w:val="center"/>
            <w:hideMark/>
          </w:tcPr>
          <w:p w14:paraId="0AFE4208" w14:textId="163F3537"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7A3EFD65" w14:textId="77777777" w:rsidTr="003F623B">
        <w:trPr>
          <w:gridBefore w:val="1"/>
          <w:gridAfter w:val="1"/>
          <w:wBefore w:w="17" w:type="dxa"/>
          <w:wAfter w:w="180" w:type="dxa"/>
          <w:trHeight w:val="973"/>
          <w:jc w:val="center"/>
        </w:trPr>
        <w:tc>
          <w:tcPr>
            <w:tcW w:w="1288" w:type="dxa"/>
            <w:gridSpan w:val="3"/>
            <w:tcBorders>
              <w:top w:val="nil"/>
              <w:left w:val="nil"/>
              <w:bottom w:val="single" w:sz="8" w:space="0" w:color="000000"/>
              <w:right w:val="nil"/>
            </w:tcBorders>
            <w:shd w:val="clear" w:color="auto" w:fill="auto"/>
            <w:noWrap/>
            <w:vAlign w:val="bottom"/>
            <w:hideMark/>
          </w:tcPr>
          <w:p w14:paraId="1577037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single" w:sz="8" w:space="0" w:color="000000"/>
              <w:right w:val="single" w:sz="8" w:space="0" w:color="000000"/>
            </w:tcBorders>
            <w:shd w:val="clear" w:color="auto" w:fill="auto"/>
            <w:noWrap/>
            <w:vAlign w:val="bottom"/>
            <w:hideMark/>
          </w:tcPr>
          <w:p w14:paraId="11CD0BAE"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000000" w:fill="FFFF99"/>
            <w:vAlign w:val="center"/>
            <w:hideMark/>
          </w:tcPr>
          <w:p w14:paraId="0245DA12" w14:textId="3EC6C71F" w:rsidR="00485BAA" w:rsidRPr="008C761D" w:rsidRDefault="00C9688E"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Approval of external audit legal framework aimed at strengthening financial and operational independence of SAO in line with INTOSAI principles, standards and guidelines</w:t>
            </w:r>
          </w:p>
        </w:tc>
        <w:tc>
          <w:tcPr>
            <w:tcW w:w="1194" w:type="dxa"/>
            <w:gridSpan w:val="3"/>
            <w:tcBorders>
              <w:bottom w:val="single" w:sz="8" w:space="0" w:color="000000"/>
            </w:tcBorders>
            <w:shd w:val="clear" w:color="000000" w:fill="FFFF99"/>
            <w:vAlign w:val="center"/>
            <w:hideMark/>
          </w:tcPr>
          <w:p w14:paraId="4CCB9F6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5D3164" w:rsidRPr="008C761D">
              <w:rPr>
                <w:rFonts w:ascii="Arial" w:eastAsia="Times New Roman" w:hAnsi="Arial" w:cs="Arial"/>
                <w:sz w:val="12"/>
                <w:szCs w:val="12"/>
                <w:lang w:val="en-US" w:eastAsia="mk-MK"/>
              </w:rPr>
              <w:t>4</w:t>
            </w:r>
          </w:p>
        </w:tc>
        <w:tc>
          <w:tcPr>
            <w:tcW w:w="1418" w:type="dxa"/>
            <w:gridSpan w:val="2"/>
            <w:tcBorders>
              <w:bottom w:val="single" w:sz="8" w:space="0" w:color="000000"/>
            </w:tcBorders>
            <w:shd w:val="clear" w:color="000000" w:fill="FFFF99"/>
            <w:vAlign w:val="center"/>
            <w:hideMark/>
          </w:tcPr>
          <w:p w14:paraId="3AB0365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tcBorders>
              <w:bottom w:val="single" w:sz="8" w:space="0" w:color="000000"/>
            </w:tcBorders>
            <w:shd w:val="clear" w:color="000000" w:fill="FFFF99"/>
            <w:vAlign w:val="center"/>
            <w:hideMark/>
          </w:tcPr>
          <w:p w14:paraId="1520E632" w14:textId="59E109E9" w:rsidR="00485BAA" w:rsidRPr="008C761D" w:rsidRDefault="00485BAA" w:rsidP="00485BAA">
            <w:pPr>
              <w:spacing w:after="24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 Government</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RNM and</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Assembly</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RNM</w:t>
            </w:r>
          </w:p>
        </w:tc>
        <w:tc>
          <w:tcPr>
            <w:tcW w:w="1758" w:type="dxa"/>
            <w:gridSpan w:val="2"/>
            <w:tcBorders>
              <w:bottom w:val="single" w:sz="8" w:space="0" w:color="000000"/>
            </w:tcBorders>
            <w:shd w:val="clear" w:color="000000" w:fill="FFFF99"/>
            <w:vAlign w:val="center"/>
            <w:hideMark/>
          </w:tcPr>
          <w:p w14:paraId="2A2BD00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14,000 </w:t>
            </w:r>
          </w:p>
        </w:tc>
        <w:tc>
          <w:tcPr>
            <w:tcW w:w="1842" w:type="dxa"/>
            <w:gridSpan w:val="3"/>
            <w:tcBorders>
              <w:bottom w:val="single" w:sz="8" w:space="0" w:color="000000"/>
            </w:tcBorders>
            <w:shd w:val="clear" w:color="000000" w:fill="FFFF99"/>
            <w:vAlign w:val="center"/>
            <w:hideMark/>
          </w:tcPr>
          <w:p w14:paraId="6DD94BED" w14:textId="29462848" w:rsidR="005D3164" w:rsidRPr="008C761D" w:rsidRDefault="005D3164" w:rsidP="005D316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9688E"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funding</w:t>
            </w:r>
          </w:p>
          <w:p w14:paraId="4442AEB2" w14:textId="77777777" w:rsidR="00485BAA" w:rsidRPr="008C761D" w:rsidRDefault="005D3164" w:rsidP="005D3164">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and others</w:t>
            </w:r>
          </w:p>
        </w:tc>
        <w:tc>
          <w:tcPr>
            <w:tcW w:w="1506" w:type="dxa"/>
            <w:gridSpan w:val="3"/>
            <w:tcBorders>
              <w:bottom w:val="single" w:sz="8" w:space="0" w:color="000000"/>
            </w:tcBorders>
            <w:shd w:val="clear" w:color="000000" w:fill="FFFF99"/>
            <w:vAlign w:val="center"/>
            <w:hideMark/>
          </w:tcPr>
          <w:p w14:paraId="4D34B635" w14:textId="3A6402A0"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60C26129" w14:textId="77777777" w:rsidTr="003F623B">
        <w:trPr>
          <w:gridBefore w:val="1"/>
          <w:gridAfter w:val="1"/>
          <w:wBefore w:w="17" w:type="dxa"/>
          <w:wAfter w:w="180" w:type="dxa"/>
          <w:trHeight w:val="340"/>
          <w:jc w:val="center"/>
        </w:trPr>
        <w:tc>
          <w:tcPr>
            <w:tcW w:w="13501" w:type="dxa"/>
            <w:gridSpan w:val="25"/>
            <w:shd w:val="clear" w:color="000000" w:fill="9BD2ED"/>
            <w:vAlign w:val="center"/>
            <w:hideMark/>
          </w:tcPr>
          <w:p w14:paraId="5D8C0C58" w14:textId="20F51837"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A1DDF">
              <w:rPr>
                <w:rFonts w:ascii="Arial" w:eastAsia="Times New Roman" w:hAnsi="Arial" w:cs="Arial"/>
                <w:b/>
                <w:bCs/>
                <w:sz w:val="12"/>
                <w:szCs w:val="12"/>
                <w:lang w:val="en-US" w:eastAsia="mk-MK"/>
              </w:rPr>
              <w:t>.</w:t>
            </w:r>
            <w:r w:rsidR="00563F14" w:rsidRPr="008C761D">
              <w:rPr>
                <w:rFonts w:ascii="Arial" w:eastAsia="Times New Roman" w:hAnsi="Arial" w:cs="Arial"/>
                <w:b/>
                <w:bCs/>
                <w:sz w:val="12"/>
                <w:szCs w:val="12"/>
                <w:lang w:val="en-US" w:eastAsia="mk-MK"/>
              </w:rPr>
              <w:t xml:space="preserve"> Strengthening the institutional capacity and human resource capacities of the SAO</w:t>
            </w:r>
          </w:p>
        </w:tc>
      </w:tr>
      <w:tr w:rsidR="00485BAA" w:rsidRPr="008C761D" w14:paraId="6AACD72A" w14:textId="77777777" w:rsidTr="003F623B">
        <w:trPr>
          <w:gridBefore w:val="1"/>
          <w:gridAfter w:val="1"/>
          <w:wBefore w:w="17" w:type="dxa"/>
          <w:wAfter w:w="180" w:type="dxa"/>
          <w:trHeight w:val="110"/>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1C164FE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9BD2ED"/>
            <w:vAlign w:val="center"/>
            <w:hideMark/>
          </w:tcPr>
          <w:p w14:paraId="1F03AA2F" w14:textId="7948703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tcBorders>
              <w:top w:val="single" w:sz="8" w:space="0" w:color="000000"/>
              <w:left w:val="single" w:sz="8" w:space="0" w:color="000000"/>
              <w:bottom w:val="single" w:sz="8" w:space="0" w:color="000000"/>
            </w:tcBorders>
            <w:shd w:val="clear" w:color="000000" w:fill="9BD2ED"/>
            <w:vAlign w:val="center"/>
            <w:hideMark/>
          </w:tcPr>
          <w:p w14:paraId="6AA48412" w14:textId="6B0564E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46B8CD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5D316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6D06057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1B0B9FE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801873B"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5DADAC0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5D3164" w:rsidRPr="008C761D">
              <w:rPr>
                <w:rFonts w:ascii="Arial" w:eastAsia="Times New Roman" w:hAnsi="Arial" w:cs="Arial"/>
                <w:b/>
                <w:bCs/>
                <w:sz w:val="12"/>
                <w:szCs w:val="12"/>
                <w:lang w:val="en-US" w:eastAsia="mk-MK"/>
              </w:rPr>
              <w:t>7</w:t>
            </w:r>
          </w:p>
        </w:tc>
      </w:tr>
      <w:tr w:rsidR="00485BAA" w:rsidRPr="008C761D" w14:paraId="5758B275" w14:textId="77777777" w:rsidTr="003F623B">
        <w:trPr>
          <w:gridBefore w:val="1"/>
          <w:gridAfter w:val="1"/>
          <w:wBefore w:w="17" w:type="dxa"/>
          <w:wAfter w:w="180" w:type="dxa"/>
          <w:trHeight w:val="966"/>
          <w:jc w:val="center"/>
        </w:trPr>
        <w:tc>
          <w:tcPr>
            <w:tcW w:w="2368" w:type="dxa"/>
            <w:gridSpan w:val="6"/>
            <w:vMerge/>
            <w:tcBorders>
              <w:top w:val="nil"/>
              <w:left w:val="nil"/>
              <w:bottom w:val="nil"/>
              <w:right w:val="single" w:sz="8" w:space="0" w:color="000000"/>
            </w:tcBorders>
            <w:vAlign w:val="center"/>
            <w:hideMark/>
          </w:tcPr>
          <w:p w14:paraId="03C74B91"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0FAA9CF8" w14:textId="2AEE2A2A"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Percentage of implementation of </w:t>
            </w:r>
            <w:proofErr w:type="gramStart"/>
            <w:r w:rsidRPr="008C761D">
              <w:rPr>
                <w:rFonts w:ascii="Arial" w:eastAsia="Times New Roman" w:hAnsi="Arial" w:cs="Arial"/>
                <w:sz w:val="12"/>
                <w:szCs w:val="12"/>
                <w:lang w:val="en-US" w:eastAsia="mk-MK"/>
              </w:rPr>
              <w:t>SAO  Development</w:t>
            </w:r>
            <w:proofErr w:type="gramEnd"/>
            <w:r w:rsidRPr="008C761D">
              <w:rPr>
                <w:rFonts w:ascii="Arial" w:eastAsia="Times New Roman" w:hAnsi="Arial" w:cs="Arial"/>
                <w:sz w:val="12"/>
                <w:szCs w:val="12"/>
                <w:lang w:val="en-US" w:eastAsia="mk-MK"/>
              </w:rPr>
              <w:t xml:space="preserve"> 2023-2027</w:t>
            </w:r>
          </w:p>
        </w:tc>
        <w:tc>
          <w:tcPr>
            <w:tcW w:w="1194" w:type="dxa"/>
            <w:gridSpan w:val="3"/>
            <w:tcBorders>
              <w:top w:val="single" w:sz="8" w:space="0" w:color="000000"/>
              <w:left w:val="single" w:sz="8" w:space="0" w:color="000000"/>
              <w:bottom w:val="single" w:sz="8" w:space="0" w:color="000000"/>
            </w:tcBorders>
            <w:shd w:val="clear" w:color="000000" w:fill="FFFF99"/>
            <w:vAlign w:val="center"/>
            <w:hideMark/>
          </w:tcPr>
          <w:p w14:paraId="1F549EC7" w14:textId="7987CB2A"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performed</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operations</w:t>
            </w:r>
          </w:p>
        </w:tc>
        <w:tc>
          <w:tcPr>
            <w:tcW w:w="1418" w:type="dxa"/>
            <w:gridSpan w:val="2"/>
            <w:shd w:val="clear" w:color="000000" w:fill="FFFF99"/>
            <w:vAlign w:val="center"/>
            <w:hideMark/>
          </w:tcPr>
          <w:p w14:paraId="0C5BF31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5D3164" w:rsidRPr="008C761D">
              <w:rPr>
                <w:rFonts w:ascii="Arial" w:eastAsia="Times New Roman" w:hAnsi="Arial" w:cs="Arial"/>
                <w:sz w:val="12"/>
                <w:szCs w:val="12"/>
                <w:lang w:val="en-US" w:eastAsia="mk-MK"/>
              </w:rPr>
              <w:t>0</w:t>
            </w:r>
          </w:p>
        </w:tc>
        <w:tc>
          <w:tcPr>
            <w:tcW w:w="1644" w:type="dxa"/>
            <w:gridSpan w:val="3"/>
            <w:shd w:val="clear" w:color="000000" w:fill="FFFF99"/>
            <w:vAlign w:val="center"/>
            <w:hideMark/>
          </w:tcPr>
          <w:p w14:paraId="3739C628" w14:textId="77777777" w:rsidR="00563F14" w:rsidRPr="008C761D" w:rsidRDefault="00563F14" w:rsidP="00563F1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implementation of the activities determined in the Strategy for the Development of SAO 2023 - 2027 -</w:t>
            </w:r>
          </w:p>
          <w:p w14:paraId="5F00A4D5" w14:textId="3E73AF25" w:rsidR="00485BAA"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40%</w:t>
            </w:r>
          </w:p>
        </w:tc>
        <w:tc>
          <w:tcPr>
            <w:tcW w:w="1758" w:type="dxa"/>
            <w:gridSpan w:val="2"/>
            <w:shd w:val="clear" w:color="000000" w:fill="FFFF99"/>
            <w:vAlign w:val="center"/>
            <w:hideMark/>
          </w:tcPr>
          <w:p w14:paraId="6A8C66E3" w14:textId="77777777" w:rsidR="00563F14" w:rsidRPr="008C761D" w:rsidRDefault="00563F14" w:rsidP="00563F1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implementation of the activities determined in the Strategy for the Development of SAO 2023 - 2027 -</w:t>
            </w:r>
          </w:p>
          <w:p w14:paraId="0FEE7FB2" w14:textId="2754052F" w:rsidR="00485BAA"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842" w:type="dxa"/>
            <w:gridSpan w:val="3"/>
            <w:shd w:val="clear" w:color="000000" w:fill="FFFF99"/>
            <w:vAlign w:val="center"/>
            <w:hideMark/>
          </w:tcPr>
          <w:p w14:paraId="12A188E8" w14:textId="77777777" w:rsidR="00563F14"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implementation of the activities determined in the Strategy for the Development of SAO 2023 - 2027 -</w:t>
            </w:r>
          </w:p>
          <w:p w14:paraId="27A7AD9F" w14:textId="5A0DF782" w:rsidR="00485BAA"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c>
          <w:tcPr>
            <w:tcW w:w="1506" w:type="dxa"/>
            <w:gridSpan w:val="3"/>
            <w:shd w:val="clear" w:color="000000" w:fill="FFFF99"/>
            <w:vAlign w:val="center"/>
            <w:hideMark/>
          </w:tcPr>
          <w:p w14:paraId="2E58AD1F" w14:textId="77777777" w:rsidR="00563F14"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implementation of the Strategy for the Development of SAO 2023 - 2026-</w:t>
            </w:r>
          </w:p>
          <w:p w14:paraId="68D53B81" w14:textId="1AF652A2" w:rsidR="00485BAA" w:rsidRPr="008C761D" w:rsidRDefault="00563F14" w:rsidP="00563F1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w:t>
            </w:r>
          </w:p>
        </w:tc>
      </w:tr>
      <w:tr w:rsidR="00485BAA" w:rsidRPr="008C761D" w14:paraId="25B471F1" w14:textId="77777777" w:rsidTr="003F623B">
        <w:trPr>
          <w:gridBefore w:val="1"/>
          <w:gridAfter w:val="1"/>
          <w:wBefore w:w="17" w:type="dxa"/>
          <w:wAfter w:w="180" w:type="dxa"/>
          <w:trHeight w:val="554"/>
          <w:jc w:val="center"/>
        </w:trPr>
        <w:tc>
          <w:tcPr>
            <w:tcW w:w="2368" w:type="dxa"/>
            <w:gridSpan w:val="6"/>
            <w:vMerge/>
            <w:tcBorders>
              <w:top w:val="nil"/>
              <w:left w:val="nil"/>
              <w:bottom w:val="nil"/>
              <w:right w:val="single" w:sz="8" w:space="0" w:color="000000"/>
            </w:tcBorders>
            <w:vAlign w:val="center"/>
            <w:hideMark/>
          </w:tcPr>
          <w:p w14:paraId="00C3103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5652D6EA" w14:textId="2A6C2771"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Percentage of audit scope </w:t>
            </w:r>
            <w:proofErr w:type="gramStart"/>
            <w:r w:rsidRPr="008C761D">
              <w:rPr>
                <w:rFonts w:ascii="Arial" w:eastAsia="Times New Roman" w:hAnsi="Arial" w:cs="Arial"/>
                <w:sz w:val="12"/>
                <w:szCs w:val="12"/>
                <w:lang w:val="en-US" w:eastAsia="mk-MK"/>
              </w:rPr>
              <w:t>of  total</w:t>
            </w:r>
            <w:proofErr w:type="gramEnd"/>
            <w:r w:rsidRPr="008C761D">
              <w:rPr>
                <w:rFonts w:ascii="Arial" w:eastAsia="Times New Roman" w:hAnsi="Arial" w:cs="Arial"/>
                <w:sz w:val="12"/>
                <w:szCs w:val="12"/>
                <w:lang w:val="en-US" w:eastAsia="mk-MK"/>
              </w:rPr>
              <w:t xml:space="preserve"> public expenditures</w:t>
            </w:r>
          </w:p>
        </w:tc>
        <w:tc>
          <w:tcPr>
            <w:tcW w:w="1194" w:type="dxa"/>
            <w:gridSpan w:val="3"/>
            <w:tcBorders>
              <w:top w:val="single" w:sz="8" w:space="0" w:color="000000"/>
              <w:left w:val="single" w:sz="8" w:space="0" w:color="000000"/>
              <w:bottom w:val="single" w:sz="8" w:space="0" w:color="000000"/>
            </w:tcBorders>
            <w:shd w:val="clear" w:color="000000" w:fill="FFFF99"/>
            <w:vAlign w:val="center"/>
            <w:hideMark/>
          </w:tcPr>
          <w:p w14:paraId="430BB849" w14:textId="3E52B65E"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performed</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operations</w:t>
            </w:r>
          </w:p>
        </w:tc>
        <w:tc>
          <w:tcPr>
            <w:tcW w:w="1418" w:type="dxa"/>
            <w:gridSpan w:val="2"/>
            <w:shd w:val="clear" w:color="000000" w:fill="FFFF99"/>
            <w:vAlign w:val="center"/>
            <w:hideMark/>
          </w:tcPr>
          <w:p w14:paraId="33A98F5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59%</w:t>
            </w:r>
          </w:p>
        </w:tc>
        <w:tc>
          <w:tcPr>
            <w:tcW w:w="1644" w:type="dxa"/>
            <w:gridSpan w:val="3"/>
            <w:shd w:val="clear" w:color="000000" w:fill="FFFF99"/>
            <w:vAlign w:val="center"/>
            <w:hideMark/>
          </w:tcPr>
          <w:p w14:paraId="0AEC55F2" w14:textId="77777777"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758" w:type="dxa"/>
            <w:gridSpan w:val="2"/>
            <w:shd w:val="clear" w:color="000000" w:fill="FFFF99"/>
            <w:vAlign w:val="center"/>
            <w:hideMark/>
          </w:tcPr>
          <w:p w14:paraId="27A9E2E2" w14:textId="77777777"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≥60.5%</w:t>
            </w:r>
          </w:p>
        </w:tc>
        <w:tc>
          <w:tcPr>
            <w:tcW w:w="1842" w:type="dxa"/>
            <w:gridSpan w:val="3"/>
            <w:shd w:val="clear" w:color="000000" w:fill="FFFF99"/>
            <w:vAlign w:val="center"/>
            <w:hideMark/>
          </w:tcPr>
          <w:p w14:paraId="3B71B3E5" w14:textId="77777777"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≥61%</w:t>
            </w:r>
          </w:p>
        </w:tc>
        <w:tc>
          <w:tcPr>
            <w:tcW w:w="1506" w:type="dxa"/>
            <w:gridSpan w:val="3"/>
            <w:shd w:val="clear" w:color="000000" w:fill="FFFF99"/>
            <w:vAlign w:val="center"/>
            <w:hideMark/>
          </w:tcPr>
          <w:p w14:paraId="140F3016" w14:textId="77777777" w:rsidR="00485BAA" w:rsidRPr="008C761D" w:rsidRDefault="005D316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≥61.5%</w:t>
            </w:r>
          </w:p>
        </w:tc>
      </w:tr>
      <w:tr w:rsidR="00485BAA" w:rsidRPr="008C761D" w14:paraId="74E55DF5" w14:textId="77777777" w:rsidTr="003F623B">
        <w:trPr>
          <w:gridBefore w:val="1"/>
          <w:gridAfter w:val="1"/>
          <w:wBefore w:w="17" w:type="dxa"/>
          <w:wAfter w:w="180" w:type="dxa"/>
          <w:trHeight w:val="1398"/>
          <w:jc w:val="center"/>
        </w:trPr>
        <w:tc>
          <w:tcPr>
            <w:tcW w:w="2368" w:type="dxa"/>
            <w:gridSpan w:val="6"/>
            <w:vMerge/>
            <w:tcBorders>
              <w:top w:val="nil"/>
              <w:left w:val="nil"/>
              <w:bottom w:val="nil"/>
              <w:right w:val="single" w:sz="8" w:space="0" w:color="000000"/>
            </w:tcBorders>
            <w:vAlign w:val="center"/>
            <w:hideMark/>
          </w:tcPr>
          <w:p w14:paraId="1683FC0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6067507C" w14:textId="2E499C87"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Perception of stakeholders' on </w:t>
            </w:r>
            <w:proofErr w:type="gramStart"/>
            <w:r w:rsidRPr="008C761D">
              <w:rPr>
                <w:rFonts w:ascii="Arial" w:eastAsia="Times New Roman" w:hAnsi="Arial" w:cs="Arial"/>
                <w:sz w:val="12"/>
                <w:szCs w:val="12"/>
                <w:lang w:val="en-US" w:eastAsia="mk-MK"/>
              </w:rPr>
              <w:t>SAO  added</w:t>
            </w:r>
            <w:proofErr w:type="gramEnd"/>
            <w:r w:rsidRPr="008C761D">
              <w:rPr>
                <w:rFonts w:ascii="Arial" w:eastAsia="Times New Roman" w:hAnsi="Arial" w:cs="Arial"/>
                <w:sz w:val="12"/>
                <w:szCs w:val="12"/>
                <w:lang w:val="en-US" w:eastAsia="mk-MK"/>
              </w:rPr>
              <w:t xml:space="preserve"> value</w:t>
            </w:r>
          </w:p>
        </w:tc>
        <w:tc>
          <w:tcPr>
            <w:tcW w:w="1194" w:type="dxa"/>
            <w:gridSpan w:val="3"/>
            <w:tcBorders>
              <w:top w:val="single" w:sz="8" w:space="0" w:color="000000"/>
              <w:left w:val="single" w:sz="8" w:space="0" w:color="000000"/>
              <w:bottom w:val="single" w:sz="8" w:space="0" w:color="000000"/>
            </w:tcBorders>
            <w:shd w:val="clear" w:color="000000" w:fill="FFFF99"/>
            <w:vAlign w:val="center"/>
            <w:hideMark/>
          </w:tcPr>
          <w:p w14:paraId="76877FA2" w14:textId="62609F8E"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Results of stakeholder surveys on the added value of SAO</w:t>
            </w:r>
          </w:p>
        </w:tc>
        <w:tc>
          <w:tcPr>
            <w:tcW w:w="1418" w:type="dxa"/>
            <w:gridSpan w:val="2"/>
            <w:shd w:val="clear" w:color="000000" w:fill="FFFF99"/>
            <w:vAlign w:val="center"/>
            <w:hideMark/>
          </w:tcPr>
          <w:p w14:paraId="47385AD8" w14:textId="0C1665EB"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Progress has been made in raising public awareness of the SAO's activities, increasing media interest, as well as in implementing the SAO Communication Strategy</w:t>
            </w:r>
          </w:p>
        </w:tc>
        <w:tc>
          <w:tcPr>
            <w:tcW w:w="1644" w:type="dxa"/>
            <w:gridSpan w:val="3"/>
            <w:shd w:val="clear" w:color="000000" w:fill="FFFF99"/>
            <w:vAlign w:val="center"/>
            <w:hideMark/>
          </w:tcPr>
          <w:p w14:paraId="5801E703" w14:textId="34FC71A9"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Stakeholders' perception of the added value of SAO-81%</w:t>
            </w:r>
          </w:p>
        </w:tc>
        <w:tc>
          <w:tcPr>
            <w:tcW w:w="1758" w:type="dxa"/>
            <w:gridSpan w:val="2"/>
            <w:shd w:val="clear" w:color="000000" w:fill="FFFF99"/>
            <w:vAlign w:val="center"/>
            <w:hideMark/>
          </w:tcPr>
          <w:p w14:paraId="5C08300F" w14:textId="1C765569"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Stakeholders' perception of the added value of SAO-82%</w:t>
            </w:r>
          </w:p>
        </w:tc>
        <w:tc>
          <w:tcPr>
            <w:tcW w:w="1842" w:type="dxa"/>
            <w:gridSpan w:val="3"/>
            <w:shd w:val="clear" w:color="000000" w:fill="FFFF99"/>
            <w:vAlign w:val="center"/>
            <w:hideMark/>
          </w:tcPr>
          <w:p w14:paraId="4128A4B6" w14:textId="60A4C304"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Stakeholders' perception of the added value of SAO-83%</w:t>
            </w:r>
          </w:p>
        </w:tc>
        <w:tc>
          <w:tcPr>
            <w:tcW w:w="1506" w:type="dxa"/>
            <w:gridSpan w:val="3"/>
            <w:shd w:val="clear" w:color="000000" w:fill="FFFF99"/>
            <w:vAlign w:val="center"/>
            <w:hideMark/>
          </w:tcPr>
          <w:p w14:paraId="4F43BE39" w14:textId="51816B95"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Stakeholders' perception of the added value of SAO-85%</w:t>
            </w:r>
          </w:p>
        </w:tc>
      </w:tr>
      <w:tr w:rsidR="00485BAA" w:rsidRPr="008C761D" w14:paraId="304BA504" w14:textId="77777777" w:rsidTr="003F623B">
        <w:trPr>
          <w:gridBefore w:val="1"/>
          <w:gridAfter w:val="1"/>
          <w:wBefore w:w="17" w:type="dxa"/>
          <w:wAfter w:w="180" w:type="dxa"/>
          <w:trHeight w:val="239"/>
          <w:jc w:val="center"/>
        </w:trPr>
        <w:tc>
          <w:tcPr>
            <w:tcW w:w="2368" w:type="dxa"/>
            <w:gridSpan w:val="6"/>
            <w:vMerge/>
            <w:tcBorders>
              <w:top w:val="nil"/>
              <w:left w:val="nil"/>
              <w:bottom w:val="nil"/>
              <w:right w:val="single" w:sz="8" w:space="0" w:color="000000"/>
            </w:tcBorders>
            <w:vAlign w:val="center"/>
            <w:hideMark/>
          </w:tcPr>
          <w:p w14:paraId="1E526443"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9BD2ED"/>
            <w:vAlign w:val="center"/>
            <w:hideMark/>
          </w:tcPr>
          <w:p w14:paraId="59DD1350"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tcBorders>
              <w:top w:val="single" w:sz="8" w:space="0" w:color="000000"/>
              <w:left w:val="single" w:sz="8" w:space="0" w:color="000000"/>
              <w:bottom w:val="single" w:sz="8" w:space="0" w:color="000000"/>
            </w:tcBorders>
            <w:shd w:val="clear" w:color="000000" w:fill="9BD2ED"/>
            <w:vAlign w:val="center"/>
            <w:hideMark/>
          </w:tcPr>
          <w:p w14:paraId="113ACE04" w14:textId="2ACC365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17FE1CCA" w14:textId="774E34AB"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AA320BE" w14:textId="0E478EB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2F2BC4B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3D26299F" w14:textId="11DAF79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C1798B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339B9" w:rsidRPr="008C761D" w14:paraId="18D17CD8" w14:textId="77777777" w:rsidTr="003F623B">
        <w:trPr>
          <w:gridBefore w:val="1"/>
          <w:gridAfter w:val="1"/>
          <w:wBefore w:w="17" w:type="dxa"/>
          <w:wAfter w:w="180" w:type="dxa"/>
          <w:trHeight w:val="961"/>
          <w:jc w:val="center"/>
        </w:trPr>
        <w:tc>
          <w:tcPr>
            <w:tcW w:w="2368" w:type="dxa"/>
            <w:gridSpan w:val="6"/>
            <w:vMerge/>
            <w:tcBorders>
              <w:top w:val="nil"/>
              <w:left w:val="nil"/>
              <w:bottom w:val="nil"/>
              <w:right w:val="single" w:sz="8" w:space="0" w:color="000000"/>
            </w:tcBorders>
            <w:vAlign w:val="center"/>
            <w:hideMark/>
          </w:tcPr>
          <w:p w14:paraId="610644D2" w14:textId="77777777" w:rsidR="004339B9" w:rsidRPr="008C761D" w:rsidRDefault="004339B9" w:rsidP="00485BAA">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488B193C" w14:textId="74823FA1" w:rsidR="004339B9" w:rsidRPr="008C761D" w:rsidRDefault="00563F1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 Implementation </w:t>
            </w:r>
            <w:proofErr w:type="gramStart"/>
            <w:r w:rsidRPr="008C761D">
              <w:rPr>
                <w:rFonts w:ascii="Arial" w:eastAsia="Times New Roman" w:hAnsi="Arial" w:cs="Arial"/>
                <w:sz w:val="12"/>
                <w:szCs w:val="12"/>
                <w:lang w:val="en-US" w:eastAsia="mk-MK"/>
              </w:rPr>
              <w:t>of  adopted</w:t>
            </w:r>
            <w:proofErr w:type="gramEnd"/>
            <w:r w:rsidRPr="008C761D">
              <w:rPr>
                <w:rFonts w:ascii="Arial" w:eastAsia="Times New Roman" w:hAnsi="Arial" w:cs="Arial"/>
                <w:sz w:val="12"/>
                <w:szCs w:val="12"/>
                <w:lang w:val="en-US" w:eastAsia="mk-MK"/>
              </w:rPr>
              <w:t xml:space="preserve"> strategic, planning and methodological acts of the SAO and adoption of new methodological acts of SAO</w:t>
            </w:r>
          </w:p>
        </w:tc>
        <w:tc>
          <w:tcPr>
            <w:tcW w:w="1194" w:type="dxa"/>
            <w:gridSpan w:val="3"/>
            <w:tcBorders>
              <w:top w:val="single" w:sz="8" w:space="0" w:color="000000"/>
              <w:left w:val="single" w:sz="8" w:space="0" w:color="000000"/>
              <w:bottom w:val="single" w:sz="8" w:space="0" w:color="000000"/>
            </w:tcBorders>
            <w:shd w:val="clear" w:color="000000" w:fill="FFFF99"/>
            <w:vAlign w:val="center"/>
            <w:hideMark/>
          </w:tcPr>
          <w:p w14:paraId="1B53F0AF"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2023 - 2027</w:t>
            </w:r>
          </w:p>
        </w:tc>
        <w:tc>
          <w:tcPr>
            <w:tcW w:w="1418" w:type="dxa"/>
            <w:gridSpan w:val="2"/>
            <w:shd w:val="clear" w:color="000000" w:fill="FFFF99"/>
            <w:vAlign w:val="center"/>
            <w:hideMark/>
          </w:tcPr>
          <w:p w14:paraId="7E4533E6"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3FE505F3" w14:textId="3159B8D1"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7DE6291" w14:textId="0A317143"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500.000</w:t>
            </w:r>
          </w:p>
        </w:tc>
        <w:tc>
          <w:tcPr>
            <w:tcW w:w="1842" w:type="dxa"/>
            <w:gridSpan w:val="3"/>
            <w:shd w:val="clear" w:color="000000" w:fill="FFFF99"/>
            <w:vAlign w:val="center"/>
            <w:hideMark/>
          </w:tcPr>
          <w:p w14:paraId="397842BF" w14:textId="3B14B7A3" w:rsidR="004339B9" w:rsidRPr="008C761D" w:rsidRDefault="00134B6E" w:rsidP="004339B9">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funding</w:t>
            </w:r>
          </w:p>
          <w:p w14:paraId="55A56CB5" w14:textId="77777777" w:rsidR="004339B9" w:rsidRPr="008C761D" w:rsidRDefault="004339B9" w:rsidP="004339B9">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WFD, NDI, USAID, UNDP, UnWomen and others</w:t>
            </w:r>
          </w:p>
          <w:p w14:paraId="564C8A17" w14:textId="4C07A4C5" w:rsidR="004339B9" w:rsidRPr="008C761D" w:rsidRDefault="004339B9" w:rsidP="00485BAA">
            <w:pPr>
              <w:spacing w:after="0" w:line="240" w:lineRule="auto"/>
              <w:rPr>
                <w:rFonts w:ascii="Arial" w:eastAsia="Times New Roman" w:hAnsi="Arial" w:cs="Arial"/>
                <w:sz w:val="12"/>
                <w:szCs w:val="12"/>
                <w:lang w:val="en-US" w:eastAsia="mk-MK"/>
              </w:rPr>
            </w:pPr>
          </w:p>
        </w:tc>
        <w:tc>
          <w:tcPr>
            <w:tcW w:w="1506" w:type="dxa"/>
            <w:gridSpan w:val="3"/>
            <w:shd w:val="clear" w:color="000000" w:fill="FFFF99"/>
            <w:vAlign w:val="center"/>
            <w:hideMark/>
          </w:tcPr>
          <w:p w14:paraId="515A85F2" w14:textId="60E89E23" w:rsidR="004339B9" w:rsidRPr="008C761D" w:rsidRDefault="004339B9" w:rsidP="00485BAA">
            <w:pPr>
              <w:spacing w:after="0" w:line="240" w:lineRule="auto"/>
              <w:jc w:val="center"/>
              <w:rPr>
                <w:rFonts w:ascii="Arial" w:eastAsia="Times New Roman" w:hAnsi="Arial" w:cs="Arial"/>
                <w:sz w:val="12"/>
                <w:szCs w:val="12"/>
                <w:lang w:val="en-US" w:eastAsia="mk-MK"/>
              </w:rPr>
            </w:pPr>
          </w:p>
        </w:tc>
      </w:tr>
      <w:tr w:rsidR="004339B9" w:rsidRPr="008C761D" w14:paraId="133B39C9" w14:textId="77777777" w:rsidTr="003F623B">
        <w:trPr>
          <w:gridBefore w:val="1"/>
          <w:gridAfter w:val="1"/>
          <w:wBefore w:w="17" w:type="dxa"/>
          <w:wAfter w:w="180" w:type="dxa"/>
          <w:trHeight w:val="790"/>
          <w:jc w:val="center"/>
        </w:trPr>
        <w:tc>
          <w:tcPr>
            <w:tcW w:w="2368" w:type="dxa"/>
            <w:gridSpan w:val="6"/>
            <w:vMerge/>
            <w:tcBorders>
              <w:top w:val="nil"/>
              <w:left w:val="nil"/>
              <w:bottom w:val="nil"/>
              <w:right w:val="single" w:sz="8" w:space="0" w:color="000000"/>
            </w:tcBorders>
            <w:vAlign w:val="center"/>
            <w:hideMark/>
          </w:tcPr>
          <w:p w14:paraId="37AF1B79" w14:textId="77777777" w:rsidR="004339B9" w:rsidRPr="008C761D" w:rsidRDefault="004339B9"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3BDC2DA" w14:textId="45568466"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Strengthen</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capacity</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to</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conduct</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p>
        </w:tc>
        <w:tc>
          <w:tcPr>
            <w:tcW w:w="1194" w:type="dxa"/>
            <w:gridSpan w:val="3"/>
            <w:shd w:val="clear" w:color="000000" w:fill="FFFF99"/>
            <w:vAlign w:val="center"/>
            <w:hideMark/>
          </w:tcPr>
          <w:p w14:paraId="31E9137E"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2023- 2027</w:t>
            </w:r>
          </w:p>
        </w:tc>
        <w:tc>
          <w:tcPr>
            <w:tcW w:w="1418" w:type="dxa"/>
            <w:gridSpan w:val="2"/>
            <w:shd w:val="clear" w:color="000000" w:fill="FFFF99"/>
            <w:vAlign w:val="center"/>
            <w:hideMark/>
          </w:tcPr>
          <w:p w14:paraId="559D8AA2"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17DC5C18" w14:textId="5A13E6C4"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758" w:type="dxa"/>
            <w:gridSpan w:val="2"/>
            <w:shd w:val="clear" w:color="000000" w:fill="FFFF99"/>
            <w:vAlign w:val="center"/>
            <w:hideMark/>
          </w:tcPr>
          <w:p w14:paraId="69BF69AE" w14:textId="748F3B62" w:rsidR="00624A77" w:rsidRPr="008C761D" w:rsidRDefault="00624A7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0019183C" w:rsidRPr="008C761D">
              <w:rPr>
                <w:rFonts w:ascii="Arial" w:eastAsia="Times New Roman" w:hAnsi="Arial" w:cs="Arial"/>
                <w:sz w:val="12"/>
                <w:szCs w:val="12"/>
                <w:lang w:val="en-US" w:eastAsia="mk-MK"/>
              </w:rPr>
              <w:t>8</w:t>
            </w:r>
            <w:r w:rsidR="004339B9" w:rsidRPr="008C761D">
              <w:rPr>
                <w:rFonts w:ascii="Arial" w:eastAsia="Times New Roman" w:hAnsi="Arial" w:cs="Arial"/>
                <w:sz w:val="12"/>
                <w:szCs w:val="12"/>
                <w:lang w:val="en-US" w:eastAsia="mk-MK"/>
              </w:rPr>
              <w:t>.</w:t>
            </w:r>
            <w:r w:rsidR="0019183C" w:rsidRPr="008C761D">
              <w:rPr>
                <w:rFonts w:ascii="Arial" w:eastAsia="Times New Roman" w:hAnsi="Arial" w:cs="Arial"/>
                <w:sz w:val="12"/>
                <w:szCs w:val="12"/>
                <w:lang w:val="en-US" w:eastAsia="mk-MK"/>
              </w:rPr>
              <w:t>836</w:t>
            </w:r>
            <w:r w:rsidR="004339B9" w:rsidRPr="008C761D">
              <w:rPr>
                <w:rFonts w:ascii="Arial" w:eastAsia="Times New Roman" w:hAnsi="Arial" w:cs="Arial"/>
                <w:sz w:val="12"/>
                <w:szCs w:val="12"/>
                <w:lang w:val="en-US" w:eastAsia="mk-MK"/>
              </w:rPr>
              <w:t>.000</w:t>
            </w:r>
            <w:r w:rsidRPr="008C761D">
              <w:rPr>
                <w:rFonts w:ascii="Arial" w:eastAsia="Times New Roman" w:hAnsi="Arial" w:cs="Arial"/>
                <w:sz w:val="12"/>
                <w:szCs w:val="12"/>
                <w:lang w:val="en-US" w:eastAsia="mk-MK"/>
              </w:rPr>
              <w:t xml:space="preserve"> </w:t>
            </w:r>
          </w:p>
          <w:p w14:paraId="6D4ECFC7" w14:textId="2C3AA246" w:rsidR="004339B9" w:rsidRPr="008C761D" w:rsidRDefault="00624A77"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p>
        </w:tc>
        <w:tc>
          <w:tcPr>
            <w:tcW w:w="1842" w:type="dxa"/>
            <w:gridSpan w:val="3"/>
            <w:shd w:val="clear" w:color="000000" w:fill="FFFF99"/>
            <w:vAlign w:val="center"/>
            <w:hideMark/>
          </w:tcPr>
          <w:p w14:paraId="038605CD" w14:textId="279BC310" w:rsidR="004339B9" w:rsidRPr="008C761D" w:rsidRDefault="00134B6E" w:rsidP="005D316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funding</w:t>
            </w:r>
          </w:p>
          <w:p w14:paraId="47992A5E" w14:textId="77777777" w:rsidR="004339B9" w:rsidRPr="008C761D" w:rsidRDefault="004339B9" w:rsidP="005D3164">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WFD, NDI, USAID, UNDP, UnWomen and others</w:t>
            </w:r>
          </w:p>
        </w:tc>
        <w:tc>
          <w:tcPr>
            <w:tcW w:w="1506" w:type="dxa"/>
            <w:gridSpan w:val="3"/>
            <w:shd w:val="clear" w:color="000000" w:fill="FFFF99"/>
            <w:vAlign w:val="center"/>
            <w:hideMark/>
          </w:tcPr>
          <w:p w14:paraId="59FB2805" w14:textId="5707975B"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339B9" w:rsidRPr="008C761D" w14:paraId="1DEC70CB" w14:textId="77777777" w:rsidTr="003F623B">
        <w:trPr>
          <w:gridBefore w:val="1"/>
          <w:gridAfter w:val="1"/>
          <w:wBefore w:w="17" w:type="dxa"/>
          <w:wAfter w:w="180" w:type="dxa"/>
          <w:trHeight w:val="1330"/>
          <w:jc w:val="center"/>
        </w:trPr>
        <w:tc>
          <w:tcPr>
            <w:tcW w:w="2368" w:type="dxa"/>
            <w:gridSpan w:val="6"/>
            <w:vMerge/>
            <w:tcBorders>
              <w:top w:val="nil"/>
              <w:left w:val="nil"/>
              <w:bottom w:val="nil"/>
              <w:right w:val="single" w:sz="8" w:space="0" w:color="000000"/>
            </w:tcBorders>
            <w:vAlign w:val="center"/>
            <w:hideMark/>
          </w:tcPr>
          <w:p w14:paraId="6224920F" w14:textId="644A4D7E" w:rsidR="004339B9" w:rsidRPr="008C761D" w:rsidRDefault="004339B9"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0043293" w14:textId="47893C51" w:rsidR="004339B9" w:rsidRPr="008C761D" w:rsidRDefault="00563F14"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Increasing the visibility of the SAO and communication with the stakeholders</w:t>
            </w:r>
          </w:p>
        </w:tc>
        <w:tc>
          <w:tcPr>
            <w:tcW w:w="1194" w:type="dxa"/>
            <w:gridSpan w:val="3"/>
            <w:shd w:val="clear" w:color="000000" w:fill="FFFF99"/>
            <w:vAlign w:val="center"/>
            <w:hideMark/>
          </w:tcPr>
          <w:p w14:paraId="2C15052C"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2023 - 2027</w:t>
            </w:r>
          </w:p>
        </w:tc>
        <w:tc>
          <w:tcPr>
            <w:tcW w:w="1418" w:type="dxa"/>
            <w:gridSpan w:val="2"/>
            <w:shd w:val="clear" w:color="000000" w:fill="FFFF99"/>
            <w:vAlign w:val="center"/>
            <w:hideMark/>
          </w:tcPr>
          <w:p w14:paraId="3D7445AC" w14:textId="77777777" w:rsidR="004339B9" w:rsidRPr="008C761D" w:rsidRDefault="004339B9"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30A1A569" w14:textId="5BD9E963" w:rsidR="004339B9" w:rsidRPr="008C761D" w:rsidRDefault="004339B9" w:rsidP="00485BAA">
            <w:pPr>
              <w:spacing w:after="0" w:line="240" w:lineRule="auto"/>
              <w:jc w:val="both"/>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Stakeholders (Assembly, Government, Ministry</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 Public</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Prosecutor's Office, Ministry</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Interior, State</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Commission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for</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Prevention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Corruption, </w:t>
            </w:r>
            <w:r w:rsidR="00134B6E" w:rsidRPr="008C761D">
              <w:rPr>
                <w:rFonts w:ascii="Arial" w:eastAsia="Times New Roman" w:hAnsi="Arial" w:cs="Arial"/>
                <w:sz w:val="12"/>
                <w:szCs w:val="12"/>
                <w:lang w:val="en-US" w:eastAsia="mk-MK"/>
              </w:rPr>
              <w:t>audited entities</w:t>
            </w:r>
            <w:r w:rsidRPr="008C761D">
              <w:rPr>
                <w:rFonts w:ascii="Arial" w:eastAsia="Times New Roman" w:hAnsi="Arial" w:cs="Arial"/>
                <w:sz w:val="12"/>
                <w:szCs w:val="12"/>
                <w:lang w:val="en-US" w:eastAsia="mk-MK"/>
              </w:rPr>
              <w:t xml:space="preserve">, </w:t>
            </w:r>
            <w:r w:rsidR="00134B6E" w:rsidRPr="008C761D">
              <w:rPr>
                <w:rFonts w:ascii="Arial" w:eastAsia="Times New Roman" w:hAnsi="Arial" w:cs="Arial"/>
                <w:sz w:val="12"/>
                <w:szCs w:val="12"/>
                <w:lang w:val="en-US" w:eastAsia="mk-MK"/>
              </w:rPr>
              <w:t>the public</w:t>
            </w: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44538363" w14:textId="35E61477" w:rsidR="004339B9" w:rsidRPr="008C761D" w:rsidRDefault="004339B9"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1.000.000</w:t>
            </w:r>
          </w:p>
          <w:p w14:paraId="52E4496D" w14:textId="56ABE86E" w:rsidR="004339B9" w:rsidRPr="008C761D" w:rsidRDefault="004339B9" w:rsidP="00485BAA">
            <w:pPr>
              <w:spacing w:after="0" w:line="240" w:lineRule="auto"/>
              <w:rPr>
                <w:rFonts w:ascii="Arial" w:eastAsia="Times New Roman" w:hAnsi="Arial" w:cs="Arial"/>
                <w:sz w:val="12"/>
                <w:szCs w:val="12"/>
                <w:lang w:val="en-US" w:eastAsia="mk-MK"/>
              </w:rPr>
            </w:pPr>
          </w:p>
        </w:tc>
        <w:tc>
          <w:tcPr>
            <w:tcW w:w="1842" w:type="dxa"/>
            <w:gridSpan w:val="3"/>
            <w:shd w:val="clear" w:color="000000" w:fill="FFFF99"/>
            <w:vAlign w:val="center"/>
            <w:hideMark/>
          </w:tcPr>
          <w:p w14:paraId="1AE1B9FC" w14:textId="33037321" w:rsidR="004339B9" w:rsidRPr="008C761D" w:rsidRDefault="00134B6E" w:rsidP="00A1340B">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funding</w:t>
            </w:r>
          </w:p>
          <w:p w14:paraId="60A8B4CA" w14:textId="77777777" w:rsidR="004339B9" w:rsidRPr="008C761D" w:rsidRDefault="004339B9" w:rsidP="00A1340B">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WFD, NDI, USAID, UNDP, UnWomen and others</w:t>
            </w:r>
          </w:p>
        </w:tc>
        <w:tc>
          <w:tcPr>
            <w:tcW w:w="1506" w:type="dxa"/>
            <w:gridSpan w:val="3"/>
            <w:shd w:val="clear" w:color="000000" w:fill="FFFF99"/>
            <w:vAlign w:val="center"/>
            <w:hideMark/>
          </w:tcPr>
          <w:p w14:paraId="432C84B8" w14:textId="59465473" w:rsidR="004339B9" w:rsidRPr="008C761D" w:rsidRDefault="004339B9" w:rsidP="00407B01">
            <w:pPr>
              <w:spacing w:after="0" w:line="240" w:lineRule="auto"/>
              <w:jc w:val="center"/>
              <w:rPr>
                <w:rFonts w:ascii="Arial" w:eastAsia="Times New Roman" w:hAnsi="Arial" w:cs="Arial"/>
                <w:sz w:val="12"/>
                <w:szCs w:val="12"/>
                <w:lang w:val="en-US" w:eastAsia="mk-MK"/>
              </w:rPr>
            </w:pPr>
          </w:p>
        </w:tc>
      </w:tr>
      <w:tr w:rsidR="00485BAA" w:rsidRPr="008C761D" w14:paraId="028197C6" w14:textId="77777777" w:rsidTr="003F623B">
        <w:trPr>
          <w:gridBefore w:val="1"/>
          <w:gridAfter w:val="1"/>
          <w:wBefore w:w="17" w:type="dxa"/>
          <w:wAfter w:w="180" w:type="dxa"/>
          <w:trHeight w:val="250"/>
          <w:jc w:val="center"/>
        </w:trPr>
        <w:tc>
          <w:tcPr>
            <w:tcW w:w="13501" w:type="dxa"/>
            <w:gridSpan w:val="25"/>
            <w:shd w:val="clear" w:color="000000" w:fill="1F3864"/>
            <w:vAlign w:val="center"/>
            <w:hideMark/>
          </w:tcPr>
          <w:p w14:paraId="12AFEF72" w14:textId="5F4F7670"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VII</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External</w:t>
            </w:r>
            <w:r w:rsidR="00563F14" w:rsidRPr="008C761D">
              <w:rPr>
                <w:rFonts w:ascii="Arial" w:eastAsia="Times New Roman" w:hAnsi="Arial" w:cs="Arial"/>
                <w:b/>
                <w:bCs/>
                <w:color w:val="FFFFFF"/>
                <w:sz w:val="12"/>
                <w:szCs w:val="12"/>
                <w:lang w:val="en-US" w:eastAsia="mk-MK"/>
              </w:rPr>
              <w:t xml:space="preserve"> </w:t>
            </w:r>
            <w:r w:rsidR="00174835">
              <w:rPr>
                <w:rFonts w:ascii="Arial" w:eastAsia="Times New Roman" w:hAnsi="Arial" w:cs="Arial"/>
                <w:b/>
                <w:bCs/>
                <w:color w:val="FFFFFF"/>
                <w:sz w:val="12"/>
                <w:szCs w:val="12"/>
                <w:lang w:val="en-US" w:eastAsia="mk-MK"/>
              </w:rPr>
              <w:t>audit</w:t>
            </w:r>
            <w:r w:rsidR="00563F1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563F1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parliamentary</w:t>
            </w:r>
            <w:r w:rsidR="00563F1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oversight</w:t>
            </w:r>
          </w:p>
        </w:tc>
      </w:tr>
      <w:tr w:rsidR="00485BAA" w:rsidRPr="008C761D" w14:paraId="0FAA86E9" w14:textId="77777777" w:rsidTr="003F623B">
        <w:trPr>
          <w:gridBefore w:val="1"/>
          <w:gridAfter w:val="1"/>
          <w:wBefore w:w="17" w:type="dxa"/>
          <w:wAfter w:w="180" w:type="dxa"/>
          <w:trHeight w:val="277"/>
          <w:jc w:val="center"/>
        </w:trPr>
        <w:tc>
          <w:tcPr>
            <w:tcW w:w="13501" w:type="dxa"/>
            <w:gridSpan w:val="25"/>
            <w:shd w:val="clear" w:color="000000" w:fill="1F3864"/>
            <w:vAlign w:val="center"/>
            <w:hideMark/>
          </w:tcPr>
          <w:p w14:paraId="40A8329D" w14:textId="4D1A0BF6"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w:t>
            </w:r>
            <w:r w:rsidR="00134B6E" w:rsidRPr="008C761D">
              <w:rPr>
                <w:rFonts w:ascii="Arial" w:eastAsia="Times New Roman" w:hAnsi="Arial" w:cs="Arial"/>
                <w:b/>
                <w:bCs/>
                <w:color w:val="FFFFFF"/>
                <w:sz w:val="12"/>
                <w:szCs w:val="12"/>
                <w:lang w:val="en-US" w:eastAsia="mk-MK"/>
              </w:rPr>
              <w:t>Parliamentary</w:t>
            </w:r>
            <w:r w:rsidR="00563F14"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oversight</w:t>
            </w:r>
          </w:p>
        </w:tc>
      </w:tr>
      <w:tr w:rsidR="00485BAA" w:rsidRPr="008C761D" w14:paraId="615F62C9" w14:textId="77777777" w:rsidTr="003F623B">
        <w:trPr>
          <w:gridBefore w:val="1"/>
          <w:gridAfter w:val="1"/>
          <w:wBefore w:w="17" w:type="dxa"/>
          <w:wAfter w:w="180" w:type="dxa"/>
          <w:trHeight w:val="271"/>
          <w:jc w:val="center"/>
        </w:trPr>
        <w:tc>
          <w:tcPr>
            <w:tcW w:w="2368" w:type="dxa"/>
            <w:gridSpan w:val="6"/>
            <w:shd w:val="clear" w:color="000000" w:fill="9BD2ED"/>
            <w:vAlign w:val="center"/>
            <w:hideMark/>
          </w:tcPr>
          <w:p w14:paraId="1C0642E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374182D7" w14:textId="1E5B4D2F"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74553A9" w14:textId="2592CA53" w:rsidR="00485BAA" w:rsidRPr="008C761D" w:rsidRDefault="00134B6E"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 Source</w:t>
            </w:r>
          </w:p>
        </w:tc>
        <w:tc>
          <w:tcPr>
            <w:tcW w:w="1418" w:type="dxa"/>
            <w:gridSpan w:val="2"/>
            <w:shd w:val="clear" w:color="000000" w:fill="9BD2ED"/>
            <w:vAlign w:val="center"/>
            <w:hideMark/>
          </w:tcPr>
          <w:p w14:paraId="69A7674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A1340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5631729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1340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2070C3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1340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236C544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1340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0DE9E76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A1340B" w:rsidRPr="008C761D">
              <w:rPr>
                <w:rFonts w:ascii="Arial" w:eastAsia="Times New Roman" w:hAnsi="Arial" w:cs="Arial"/>
                <w:b/>
                <w:bCs/>
                <w:sz w:val="12"/>
                <w:szCs w:val="12"/>
                <w:lang w:val="en-US" w:eastAsia="mk-MK"/>
              </w:rPr>
              <w:t>7</w:t>
            </w:r>
          </w:p>
        </w:tc>
      </w:tr>
      <w:tr w:rsidR="00485BAA" w:rsidRPr="008C761D" w14:paraId="5F270C21" w14:textId="77777777" w:rsidTr="003F623B">
        <w:trPr>
          <w:gridBefore w:val="1"/>
          <w:gridAfter w:val="1"/>
          <w:wBefore w:w="17" w:type="dxa"/>
          <w:wAfter w:w="180" w:type="dxa"/>
          <w:trHeight w:val="655"/>
          <w:jc w:val="center"/>
        </w:trPr>
        <w:tc>
          <w:tcPr>
            <w:tcW w:w="2368" w:type="dxa"/>
            <w:gridSpan w:val="6"/>
            <w:tcBorders>
              <w:bottom w:val="single" w:sz="8" w:space="0" w:color="000000"/>
            </w:tcBorders>
            <w:shd w:val="clear" w:color="000000" w:fill="FFFF99"/>
            <w:vAlign w:val="center"/>
            <w:hideMark/>
          </w:tcPr>
          <w:p w14:paraId="235DA957" w14:textId="2A609F81"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 Enhanced</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effects</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w:t>
            </w:r>
          </w:p>
        </w:tc>
        <w:tc>
          <w:tcPr>
            <w:tcW w:w="1771" w:type="dxa"/>
            <w:gridSpan w:val="3"/>
            <w:tcBorders>
              <w:bottom w:val="single" w:sz="8" w:space="0" w:color="000000"/>
            </w:tcBorders>
            <w:shd w:val="clear" w:color="000000" w:fill="FFFF99"/>
            <w:vAlign w:val="center"/>
            <w:hideMark/>
          </w:tcPr>
          <w:p w14:paraId="5B362CCB" w14:textId="039EC807" w:rsidR="00485BAA" w:rsidRPr="008C761D" w:rsidRDefault="00563F1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external audit recommendations for which corrective measures have been taken</w:t>
            </w:r>
          </w:p>
        </w:tc>
        <w:tc>
          <w:tcPr>
            <w:tcW w:w="1194" w:type="dxa"/>
            <w:gridSpan w:val="3"/>
            <w:tcBorders>
              <w:bottom w:val="single" w:sz="8" w:space="0" w:color="000000"/>
            </w:tcBorders>
            <w:shd w:val="clear" w:color="000000" w:fill="FFFF99"/>
            <w:vAlign w:val="center"/>
            <w:hideMark/>
          </w:tcPr>
          <w:p w14:paraId="48615ECF" w14:textId="6186F19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the</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performed</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audits</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and</w:t>
            </w:r>
            <w:r w:rsidR="00563F14"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operation</w:t>
            </w:r>
          </w:p>
        </w:tc>
        <w:tc>
          <w:tcPr>
            <w:tcW w:w="1418" w:type="dxa"/>
            <w:gridSpan w:val="2"/>
            <w:tcBorders>
              <w:bottom w:val="single" w:sz="8" w:space="0" w:color="000000"/>
            </w:tcBorders>
            <w:shd w:val="clear" w:color="000000" w:fill="FFFF99"/>
            <w:vAlign w:val="center"/>
            <w:hideMark/>
          </w:tcPr>
          <w:p w14:paraId="5A7EF6B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84%</w:t>
            </w:r>
          </w:p>
        </w:tc>
        <w:tc>
          <w:tcPr>
            <w:tcW w:w="1644" w:type="dxa"/>
            <w:gridSpan w:val="3"/>
            <w:tcBorders>
              <w:bottom w:val="single" w:sz="8" w:space="0" w:color="000000"/>
            </w:tcBorders>
            <w:shd w:val="clear" w:color="000000" w:fill="FFFF99"/>
            <w:vAlign w:val="center"/>
            <w:hideMark/>
          </w:tcPr>
          <w:p w14:paraId="53CC1B0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A1340B" w:rsidRPr="008C761D">
              <w:rPr>
                <w:rFonts w:ascii="Arial" w:eastAsia="Times New Roman" w:hAnsi="Arial" w:cs="Arial"/>
                <w:sz w:val="12"/>
                <w:szCs w:val="12"/>
                <w:lang w:val="en-US" w:eastAsia="mk-MK"/>
              </w:rPr>
              <w:t>2</w:t>
            </w:r>
            <w:r w:rsidRPr="008C761D">
              <w:rPr>
                <w:rFonts w:ascii="Arial" w:eastAsia="Times New Roman" w:hAnsi="Arial" w:cs="Arial"/>
                <w:sz w:val="12"/>
                <w:szCs w:val="12"/>
                <w:lang w:val="en-US" w:eastAsia="mk-MK"/>
              </w:rPr>
              <w:t>%</w:t>
            </w:r>
          </w:p>
        </w:tc>
        <w:tc>
          <w:tcPr>
            <w:tcW w:w="1758" w:type="dxa"/>
            <w:gridSpan w:val="2"/>
            <w:tcBorders>
              <w:bottom w:val="single" w:sz="8" w:space="0" w:color="000000"/>
            </w:tcBorders>
            <w:shd w:val="clear" w:color="000000" w:fill="FFFF99"/>
            <w:vAlign w:val="center"/>
            <w:hideMark/>
          </w:tcPr>
          <w:p w14:paraId="5834E29C"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A1340B" w:rsidRPr="008C761D">
              <w:rPr>
                <w:rFonts w:ascii="Arial" w:eastAsia="Times New Roman" w:hAnsi="Arial" w:cs="Arial"/>
                <w:sz w:val="12"/>
                <w:szCs w:val="12"/>
                <w:lang w:val="en-US" w:eastAsia="mk-MK"/>
              </w:rPr>
              <w:t>4</w:t>
            </w:r>
            <w:r w:rsidRPr="008C761D">
              <w:rPr>
                <w:rFonts w:ascii="Arial" w:eastAsia="Times New Roman" w:hAnsi="Arial" w:cs="Arial"/>
                <w:sz w:val="12"/>
                <w:szCs w:val="12"/>
                <w:lang w:val="en-US" w:eastAsia="mk-MK"/>
              </w:rPr>
              <w:t>%</w:t>
            </w:r>
          </w:p>
        </w:tc>
        <w:tc>
          <w:tcPr>
            <w:tcW w:w="1842" w:type="dxa"/>
            <w:gridSpan w:val="3"/>
            <w:tcBorders>
              <w:bottom w:val="single" w:sz="8" w:space="0" w:color="000000"/>
            </w:tcBorders>
            <w:shd w:val="clear" w:color="000000" w:fill="FFFF99"/>
            <w:vAlign w:val="center"/>
            <w:hideMark/>
          </w:tcPr>
          <w:p w14:paraId="7FE64E1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A1340B" w:rsidRPr="008C761D">
              <w:rPr>
                <w:rFonts w:ascii="Arial" w:eastAsia="Times New Roman" w:hAnsi="Arial" w:cs="Arial"/>
                <w:sz w:val="12"/>
                <w:szCs w:val="12"/>
                <w:lang w:val="en-US" w:eastAsia="mk-MK"/>
              </w:rPr>
              <w:t>6</w:t>
            </w:r>
            <w:r w:rsidRPr="008C761D">
              <w:rPr>
                <w:rFonts w:ascii="Arial" w:eastAsia="Times New Roman" w:hAnsi="Arial" w:cs="Arial"/>
                <w:sz w:val="12"/>
                <w:szCs w:val="12"/>
                <w:lang w:val="en-US" w:eastAsia="mk-MK"/>
              </w:rPr>
              <w:t>%</w:t>
            </w:r>
          </w:p>
        </w:tc>
        <w:tc>
          <w:tcPr>
            <w:tcW w:w="1506" w:type="dxa"/>
            <w:gridSpan w:val="3"/>
            <w:tcBorders>
              <w:bottom w:val="single" w:sz="8" w:space="0" w:color="000000"/>
            </w:tcBorders>
            <w:shd w:val="clear" w:color="000000" w:fill="FFFF99"/>
            <w:vAlign w:val="center"/>
            <w:hideMark/>
          </w:tcPr>
          <w:p w14:paraId="414DC26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A1340B" w:rsidRPr="008C761D">
              <w:rPr>
                <w:rFonts w:ascii="Arial" w:eastAsia="Times New Roman" w:hAnsi="Arial" w:cs="Arial"/>
                <w:sz w:val="12"/>
                <w:szCs w:val="12"/>
                <w:lang w:val="en-US" w:eastAsia="mk-MK"/>
              </w:rPr>
              <w:t>8</w:t>
            </w:r>
            <w:r w:rsidRPr="008C761D">
              <w:rPr>
                <w:rFonts w:ascii="Arial" w:eastAsia="Times New Roman" w:hAnsi="Arial" w:cs="Arial"/>
                <w:sz w:val="12"/>
                <w:szCs w:val="12"/>
                <w:lang w:val="en-US" w:eastAsia="mk-MK"/>
              </w:rPr>
              <w:t>%</w:t>
            </w:r>
          </w:p>
        </w:tc>
      </w:tr>
      <w:tr w:rsidR="00485BAA" w:rsidRPr="008C761D" w14:paraId="1737A8EB" w14:textId="77777777" w:rsidTr="003F623B">
        <w:trPr>
          <w:gridBefore w:val="1"/>
          <w:gridAfter w:val="1"/>
          <w:wBefore w:w="17" w:type="dxa"/>
          <w:wAfter w:w="180" w:type="dxa"/>
          <w:trHeight w:val="227"/>
          <w:jc w:val="center"/>
        </w:trPr>
        <w:tc>
          <w:tcPr>
            <w:tcW w:w="13501" w:type="dxa"/>
            <w:gridSpan w:val="25"/>
            <w:shd w:val="clear" w:color="000000" w:fill="9BD2ED"/>
            <w:vAlign w:val="center"/>
            <w:hideMark/>
          </w:tcPr>
          <w:p w14:paraId="780948B8" w14:textId="2DB265E4"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563F14" w:rsidRPr="008C761D">
              <w:rPr>
                <w:rFonts w:ascii="Arial" w:eastAsia="Times New Roman" w:hAnsi="Arial" w:cs="Arial"/>
                <w:b/>
                <w:bCs/>
                <w:sz w:val="12"/>
                <w:szCs w:val="12"/>
                <w:lang w:val="en-US" w:eastAsia="mk-MK"/>
              </w:rPr>
              <w:t>Establishing a mechanism for reviewing the audit reports and the measures taken following the recommendations given in the audit reports in the RNM Assembly</w:t>
            </w:r>
          </w:p>
        </w:tc>
      </w:tr>
      <w:tr w:rsidR="00485BAA" w:rsidRPr="008C761D" w14:paraId="4C7D646F" w14:textId="77777777" w:rsidTr="003F623B">
        <w:trPr>
          <w:gridBefore w:val="1"/>
          <w:gridAfter w:val="1"/>
          <w:wBefore w:w="17" w:type="dxa"/>
          <w:wAfter w:w="180" w:type="dxa"/>
          <w:trHeight w:val="273"/>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4D57EC6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41150BA0" w14:textId="358260E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5F6BDBA7" w14:textId="65CC2D5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563F1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7D6906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A1340B"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0D6E872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6442A9F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6C7E822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4C53F8D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7</w:t>
            </w:r>
          </w:p>
        </w:tc>
      </w:tr>
      <w:tr w:rsidR="00485BAA" w:rsidRPr="008C761D" w14:paraId="6479D4E9" w14:textId="77777777" w:rsidTr="003F623B">
        <w:trPr>
          <w:gridBefore w:val="1"/>
          <w:gridAfter w:val="1"/>
          <w:wBefore w:w="17" w:type="dxa"/>
          <w:wAfter w:w="180" w:type="dxa"/>
          <w:trHeight w:val="1078"/>
          <w:jc w:val="center"/>
        </w:trPr>
        <w:tc>
          <w:tcPr>
            <w:tcW w:w="2368" w:type="dxa"/>
            <w:gridSpan w:val="6"/>
            <w:vMerge/>
            <w:tcBorders>
              <w:top w:val="nil"/>
              <w:left w:val="nil"/>
              <w:bottom w:val="nil"/>
              <w:right w:val="single" w:sz="8" w:space="0" w:color="000000"/>
            </w:tcBorders>
            <w:vAlign w:val="center"/>
            <w:hideMark/>
          </w:tcPr>
          <w:p w14:paraId="0182CF7E"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25ECE19" w14:textId="4416B250" w:rsidR="00485BAA" w:rsidRPr="008C761D" w:rsidRDefault="00CC7F3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audit reports that are under the scrutiny of the Parliament</w:t>
            </w:r>
          </w:p>
        </w:tc>
        <w:tc>
          <w:tcPr>
            <w:tcW w:w="1194" w:type="dxa"/>
            <w:gridSpan w:val="3"/>
            <w:shd w:val="clear" w:color="000000" w:fill="FFFF99"/>
            <w:vAlign w:val="center"/>
            <w:hideMark/>
          </w:tcPr>
          <w:p w14:paraId="5A1546D6" w14:textId="1051A584" w:rsidR="00485BAA" w:rsidRPr="008C761D" w:rsidRDefault="00CC7F36"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the performed audits and operation</w:t>
            </w:r>
          </w:p>
        </w:tc>
        <w:tc>
          <w:tcPr>
            <w:tcW w:w="1418" w:type="dxa"/>
            <w:gridSpan w:val="2"/>
            <w:shd w:val="clear" w:color="000000" w:fill="FFFF99"/>
            <w:vAlign w:val="center"/>
            <w:hideMark/>
          </w:tcPr>
          <w:p w14:paraId="7D4B5618" w14:textId="0E21FB5C" w:rsidR="00485BAA" w:rsidRPr="008C761D" w:rsidRDefault="00CC7F3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The individual audit reports are not considered in the Parliament and there is no discussion with the entities that are subject to audit.</w:t>
            </w:r>
          </w:p>
        </w:tc>
        <w:tc>
          <w:tcPr>
            <w:tcW w:w="1644" w:type="dxa"/>
            <w:gridSpan w:val="3"/>
            <w:shd w:val="clear" w:color="000000" w:fill="FFFF99"/>
            <w:vAlign w:val="center"/>
            <w:hideMark/>
          </w:tcPr>
          <w:p w14:paraId="2E5D680F" w14:textId="77777777" w:rsidR="00CC7F36" w:rsidRPr="008C761D" w:rsidRDefault="00485BAA"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CC7F36" w:rsidRPr="008C761D">
              <w:rPr>
                <w:rFonts w:ascii="Arial" w:eastAsia="Times New Roman" w:hAnsi="Arial" w:cs="Arial"/>
                <w:sz w:val="12"/>
                <w:szCs w:val="12"/>
                <w:lang w:val="en-US" w:eastAsia="mk-MK"/>
              </w:rPr>
              <w:t>Number of audit reports that have been reviewed by the Assembly</w:t>
            </w:r>
          </w:p>
          <w:p w14:paraId="563DC6C4" w14:textId="506DE123" w:rsidR="00485BAA" w:rsidRPr="008C761D" w:rsidRDefault="00CC7F36" w:rsidP="00CC7F36">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c>
          <w:tcPr>
            <w:tcW w:w="1758" w:type="dxa"/>
            <w:gridSpan w:val="2"/>
            <w:shd w:val="clear" w:color="000000" w:fill="FFFF99"/>
            <w:vAlign w:val="center"/>
            <w:hideMark/>
          </w:tcPr>
          <w:p w14:paraId="0D3F1E6A" w14:textId="77777777" w:rsidR="00CC7F36"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audit reports that have been reviewed by the Assembly</w:t>
            </w:r>
          </w:p>
          <w:p w14:paraId="3D90C0CE" w14:textId="497E81AE" w:rsidR="00485BAA"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p>
        </w:tc>
        <w:tc>
          <w:tcPr>
            <w:tcW w:w="1842" w:type="dxa"/>
            <w:gridSpan w:val="3"/>
            <w:shd w:val="clear" w:color="000000" w:fill="FFFF99"/>
            <w:vAlign w:val="center"/>
            <w:hideMark/>
          </w:tcPr>
          <w:p w14:paraId="0A25AA32" w14:textId="77777777" w:rsidR="00CC7F36"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audit reports that have been reviewed by the Assembly</w:t>
            </w:r>
          </w:p>
          <w:p w14:paraId="2E21B325" w14:textId="61FEEF98" w:rsidR="00485BAA"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506" w:type="dxa"/>
            <w:gridSpan w:val="3"/>
            <w:shd w:val="clear" w:color="000000" w:fill="FFFF99"/>
            <w:vAlign w:val="center"/>
            <w:hideMark/>
          </w:tcPr>
          <w:p w14:paraId="4935D6E2" w14:textId="77777777" w:rsidR="00CC7F36"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audit reports that have been reviewed by the Assembly</w:t>
            </w:r>
          </w:p>
          <w:p w14:paraId="3B4F18DE" w14:textId="31818AEC" w:rsidR="00485BAA" w:rsidRPr="008C761D" w:rsidRDefault="00CC7F36" w:rsidP="00CC7F36">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r>
      <w:tr w:rsidR="00485BAA" w:rsidRPr="008C761D" w14:paraId="0E10619A" w14:textId="77777777" w:rsidTr="003F623B">
        <w:trPr>
          <w:gridBefore w:val="1"/>
          <w:gridAfter w:val="1"/>
          <w:wBefore w:w="17" w:type="dxa"/>
          <w:wAfter w:w="180" w:type="dxa"/>
          <w:trHeight w:val="360"/>
          <w:jc w:val="center"/>
        </w:trPr>
        <w:tc>
          <w:tcPr>
            <w:tcW w:w="2368" w:type="dxa"/>
            <w:gridSpan w:val="6"/>
            <w:vMerge/>
            <w:tcBorders>
              <w:top w:val="nil"/>
              <w:left w:val="nil"/>
              <w:bottom w:val="nil"/>
              <w:right w:val="single" w:sz="8" w:space="0" w:color="000000"/>
            </w:tcBorders>
            <w:vAlign w:val="center"/>
            <w:hideMark/>
          </w:tcPr>
          <w:p w14:paraId="30E9EDC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19548E5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5BE47FC8" w14:textId="22328808"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68070AFF" w14:textId="30051EC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713DD5B0" w14:textId="0EF38A1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6C3BC735"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C562946" w14:textId="195FE57C"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207A475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7BA2F70B" w14:textId="77777777" w:rsidTr="003F623B">
        <w:trPr>
          <w:gridBefore w:val="1"/>
          <w:gridAfter w:val="1"/>
          <w:wBefore w:w="17" w:type="dxa"/>
          <w:wAfter w:w="180" w:type="dxa"/>
          <w:trHeight w:val="591"/>
          <w:jc w:val="center"/>
        </w:trPr>
        <w:tc>
          <w:tcPr>
            <w:tcW w:w="2368" w:type="dxa"/>
            <w:gridSpan w:val="6"/>
            <w:vMerge/>
            <w:tcBorders>
              <w:top w:val="nil"/>
              <w:left w:val="nil"/>
              <w:bottom w:val="nil"/>
              <w:right w:val="single" w:sz="8" w:space="0" w:color="000000"/>
            </w:tcBorders>
            <w:vAlign w:val="center"/>
            <w:hideMark/>
          </w:tcPr>
          <w:p w14:paraId="257D07DF"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8A3AEF5" w14:textId="3BF1C768" w:rsidR="00485BAA" w:rsidRPr="008C761D" w:rsidRDefault="00CC7F3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Implementation of concluded Memorandum of Cooperation between the Assembly and the SAO.</w:t>
            </w:r>
          </w:p>
        </w:tc>
        <w:tc>
          <w:tcPr>
            <w:tcW w:w="1194" w:type="dxa"/>
            <w:gridSpan w:val="3"/>
            <w:shd w:val="clear" w:color="000000" w:fill="FFFF99"/>
            <w:vAlign w:val="center"/>
            <w:hideMark/>
          </w:tcPr>
          <w:p w14:paraId="4A7BC8A4" w14:textId="51D225A7" w:rsidR="00485BAA"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4/2022-</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09CD1B0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1C9311D9" w14:textId="55F7428F"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w:t>
            </w:r>
            <w:r w:rsidR="00CC7F36" w:rsidRPr="008C761D">
              <w:rPr>
                <w:rFonts w:ascii="Arial" w:eastAsia="Times New Roman" w:hAnsi="Arial" w:cs="Arial"/>
                <w:sz w:val="12"/>
                <w:szCs w:val="12"/>
                <w:lang w:val="en-US" w:eastAsia="mk-MK"/>
              </w:rPr>
              <w:t xml:space="preserve"> </w:t>
            </w:r>
            <w:proofErr w:type="gramStart"/>
            <w:r w:rsidRPr="008C761D">
              <w:rPr>
                <w:rFonts w:ascii="Arial" w:eastAsia="Times New Roman" w:hAnsi="Arial" w:cs="Arial"/>
                <w:sz w:val="12"/>
                <w:szCs w:val="12"/>
                <w:lang w:val="en-US" w:eastAsia="mk-MK"/>
              </w:rPr>
              <w:t>of</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 RNM</w:t>
            </w:r>
            <w:proofErr w:type="gramEnd"/>
          </w:p>
        </w:tc>
        <w:tc>
          <w:tcPr>
            <w:tcW w:w="1758" w:type="dxa"/>
            <w:gridSpan w:val="2"/>
            <w:shd w:val="clear" w:color="000000" w:fill="FFFF99"/>
            <w:vAlign w:val="center"/>
            <w:hideMark/>
          </w:tcPr>
          <w:p w14:paraId="512062AF" w14:textId="77777777" w:rsidR="00485BAA" w:rsidRPr="008C761D" w:rsidRDefault="00485BA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0</w:t>
            </w:r>
          </w:p>
        </w:tc>
        <w:tc>
          <w:tcPr>
            <w:tcW w:w="1842" w:type="dxa"/>
            <w:gridSpan w:val="3"/>
            <w:shd w:val="clear" w:color="000000" w:fill="FFFF99"/>
            <w:vAlign w:val="center"/>
            <w:hideMark/>
          </w:tcPr>
          <w:p w14:paraId="6276BDE5" w14:textId="55483CAA"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r w:rsidR="00407B01">
              <w:rPr>
                <w:rFonts w:ascii="Arial" w:eastAsia="Times New Roman" w:hAnsi="Arial" w:cs="Arial"/>
                <w:sz w:val="12"/>
                <w:szCs w:val="12"/>
                <w:lang w:val="en-US" w:eastAsia="mk-MK"/>
              </w:rPr>
              <w:t>/</w:t>
            </w:r>
          </w:p>
        </w:tc>
        <w:tc>
          <w:tcPr>
            <w:tcW w:w="1506" w:type="dxa"/>
            <w:gridSpan w:val="3"/>
            <w:shd w:val="clear" w:color="000000" w:fill="FFFF99"/>
            <w:vAlign w:val="center"/>
            <w:hideMark/>
          </w:tcPr>
          <w:p w14:paraId="005FF0BB" w14:textId="5F327B21"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485BAA" w:rsidRPr="008C761D" w14:paraId="7F8C3212" w14:textId="77777777" w:rsidTr="003F623B">
        <w:trPr>
          <w:gridBefore w:val="1"/>
          <w:gridAfter w:val="1"/>
          <w:wBefore w:w="17" w:type="dxa"/>
          <w:wAfter w:w="180" w:type="dxa"/>
          <w:trHeight w:val="758"/>
          <w:jc w:val="center"/>
        </w:trPr>
        <w:tc>
          <w:tcPr>
            <w:tcW w:w="2368" w:type="dxa"/>
            <w:gridSpan w:val="6"/>
            <w:vMerge/>
            <w:tcBorders>
              <w:top w:val="nil"/>
              <w:left w:val="nil"/>
              <w:bottom w:val="nil"/>
              <w:right w:val="single" w:sz="8" w:space="0" w:color="000000"/>
            </w:tcBorders>
            <w:vAlign w:val="center"/>
            <w:hideMark/>
          </w:tcPr>
          <w:p w14:paraId="35EC5B48"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776ABCD" w14:textId="118A68D6" w:rsidR="00485BAA" w:rsidRPr="008C761D" w:rsidRDefault="00CC7F3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Preparation of final/proposal procedures in the SAO and the Assembly for submission and review of audit reports and other documents.</w:t>
            </w:r>
          </w:p>
        </w:tc>
        <w:tc>
          <w:tcPr>
            <w:tcW w:w="1194" w:type="dxa"/>
            <w:gridSpan w:val="3"/>
            <w:shd w:val="clear" w:color="000000" w:fill="FFFF99"/>
            <w:vAlign w:val="center"/>
            <w:hideMark/>
          </w:tcPr>
          <w:p w14:paraId="2EA9BEBA" w14:textId="663DDFEE" w:rsidR="00485BAA"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4/2022-</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4106A49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36E4DF1E" w14:textId="5578DA64"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w:t>
            </w:r>
            <w:r w:rsidR="00CC7F36" w:rsidRPr="008C761D">
              <w:rPr>
                <w:rFonts w:ascii="Arial" w:eastAsia="Times New Roman" w:hAnsi="Arial" w:cs="Arial"/>
                <w:sz w:val="12"/>
                <w:szCs w:val="12"/>
                <w:lang w:val="en-US" w:eastAsia="mk-MK"/>
              </w:rPr>
              <w:t xml:space="preserve"> </w:t>
            </w:r>
            <w:proofErr w:type="gramStart"/>
            <w:r w:rsidRPr="008C761D">
              <w:rPr>
                <w:rFonts w:ascii="Arial" w:eastAsia="Times New Roman" w:hAnsi="Arial" w:cs="Arial"/>
                <w:sz w:val="12"/>
                <w:szCs w:val="12"/>
                <w:lang w:val="en-US" w:eastAsia="mk-MK"/>
              </w:rPr>
              <w:t>of</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 RNM</w:t>
            </w:r>
            <w:proofErr w:type="gramEnd"/>
          </w:p>
        </w:tc>
        <w:tc>
          <w:tcPr>
            <w:tcW w:w="1758" w:type="dxa"/>
            <w:gridSpan w:val="2"/>
            <w:shd w:val="clear" w:color="000000" w:fill="FFFF99"/>
            <w:vAlign w:val="center"/>
            <w:hideMark/>
          </w:tcPr>
          <w:p w14:paraId="05504676" w14:textId="1AFFE9F8" w:rsidR="00485BAA" w:rsidRPr="008C761D" w:rsidRDefault="00485BA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46,000</w:t>
            </w:r>
          </w:p>
        </w:tc>
        <w:tc>
          <w:tcPr>
            <w:tcW w:w="1842" w:type="dxa"/>
            <w:gridSpan w:val="3"/>
            <w:shd w:val="clear" w:color="000000" w:fill="FFFF99"/>
            <w:vAlign w:val="center"/>
            <w:hideMark/>
          </w:tcPr>
          <w:p w14:paraId="73ABD80F" w14:textId="220A1189" w:rsidR="00A1340B" w:rsidRPr="008C761D" w:rsidRDefault="00A1340B"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p>
          <w:p w14:paraId="228CA452" w14:textId="774F6698" w:rsidR="00485BAA" w:rsidRPr="008C761D" w:rsidRDefault="00A1340B"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and</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tc>
        <w:tc>
          <w:tcPr>
            <w:tcW w:w="1506" w:type="dxa"/>
            <w:gridSpan w:val="3"/>
            <w:shd w:val="clear" w:color="000000" w:fill="FFFF99"/>
            <w:vAlign w:val="center"/>
            <w:hideMark/>
          </w:tcPr>
          <w:p w14:paraId="0888B4C9" w14:textId="5ADAFC43"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485BAA" w:rsidRPr="008C761D" w14:paraId="4135D745" w14:textId="77777777" w:rsidTr="003F623B">
        <w:trPr>
          <w:gridBefore w:val="1"/>
          <w:gridAfter w:val="1"/>
          <w:wBefore w:w="17" w:type="dxa"/>
          <w:wAfter w:w="180" w:type="dxa"/>
          <w:trHeight w:val="898"/>
          <w:jc w:val="center"/>
        </w:trPr>
        <w:tc>
          <w:tcPr>
            <w:tcW w:w="2368" w:type="dxa"/>
            <w:gridSpan w:val="6"/>
            <w:vMerge/>
            <w:tcBorders>
              <w:top w:val="nil"/>
              <w:left w:val="nil"/>
              <w:bottom w:val="nil"/>
              <w:right w:val="single" w:sz="8" w:space="0" w:color="000000"/>
            </w:tcBorders>
            <w:vAlign w:val="center"/>
            <w:hideMark/>
          </w:tcPr>
          <w:p w14:paraId="4069DF7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8ADB21E" w14:textId="25E3C6AC" w:rsidR="00485BAA" w:rsidRPr="008C761D" w:rsidRDefault="00CC7F36"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Reviewing of summary reports from final audit reports from certain areas by the Assembly.</w:t>
            </w:r>
          </w:p>
        </w:tc>
        <w:tc>
          <w:tcPr>
            <w:tcW w:w="1194" w:type="dxa"/>
            <w:gridSpan w:val="3"/>
            <w:shd w:val="clear" w:color="000000" w:fill="FFFF99"/>
            <w:vAlign w:val="center"/>
            <w:hideMark/>
          </w:tcPr>
          <w:p w14:paraId="7A96E7FC" w14:textId="1B66E627" w:rsidR="00485BAA"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4/2022-</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0A4EAC8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073C9161" w14:textId="123BFA9D"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w:t>
            </w:r>
            <w:r w:rsidR="00CC7F36" w:rsidRPr="008C761D">
              <w:rPr>
                <w:rFonts w:ascii="Arial" w:eastAsia="Times New Roman" w:hAnsi="Arial" w:cs="Arial"/>
                <w:sz w:val="12"/>
                <w:szCs w:val="12"/>
                <w:lang w:val="en-US" w:eastAsia="mk-MK"/>
              </w:rPr>
              <w:t xml:space="preserve"> </w:t>
            </w:r>
            <w:proofErr w:type="gramStart"/>
            <w:r w:rsidRPr="008C761D">
              <w:rPr>
                <w:rFonts w:ascii="Arial" w:eastAsia="Times New Roman" w:hAnsi="Arial" w:cs="Arial"/>
                <w:sz w:val="12"/>
                <w:szCs w:val="12"/>
                <w:lang w:val="en-US" w:eastAsia="mk-MK"/>
              </w:rPr>
              <w:t xml:space="preserve">of </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RNM</w:t>
            </w:r>
            <w:proofErr w:type="gramEnd"/>
          </w:p>
        </w:tc>
        <w:tc>
          <w:tcPr>
            <w:tcW w:w="1758" w:type="dxa"/>
            <w:gridSpan w:val="2"/>
            <w:shd w:val="clear" w:color="000000" w:fill="FFFF99"/>
            <w:vAlign w:val="center"/>
            <w:hideMark/>
          </w:tcPr>
          <w:p w14:paraId="39A1F8C6" w14:textId="5B1AF70E" w:rsidR="00485BAA" w:rsidRPr="008C761D" w:rsidRDefault="00485BA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100,000</w:t>
            </w:r>
          </w:p>
        </w:tc>
        <w:tc>
          <w:tcPr>
            <w:tcW w:w="1842" w:type="dxa"/>
            <w:gridSpan w:val="3"/>
            <w:shd w:val="clear" w:color="000000" w:fill="FFFF99"/>
            <w:vAlign w:val="center"/>
            <w:hideMark/>
          </w:tcPr>
          <w:p w14:paraId="15D1A929" w14:textId="3C1FCD67" w:rsidR="00A1340B" w:rsidRPr="008C761D" w:rsidRDefault="00A1340B"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p>
          <w:p w14:paraId="27534C95" w14:textId="2B17CFBF" w:rsidR="00485BAA" w:rsidRPr="008C761D" w:rsidRDefault="00A1340B"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and</w:t>
            </w:r>
            <w:r w:rsidR="00CC7F36"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tc>
        <w:tc>
          <w:tcPr>
            <w:tcW w:w="1506" w:type="dxa"/>
            <w:gridSpan w:val="3"/>
            <w:shd w:val="clear" w:color="000000" w:fill="FFFF99"/>
            <w:vAlign w:val="center"/>
            <w:hideMark/>
          </w:tcPr>
          <w:p w14:paraId="41ADBCEE" w14:textId="3506A454" w:rsidR="00485BAA" w:rsidRPr="008C761D" w:rsidRDefault="00485BAA" w:rsidP="00407B01">
            <w:pPr>
              <w:spacing w:after="0" w:line="240" w:lineRule="auto"/>
              <w:jc w:val="center"/>
              <w:rPr>
                <w:rFonts w:ascii="Arial" w:eastAsia="Times New Roman" w:hAnsi="Arial" w:cs="Arial"/>
                <w:sz w:val="12"/>
                <w:szCs w:val="12"/>
                <w:lang w:val="en-US" w:eastAsia="mk-MK"/>
              </w:rPr>
            </w:pPr>
          </w:p>
        </w:tc>
      </w:tr>
      <w:tr w:rsidR="00485BAA" w:rsidRPr="008C761D" w14:paraId="3DE56A2A" w14:textId="77777777" w:rsidTr="003F623B">
        <w:trPr>
          <w:gridBefore w:val="1"/>
          <w:gridAfter w:val="1"/>
          <w:wBefore w:w="17" w:type="dxa"/>
          <w:wAfter w:w="180" w:type="dxa"/>
          <w:trHeight w:val="268"/>
          <w:jc w:val="center"/>
        </w:trPr>
        <w:tc>
          <w:tcPr>
            <w:tcW w:w="13501" w:type="dxa"/>
            <w:gridSpan w:val="25"/>
            <w:shd w:val="clear" w:color="000000" w:fill="9BD2ED"/>
            <w:vAlign w:val="center"/>
            <w:hideMark/>
          </w:tcPr>
          <w:p w14:paraId="49903F9E" w14:textId="08F10116"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Strengthening</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the</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institutional</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capacities</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for</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reviewing</w:t>
            </w:r>
            <w:r w:rsidR="00CC7F36" w:rsidRPr="008C761D">
              <w:rPr>
                <w:rFonts w:ascii="Arial" w:eastAsia="Times New Roman" w:hAnsi="Arial" w:cs="Arial"/>
                <w:b/>
                <w:bCs/>
                <w:sz w:val="12"/>
                <w:szCs w:val="12"/>
                <w:lang w:val="en-US" w:eastAsia="mk-MK"/>
              </w:rPr>
              <w:t xml:space="preserve"> </w:t>
            </w:r>
            <w:r w:rsidR="00134B6E" w:rsidRPr="008C761D">
              <w:rPr>
                <w:rFonts w:ascii="Arial" w:eastAsia="Times New Roman" w:hAnsi="Arial" w:cs="Arial"/>
                <w:b/>
                <w:bCs/>
                <w:sz w:val="12"/>
                <w:szCs w:val="12"/>
                <w:lang w:val="en-US" w:eastAsia="mk-MK"/>
              </w:rPr>
              <w:t>audit</w:t>
            </w:r>
            <w:r w:rsidR="00CC7F36" w:rsidRPr="008C761D">
              <w:rPr>
                <w:rFonts w:ascii="Arial" w:eastAsia="Times New Roman" w:hAnsi="Arial" w:cs="Arial"/>
                <w:b/>
                <w:bCs/>
                <w:sz w:val="12"/>
                <w:szCs w:val="12"/>
                <w:lang w:val="en-US" w:eastAsia="mk-MK"/>
              </w:rPr>
              <w:t xml:space="preserve"> </w:t>
            </w:r>
            <w:r w:rsidR="00134B6E" w:rsidRPr="008C761D">
              <w:rPr>
                <w:rFonts w:ascii="Arial" w:eastAsia="Times New Roman" w:hAnsi="Arial" w:cs="Arial"/>
                <w:b/>
                <w:bCs/>
                <w:sz w:val="12"/>
                <w:szCs w:val="12"/>
                <w:lang w:val="en-US" w:eastAsia="mk-MK"/>
              </w:rPr>
              <w:t>reports</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in</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the</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Assembly</w:t>
            </w:r>
            <w:r w:rsidR="00CC7F36" w:rsidRPr="008C761D">
              <w:rPr>
                <w:rFonts w:ascii="Arial" w:eastAsia="Times New Roman" w:hAnsi="Arial" w:cs="Arial"/>
                <w:b/>
                <w:bCs/>
                <w:sz w:val="12"/>
                <w:szCs w:val="12"/>
                <w:lang w:val="en-US" w:eastAsia="mk-MK"/>
              </w:rPr>
              <w:t xml:space="preserve"> </w:t>
            </w:r>
            <w:r w:rsidR="002B42DA" w:rsidRPr="008C761D">
              <w:rPr>
                <w:rFonts w:ascii="Arial" w:eastAsia="Times New Roman" w:hAnsi="Arial" w:cs="Arial"/>
                <w:b/>
                <w:bCs/>
                <w:sz w:val="12"/>
                <w:szCs w:val="12"/>
                <w:lang w:val="en-US" w:eastAsia="mk-MK"/>
              </w:rPr>
              <w:t>of RNM</w:t>
            </w:r>
          </w:p>
        </w:tc>
      </w:tr>
      <w:tr w:rsidR="00485BAA" w:rsidRPr="008C761D" w14:paraId="4DBD7FDB" w14:textId="77777777" w:rsidTr="003F623B">
        <w:trPr>
          <w:gridBefore w:val="1"/>
          <w:gridAfter w:val="1"/>
          <w:wBefore w:w="17" w:type="dxa"/>
          <w:wAfter w:w="180" w:type="dxa"/>
          <w:trHeight w:val="247"/>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252697F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54A095E0" w14:textId="4F06D265"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2FA2A697" w14:textId="53C24AF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CC7F36"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DDDBE22"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FY20</w:t>
            </w:r>
          </w:p>
        </w:tc>
        <w:tc>
          <w:tcPr>
            <w:tcW w:w="1644" w:type="dxa"/>
            <w:gridSpan w:val="3"/>
            <w:shd w:val="clear" w:color="000000" w:fill="9BD2ED"/>
            <w:vAlign w:val="center"/>
            <w:hideMark/>
          </w:tcPr>
          <w:p w14:paraId="0ED3D89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7028380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51FB0A7C"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26CE271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A1340B" w:rsidRPr="008C761D">
              <w:rPr>
                <w:rFonts w:ascii="Arial" w:eastAsia="Times New Roman" w:hAnsi="Arial" w:cs="Arial"/>
                <w:b/>
                <w:bCs/>
                <w:sz w:val="12"/>
                <w:szCs w:val="12"/>
                <w:lang w:val="en-US" w:eastAsia="mk-MK"/>
              </w:rPr>
              <w:t>7</w:t>
            </w:r>
          </w:p>
        </w:tc>
      </w:tr>
      <w:tr w:rsidR="00485BAA" w:rsidRPr="008C761D" w14:paraId="4F557E12" w14:textId="77777777" w:rsidTr="003F623B">
        <w:trPr>
          <w:gridBefore w:val="1"/>
          <w:gridAfter w:val="1"/>
          <w:wBefore w:w="17" w:type="dxa"/>
          <w:wAfter w:w="180" w:type="dxa"/>
          <w:trHeight w:val="1540"/>
          <w:jc w:val="center"/>
        </w:trPr>
        <w:tc>
          <w:tcPr>
            <w:tcW w:w="2368" w:type="dxa"/>
            <w:gridSpan w:val="6"/>
            <w:vMerge/>
            <w:tcBorders>
              <w:top w:val="nil"/>
              <w:left w:val="nil"/>
              <w:bottom w:val="nil"/>
              <w:right w:val="single" w:sz="8" w:space="0" w:color="000000"/>
            </w:tcBorders>
            <w:vAlign w:val="center"/>
            <w:hideMark/>
          </w:tcPr>
          <w:p w14:paraId="79DED5B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4BAA40D" w14:textId="216CD608"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MPs trained on the role of the SAO</w:t>
            </w:r>
          </w:p>
        </w:tc>
        <w:tc>
          <w:tcPr>
            <w:tcW w:w="1194" w:type="dxa"/>
            <w:gridSpan w:val="3"/>
            <w:shd w:val="clear" w:color="000000" w:fill="FFFF99"/>
            <w:vAlign w:val="center"/>
            <w:hideMark/>
          </w:tcPr>
          <w:p w14:paraId="3734723F" w14:textId="2925238B"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 Annual report on the performed audits and operation</w:t>
            </w:r>
          </w:p>
        </w:tc>
        <w:tc>
          <w:tcPr>
            <w:tcW w:w="1418" w:type="dxa"/>
            <w:gridSpan w:val="2"/>
            <w:shd w:val="clear" w:color="000000" w:fill="FFFF99"/>
            <w:vAlign w:val="center"/>
            <w:hideMark/>
          </w:tcPr>
          <w:p w14:paraId="720FA789" w14:textId="2C3CA51C" w:rsidR="00485BAA" w:rsidRPr="008C761D" w:rsidRDefault="00C10862"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Cooperation between the SAO and the Assembly has improved, but parliamentary oversight of budget preparation and implementation needs to be further strengthened.</w:t>
            </w:r>
          </w:p>
        </w:tc>
        <w:tc>
          <w:tcPr>
            <w:tcW w:w="1644" w:type="dxa"/>
            <w:gridSpan w:val="3"/>
            <w:shd w:val="clear" w:color="000000" w:fill="FFFF99"/>
            <w:vAlign w:val="center"/>
            <w:hideMark/>
          </w:tcPr>
          <w:p w14:paraId="5D9B2C01" w14:textId="1554D81C"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MPs trained for the role of SAO-10</w:t>
            </w:r>
          </w:p>
        </w:tc>
        <w:tc>
          <w:tcPr>
            <w:tcW w:w="1758" w:type="dxa"/>
            <w:gridSpan w:val="2"/>
            <w:shd w:val="clear" w:color="000000" w:fill="FFFF99"/>
            <w:vAlign w:val="center"/>
            <w:hideMark/>
          </w:tcPr>
          <w:p w14:paraId="24F3F84F" w14:textId="27F4374B"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deputies trained for the role of SAO-13</w:t>
            </w:r>
          </w:p>
        </w:tc>
        <w:tc>
          <w:tcPr>
            <w:tcW w:w="1842" w:type="dxa"/>
            <w:gridSpan w:val="3"/>
            <w:shd w:val="clear" w:color="000000" w:fill="FFFF99"/>
            <w:vAlign w:val="center"/>
            <w:hideMark/>
          </w:tcPr>
          <w:p w14:paraId="3E89AF4A" w14:textId="73182E73"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MPs trained for the role of SAO-16</w:t>
            </w:r>
          </w:p>
        </w:tc>
        <w:tc>
          <w:tcPr>
            <w:tcW w:w="1506" w:type="dxa"/>
            <w:gridSpan w:val="3"/>
            <w:shd w:val="clear" w:color="000000" w:fill="FFFF99"/>
            <w:vAlign w:val="center"/>
            <w:hideMark/>
          </w:tcPr>
          <w:p w14:paraId="43167363" w14:textId="3CF7EC37"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MPs trained for the role of SAO-19</w:t>
            </w:r>
          </w:p>
        </w:tc>
      </w:tr>
      <w:tr w:rsidR="00485BAA" w:rsidRPr="008C761D" w14:paraId="53062160" w14:textId="77777777" w:rsidTr="003F623B">
        <w:trPr>
          <w:gridBefore w:val="1"/>
          <w:gridAfter w:val="1"/>
          <w:wBefore w:w="17" w:type="dxa"/>
          <w:wAfter w:w="180" w:type="dxa"/>
          <w:trHeight w:val="257"/>
          <w:jc w:val="center"/>
        </w:trPr>
        <w:tc>
          <w:tcPr>
            <w:tcW w:w="2368" w:type="dxa"/>
            <w:gridSpan w:val="6"/>
            <w:vMerge/>
            <w:tcBorders>
              <w:top w:val="nil"/>
              <w:left w:val="nil"/>
              <w:bottom w:val="nil"/>
              <w:right w:val="single" w:sz="8" w:space="0" w:color="000000"/>
            </w:tcBorders>
            <w:vAlign w:val="center"/>
            <w:hideMark/>
          </w:tcPr>
          <w:p w14:paraId="1DD261F7"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2B050A0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7B5DE14A" w14:textId="3A1DAC70"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5B98C9AB" w14:textId="6148EF7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0F7D93A5" w14:textId="223EE0F6"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F95D158"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18D03D9" w14:textId="0E4C5AAA"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69D95E5E"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60B64F8A" w14:textId="77777777" w:rsidTr="003F623B">
        <w:trPr>
          <w:gridBefore w:val="1"/>
          <w:gridAfter w:val="1"/>
          <w:wBefore w:w="17" w:type="dxa"/>
          <w:wAfter w:w="180" w:type="dxa"/>
          <w:trHeight w:val="686"/>
          <w:jc w:val="center"/>
        </w:trPr>
        <w:tc>
          <w:tcPr>
            <w:tcW w:w="2368" w:type="dxa"/>
            <w:gridSpan w:val="6"/>
            <w:vMerge/>
            <w:tcBorders>
              <w:top w:val="nil"/>
              <w:left w:val="nil"/>
              <w:bottom w:val="nil"/>
              <w:right w:val="single" w:sz="8" w:space="0" w:color="000000"/>
            </w:tcBorders>
            <w:vAlign w:val="center"/>
            <w:hideMark/>
          </w:tcPr>
          <w:p w14:paraId="2D3B48ED"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66978E6" w14:textId="08648A90" w:rsidR="00485BAA" w:rsidRPr="008C761D" w:rsidRDefault="00C10862"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Preparation of a Training Plan for MPs and employees of the RNM Assembly Service in order to facilitate the understanding of the audit reports and preparation for a debate on the audit reports.</w:t>
            </w:r>
          </w:p>
        </w:tc>
        <w:tc>
          <w:tcPr>
            <w:tcW w:w="1194" w:type="dxa"/>
            <w:gridSpan w:val="3"/>
            <w:shd w:val="clear" w:color="000000" w:fill="FFFF99"/>
            <w:vAlign w:val="center"/>
            <w:hideMark/>
          </w:tcPr>
          <w:p w14:paraId="274FF05D" w14:textId="4A0CBC31" w:rsidR="00485BAA"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4/2024-</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40C4ED56"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5DD1D601" w14:textId="14246E96"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w:t>
            </w:r>
            <w:r w:rsidR="00C10862" w:rsidRPr="008C761D">
              <w:rPr>
                <w:rFonts w:ascii="Arial" w:eastAsia="Times New Roman" w:hAnsi="Arial" w:cs="Arial"/>
                <w:sz w:val="12"/>
                <w:szCs w:val="12"/>
                <w:lang w:val="en-US" w:eastAsia="mk-MK"/>
              </w:rPr>
              <w:t xml:space="preserve"> </w:t>
            </w:r>
            <w:proofErr w:type="gramStart"/>
            <w:r w:rsidRPr="008C761D">
              <w:rPr>
                <w:rFonts w:ascii="Arial" w:eastAsia="Times New Roman" w:hAnsi="Arial" w:cs="Arial"/>
                <w:sz w:val="12"/>
                <w:szCs w:val="12"/>
                <w:lang w:val="en-US" w:eastAsia="mk-MK"/>
              </w:rPr>
              <w:t>of  RN</w:t>
            </w:r>
            <w:proofErr w:type="gramEnd"/>
            <w:r w:rsidRPr="008C761D">
              <w:rPr>
                <w:rFonts w:ascii="Arial" w:eastAsia="Times New Roman" w:hAnsi="Arial" w:cs="Arial"/>
                <w:sz w:val="12"/>
                <w:szCs w:val="12"/>
                <w:lang w:val="en-US" w:eastAsia="mk-MK"/>
              </w:rPr>
              <w:t>М</w:t>
            </w:r>
          </w:p>
        </w:tc>
        <w:tc>
          <w:tcPr>
            <w:tcW w:w="1758" w:type="dxa"/>
            <w:gridSpan w:val="2"/>
            <w:shd w:val="clear" w:color="000000" w:fill="FFFF99"/>
            <w:vAlign w:val="center"/>
            <w:hideMark/>
          </w:tcPr>
          <w:p w14:paraId="560BD56E" w14:textId="49499AAF" w:rsidR="00485BAA" w:rsidRPr="008C761D" w:rsidRDefault="00485BA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r w:rsidR="00513478" w:rsidRPr="008C761D">
              <w:rPr>
                <w:rFonts w:ascii="Arial" w:eastAsia="Times New Roman" w:hAnsi="Arial" w:cs="Arial"/>
                <w:sz w:val="12"/>
                <w:szCs w:val="12"/>
                <w:lang w:val="en-US" w:eastAsia="mk-MK"/>
              </w:rPr>
              <w:t>1</w:t>
            </w:r>
            <w:r w:rsidRPr="008C761D">
              <w:rPr>
                <w:rFonts w:ascii="Arial" w:eastAsia="Times New Roman" w:hAnsi="Arial" w:cs="Arial"/>
                <w:sz w:val="12"/>
                <w:szCs w:val="12"/>
                <w:lang w:val="en-US" w:eastAsia="mk-MK"/>
              </w:rPr>
              <w:t>,000</w:t>
            </w:r>
          </w:p>
        </w:tc>
        <w:tc>
          <w:tcPr>
            <w:tcW w:w="1842" w:type="dxa"/>
            <w:gridSpan w:val="3"/>
            <w:shd w:val="clear" w:color="000000" w:fill="FFFF99"/>
            <w:vAlign w:val="center"/>
            <w:hideMark/>
          </w:tcPr>
          <w:p w14:paraId="1F07BA79" w14:textId="54B333C7" w:rsidR="00513478" w:rsidRPr="008C761D" w:rsidRDefault="00513478"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10862"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p>
          <w:p w14:paraId="068981D0" w14:textId="79D6377A" w:rsidR="00485BAA" w:rsidRPr="008C761D" w:rsidRDefault="00513478"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WFD and</w:t>
            </w:r>
            <w:r w:rsidR="00C10862"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tc>
        <w:tc>
          <w:tcPr>
            <w:tcW w:w="1506" w:type="dxa"/>
            <w:gridSpan w:val="3"/>
            <w:shd w:val="clear" w:color="000000" w:fill="FFFF99"/>
            <w:vAlign w:val="center"/>
            <w:hideMark/>
          </w:tcPr>
          <w:p w14:paraId="6445B179" w14:textId="21E3A391"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2B42DA" w:rsidRPr="008C761D" w14:paraId="22DA733E" w14:textId="77777777" w:rsidTr="003F623B">
        <w:trPr>
          <w:gridBefore w:val="1"/>
          <w:gridAfter w:val="1"/>
          <w:wBefore w:w="17" w:type="dxa"/>
          <w:wAfter w:w="180" w:type="dxa"/>
          <w:trHeight w:val="1420"/>
          <w:jc w:val="center"/>
        </w:trPr>
        <w:tc>
          <w:tcPr>
            <w:tcW w:w="2368" w:type="dxa"/>
            <w:gridSpan w:val="6"/>
            <w:vMerge/>
            <w:tcBorders>
              <w:top w:val="nil"/>
              <w:left w:val="nil"/>
              <w:bottom w:val="nil"/>
              <w:right w:val="single" w:sz="8" w:space="0" w:color="000000"/>
            </w:tcBorders>
            <w:vAlign w:val="center"/>
            <w:hideMark/>
          </w:tcPr>
          <w:p w14:paraId="4D164024" w14:textId="77777777" w:rsidR="002B42DA" w:rsidRPr="008C761D" w:rsidRDefault="002B42DA"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hideMark/>
          </w:tcPr>
          <w:p w14:paraId="69A78B34" w14:textId="6C778701" w:rsidR="002B42DA" w:rsidRPr="008C761D" w:rsidRDefault="00C10862"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Pr="008C761D">
              <w:rPr>
                <w:rFonts w:ascii="Arial" w:eastAsia="Times New Roman" w:hAnsi="Arial" w:cs="Arial"/>
                <w:color w:val="FF0000"/>
                <w:sz w:val="12"/>
                <w:szCs w:val="12"/>
                <w:lang w:val="en-US" w:eastAsia="mk-MK"/>
              </w:rPr>
              <w:t xml:space="preserve"> </w:t>
            </w:r>
            <w:r w:rsidRPr="008C761D">
              <w:rPr>
                <w:rFonts w:ascii="Arial" w:eastAsia="Times New Roman" w:hAnsi="Arial" w:cs="Arial"/>
                <w:sz w:val="12"/>
                <w:szCs w:val="12"/>
                <w:lang w:val="en-US" w:eastAsia="mk-MK"/>
              </w:rPr>
              <w:t>Conducting trainings in accordance with the Training Plan for the Members of Parliament and employees of the RNM Assembly Service in order to facilitate the understanding of the audit reports and preparation for the debate on the audit reports.</w:t>
            </w:r>
          </w:p>
        </w:tc>
        <w:tc>
          <w:tcPr>
            <w:tcW w:w="1194" w:type="dxa"/>
            <w:gridSpan w:val="3"/>
            <w:shd w:val="clear" w:color="000000" w:fill="FFFF99"/>
            <w:vAlign w:val="center"/>
            <w:hideMark/>
          </w:tcPr>
          <w:p w14:paraId="5B9439D5" w14:textId="18729BF9" w:rsidR="002B42DA"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4/2024-</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607B8874" w14:textId="77777777" w:rsidR="002B42DA" w:rsidRPr="008C761D" w:rsidRDefault="002B42D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7E2EAF71" w14:textId="03340376" w:rsidR="002B42DA" w:rsidRPr="008C761D" w:rsidRDefault="002B42D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Assembly</w:t>
            </w:r>
            <w:r w:rsidR="00C10862" w:rsidRPr="008C761D">
              <w:rPr>
                <w:rFonts w:ascii="Arial" w:eastAsia="Times New Roman" w:hAnsi="Arial" w:cs="Arial"/>
                <w:sz w:val="12"/>
                <w:szCs w:val="12"/>
                <w:lang w:val="en-US" w:eastAsia="mk-MK"/>
              </w:rPr>
              <w:t xml:space="preserve"> </w:t>
            </w:r>
            <w:proofErr w:type="gramStart"/>
            <w:r w:rsidRPr="008C761D">
              <w:rPr>
                <w:rFonts w:ascii="Arial" w:eastAsia="Times New Roman" w:hAnsi="Arial" w:cs="Arial"/>
                <w:sz w:val="12"/>
                <w:szCs w:val="12"/>
                <w:lang w:val="en-US" w:eastAsia="mk-MK"/>
              </w:rPr>
              <w:t>of</w:t>
            </w:r>
            <w:r w:rsidR="00C10862"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 RN</w:t>
            </w:r>
            <w:proofErr w:type="gramEnd"/>
            <w:r w:rsidRPr="008C761D">
              <w:rPr>
                <w:rFonts w:ascii="Arial" w:eastAsia="Times New Roman" w:hAnsi="Arial" w:cs="Arial"/>
                <w:sz w:val="12"/>
                <w:szCs w:val="12"/>
                <w:lang w:val="en-US" w:eastAsia="mk-MK"/>
              </w:rPr>
              <w:t>М</w:t>
            </w:r>
          </w:p>
        </w:tc>
        <w:tc>
          <w:tcPr>
            <w:tcW w:w="1758" w:type="dxa"/>
            <w:gridSpan w:val="2"/>
            <w:shd w:val="clear" w:color="000000" w:fill="FFFF99"/>
            <w:vAlign w:val="center"/>
            <w:hideMark/>
          </w:tcPr>
          <w:p w14:paraId="7EDDE54A" w14:textId="68E43071" w:rsidR="002B42DA" w:rsidRPr="008C761D" w:rsidRDefault="002B42D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140.000</w:t>
            </w:r>
          </w:p>
        </w:tc>
        <w:tc>
          <w:tcPr>
            <w:tcW w:w="1842" w:type="dxa"/>
            <w:gridSpan w:val="3"/>
            <w:shd w:val="clear" w:color="000000" w:fill="FFFF99"/>
            <w:vAlign w:val="center"/>
            <w:hideMark/>
          </w:tcPr>
          <w:p w14:paraId="21B25666" w14:textId="7D756AE1" w:rsidR="002B42DA" w:rsidRPr="008C761D" w:rsidRDefault="002B42D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w:t>
            </w:r>
            <w:r w:rsidR="00C10862"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p>
          <w:p w14:paraId="51A94D1D" w14:textId="1C922F9B" w:rsidR="002B42DA" w:rsidRPr="008C761D" w:rsidRDefault="002B42DA"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WFD and</w:t>
            </w:r>
            <w:r w:rsidR="00C10862"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others</w:t>
            </w:r>
          </w:p>
          <w:p w14:paraId="0B987E8B" w14:textId="044D08DD" w:rsidR="002B42DA" w:rsidRPr="008C761D" w:rsidRDefault="002B42DA" w:rsidP="00547D12">
            <w:pPr>
              <w:spacing w:after="0" w:line="240" w:lineRule="auto"/>
              <w:jc w:val="center"/>
              <w:rPr>
                <w:rFonts w:ascii="Arial" w:eastAsia="Times New Roman" w:hAnsi="Arial" w:cs="Arial"/>
                <w:sz w:val="12"/>
                <w:szCs w:val="12"/>
                <w:lang w:val="en-US" w:eastAsia="mk-MK"/>
              </w:rPr>
            </w:pPr>
          </w:p>
        </w:tc>
        <w:tc>
          <w:tcPr>
            <w:tcW w:w="1506" w:type="dxa"/>
            <w:gridSpan w:val="3"/>
            <w:shd w:val="clear" w:color="000000" w:fill="FFFF99"/>
            <w:vAlign w:val="center"/>
            <w:hideMark/>
          </w:tcPr>
          <w:p w14:paraId="743B528A" w14:textId="31EB8BB2" w:rsidR="002B42DA" w:rsidRPr="008C761D" w:rsidRDefault="002B42DA" w:rsidP="00407B01">
            <w:pPr>
              <w:spacing w:after="0" w:line="240" w:lineRule="auto"/>
              <w:jc w:val="center"/>
              <w:rPr>
                <w:rFonts w:ascii="Arial" w:eastAsia="Times New Roman" w:hAnsi="Arial" w:cs="Arial"/>
                <w:sz w:val="12"/>
                <w:szCs w:val="12"/>
                <w:lang w:val="en-US" w:eastAsia="mk-MK"/>
              </w:rPr>
            </w:pPr>
          </w:p>
        </w:tc>
      </w:tr>
      <w:tr w:rsidR="00A1340B" w:rsidRPr="008C761D" w14:paraId="7C38B302" w14:textId="77777777" w:rsidTr="003F623B">
        <w:trPr>
          <w:gridBefore w:val="1"/>
          <w:gridAfter w:val="1"/>
          <w:wBefore w:w="17" w:type="dxa"/>
          <w:wAfter w:w="180" w:type="dxa"/>
          <w:trHeight w:val="1104"/>
          <w:jc w:val="center"/>
        </w:trPr>
        <w:tc>
          <w:tcPr>
            <w:tcW w:w="2368" w:type="dxa"/>
            <w:gridSpan w:val="6"/>
            <w:vMerge/>
            <w:tcBorders>
              <w:top w:val="nil"/>
              <w:left w:val="nil"/>
              <w:bottom w:val="nil"/>
              <w:right w:val="single" w:sz="8" w:space="0" w:color="000000"/>
            </w:tcBorders>
            <w:vAlign w:val="center"/>
            <w:hideMark/>
          </w:tcPr>
          <w:p w14:paraId="3183D5C9" w14:textId="77777777" w:rsidR="00A1340B" w:rsidRPr="008C761D" w:rsidRDefault="00A1340B" w:rsidP="00485BA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31D8CA50" w14:textId="77777777" w:rsidR="00C10862" w:rsidRPr="008C761D" w:rsidRDefault="00C10862" w:rsidP="00C108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r w:rsidRPr="008C761D">
              <w:rPr>
                <w:rFonts w:ascii="Arial" w:eastAsia="Times New Roman" w:hAnsi="Arial" w:cs="Arial"/>
                <w:color w:val="FF0000"/>
                <w:sz w:val="12"/>
                <w:szCs w:val="12"/>
                <w:lang w:val="en-US" w:eastAsia="mk-MK"/>
              </w:rPr>
              <w:t xml:space="preserve">. </w:t>
            </w:r>
            <w:r w:rsidRPr="008C761D">
              <w:rPr>
                <w:rFonts w:ascii="Arial" w:eastAsia="Times New Roman" w:hAnsi="Arial" w:cs="Arial"/>
                <w:sz w:val="12"/>
                <w:szCs w:val="12"/>
                <w:lang w:val="en-US" w:eastAsia="mk-MK"/>
              </w:rPr>
              <w:t>Implementation of activities for strengthening cooperation with Committee on Financing and Budget,</w:t>
            </w:r>
          </w:p>
          <w:p w14:paraId="7757E161" w14:textId="64D627D1" w:rsidR="00A1340B" w:rsidRPr="008C761D" w:rsidRDefault="00C10862" w:rsidP="00C10862">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Parliamentary Institute and the Parliamentary budget office of the RNM Assembly.</w:t>
            </w:r>
          </w:p>
        </w:tc>
        <w:tc>
          <w:tcPr>
            <w:tcW w:w="1194" w:type="dxa"/>
            <w:gridSpan w:val="3"/>
            <w:shd w:val="clear" w:color="000000" w:fill="FFFF99"/>
            <w:vAlign w:val="center"/>
            <w:hideMark/>
          </w:tcPr>
          <w:p w14:paraId="016E4206" w14:textId="283E5EFD" w:rsidR="00A1340B" w:rsidRPr="008C761D" w:rsidRDefault="00547D1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4/2024-</w:t>
            </w:r>
            <w:r w:rsidRPr="008C761D">
              <w:rPr>
                <w:rFonts w:ascii="Arial" w:eastAsia="Times New Roman" w:hAnsi="Arial" w:cs="Arial"/>
                <w:sz w:val="12"/>
                <w:szCs w:val="12"/>
                <w:lang w:val="en-US" w:eastAsia="mk-MK"/>
              </w:rPr>
              <w:t>Q</w:t>
            </w:r>
            <w:r w:rsidR="002B42DA" w:rsidRPr="008C761D">
              <w:rPr>
                <w:rFonts w:ascii="Arial" w:eastAsia="Times New Roman" w:hAnsi="Arial" w:cs="Arial"/>
                <w:sz w:val="12"/>
                <w:szCs w:val="12"/>
                <w:lang w:val="en-US" w:eastAsia="mk-MK"/>
              </w:rPr>
              <w:t>4/2027</w:t>
            </w:r>
          </w:p>
        </w:tc>
        <w:tc>
          <w:tcPr>
            <w:tcW w:w="1418" w:type="dxa"/>
            <w:gridSpan w:val="2"/>
            <w:shd w:val="clear" w:color="000000" w:fill="FFFF99"/>
            <w:vAlign w:val="center"/>
            <w:hideMark/>
          </w:tcPr>
          <w:p w14:paraId="7DE79659" w14:textId="77777777" w:rsidR="00A1340B" w:rsidRPr="008C761D" w:rsidRDefault="00A1340B"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SAO</w:t>
            </w:r>
          </w:p>
        </w:tc>
        <w:tc>
          <w:tcPr>
            <w:tcW w:w="1644" w:type="dxa"/>
            <w:gridSpan w:val="3"/>
            <w:shd w:val="clear" w:color="000000" w:fill="FFFF99"/>
            <w:vAlign w:val="center"/>
            <w:hideMark/>
          </w:tcPr>
          <w:p w14:paraId="387FE10D" w14:textId="753DE427" w:rsidR="00A1340B"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Committee on Financing and Budget, Parliamentary Institute and the Parliamentary budget office of the RNM Assembly.</w:t>
            </w:r>
          </w:p>
        </w:tc>
        <w:tc>
          <w:tcPr>
            <w:tcW w:w="1758" w:type="dxa"/>
            <w:gridSpan w:val="2"/>
            <w:shd w:val="clear" w:color="000000" w:fill="FFFF99"/>
            <w:vAlign w:val="center"/>
            <w:hideMark/>
          </w:tcPr>
          <w:p w14:paraId="1CE97363" w14:textId="77777777" w:rsidR="00A1340B" w:rsidRPr="008C761D" w:rsidRDefault="00A1340B" w:rsidP="00547D12">
            <w:pPr>
              <w:spacing w:after="0" w:line="240" w:lineRule="auto"/>
              <w:jc w:val="center"/>
              <w:rPr>
                <w:rFonts w:ascii="Arial" w:eastAsia="Times New Roman" w:hAnsi="Arial" w:cs="Arial"/>
                <w:sz w:val="12"/>
                <w:szCs w:val="12"/>
                <w:lang w:val="en-US" w:eastAsia="mk-MK"/>
              </w:rPr>
            </w:pPr>
          </w:p>
          <w:p w14:paraId="42FC5144" w14:textId="0D547CE8" w:rsidR="00A1340B" w:rsidRPr="008C761D" w:rsidRDefault="00A1340B"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120,000</w:t>
            </w:r>
          </w:p>
        </w:tc>
        <w:tc>
          <w:tcPr>
            <w:tcW w:w="1842" w:type="dxa"/>
            <w:gridSpan w:val="3"/>
            <w:shd w:val="clear" w:color="000000" w:fill="FFFF99"/>
            <w:vAlign w:val="center"/>
            <w:hideMark/>
          </w:tcPr>
          <w:p w14:paraId="44D950A6" w14:textId="77777777" w:rsidR="00C10862" w:rsidRPr="008C761D" w:rsidRDefault="00C10862"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External financing</w:t>
            </w:r>
          </w:p>
          <w:p w14:paraId="2BA8AF65" w14:textId="5FF7BB75" w:rsidR="00A1340B" w:rsidRPr="008C761D" w:rsidRDefault="00C10862"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NDI, WFD and others</w:t>
            </w:r>
          </w:p>
        </w:tc>
        <w:tc>
          <w:tcPr>
            <w:tcW w:w="1506" w:type="dxa"/>
            <w:gridSpan w:val="3"/>
            <w:shd w:val="clear" w:color="000000" w:fill="FFFF99"/>
            <w:vAlign w:val="center"/>
            <w:hideMark/>
          </w:tcPr>
          <w:p w14:paraId="015D880B" w14:textId="27C45487" w:rsidR="00A1340B" w:rsidRPr="008C761D" w:rsidRDefault="00A1340B" w:rsidP="00407B01">
            <w:pPr>
              <w:spacing w:after="0" w:line="240" w:lineRule="auto"/>
              <w:jc w:val="center"/>
              <w:rPr>
                <w:rFonts w:ascii="Arial" w:eastAsia="Times New Roman" w:hAnsi="Arial" w:cs="Arial"/>
                <w:sz w:val="12"/>
                <w:szCs w:val="12"/>
                <w:lang w:val="en-US" w:eastAsia="mk-MK"/>
              </w:rPr>
            </w:pPr>
          </w:p>
        </w:tc>
      </w:tr>
      <w:tr w:rsidR="00485BAA" w:rsidRPr="008C761D" w14:paraId="586C0098" w14:textId="77777777" w:rsidTr="003F623B">
        <w:trPr>
          <w:gridBefore w:val="1"/>
          <w:gridAfter w:val="1"/>
          <w:wBefore w:w="17" w:type="dxa"/>
          <w:wAfter w:w="180" w:type="dxa"/>
          <w:trHeight w:val="232"/>
          <w:jc w:val="center"/>
        </w:trPr>
        <w:tc>
          <w:tcPr>
            <w:tcW w:w="13501" w:type="dxa"/>
            <w:gridSpan w:val="25"/>
            <w:shd w:val="clear" w:color="000000" w:fill="1F3864"/>
            <w:vAlign w:val="center"/>
            <w:hideMark/>
          </w:tcPr>
          <w:p w14:paraId="26384998" w14:textId="7FFECD70"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VIII</w:t>
            </w:r>
            <w:r w:rsidR="005A1DDF">
              <w:rPr>
                <w:rFonts w:ascii="Arial" w:eastAsia="Times New Roman" w:hAnsi="Arial" w:cs="Arial"/>
                <w:b/>
                <w:bCs/>
                <w:color w:val="FFFFFF"/>
                <w:sz w:val="12"/>
                <w:szCs w:val="12"/>
                <w:lang w:val="en-US" w:eastAsia="mk-MK"/>
              </w:rPr>
              <w:t>.</w:t>
            </w:r>
            <w:r w:rsidRPr="008C761D">
              <w:rPr>
                <w:rFonts w:ascii="Arial" w:eastAsia="Times New Roman" w:hAnsi="Arial" w:cs="Arial"/>
                <w:b/>
                <w:bCs/>
                <w:color w:val="FFFFFF"/>
                <w:sz w:val="12"/>
                <w:szCs w:val="12"/>
                <w:lang w:val="en-US" w:eastAsia="mk-MK"/>
              </w:rPr>
              <w:t xml:space="preserve"> PFM at</w:t>
            </w:r>
            <w:r w:rsidR="00C10862"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Local</w:t>
            </w:r>
            <w:r w:rsidR="00C10862"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Level</w:t>
            </w:r>
          </w:p>
        </w:tc>
      </w:tr>
      <w:tr w:rsidR="00485BAA" w:rsidRPr="008C761D" w14:paraId="6981B051" w14:textId="77777777" w:rsidTr="003F623B">
        <w:trPr>
          <w:gridBefore w:val="1"/>
          <w:gridAfter w:val="1"/>
          <w:wBefore w:w="17" w:type="dxa"/>
          <w:wAfter w:w="180" w:type="dxa"/>
          <w:trHeight w:val="232"/>
          <w:jc w:val="center"/>
        </w:trPr>
        <w:tc>
          <w:tcPr>
            <w:tcW w:w="13501" w:type="dxa"/>
            <w:gridSpan w:val="25"/>
            <w:shd w:val="clear" w:color="000000" w:fill="1F3864"/>
            <w:vAlign w:val="center"/>
            <w:hideMark/>
          </w:tcPr>
          <w:p w14:paraId="425F9FC9" w14:textId="77C5F741" w:rsidR="00485BAA" w:rsidRPr="008C761D" w:rsidRDefault="00485BAA" w:rsidP="00485BAA">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1. Fiscal</w:t>
            </w:r>
            <w:r w:rsidR="00C10862"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decentralisation</w:t>
            </w:r>
          </w:p>
        </w:tc>
      </w:tr>
      <w:tr w:rsidR="00485BAA" w:rsidRPr="008C761D" w14:paraId="604E81C3" w14:textId="77777777" w:rsidTr="003F623B">
        <w:trPr>
          <w:gridBefore w:val="1"/>
          <w:gridAfter w:val="1"/>
          <w:wBefore w:w="17" w:type="dxa"/>
          <w:wAfter w:w="180" w:type="dxa"/>
          <w:trHeight w:val="239"/>
          <w:jc w:val="center"/>
        </w:trPr>
        <w:tc>
          <w:tcPr>
            <w:tcW w:w="2368" w:type="dxa"/>
            <w:gridSpan w:val="6"/>
            <w:shd w:val="clear" w:color="000000" w:fill="9BD2ED"/>
            <w:vAlign w:val="center"/>
            <w:hideMark/>
          </w:tcPr>
          <w:p w14:paraId="2F560C8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132AC573" w14:textId="772280FC"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6AE587AB" w14:textId="01BB2C73"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0292A27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11E2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4E70302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11E2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40F468D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11E2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7B65F52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11E2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117C156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w:t>
            </w:r>
            <w:r w:rsidR="00311E24" w:rsidRPr="008C761D">
              <w:rPr>
                <w:rFonts w:ascii="Arial" w:eastAsia="Times New Roman" w:hAnsi="Arial" w:cs="Arial"/>
                <w:b/>
                <w:bCs/>
                <w:sz w:val="12"/>
                <w:szCs w:val="12"/>
                <w:lang w:val="en-US" w:eastAsia="mk-MK"/>
              </w:rPr>
              <w:t>7</w:t>
            </w:r>
          </w:p>
        </w:tc>
      </w:tr>
      <w:tr w:rsidR="00485BAA" w:rsidRPr="008C761D" w14:paraId="25A7F02F" w14:textId="77777777" w:rsidTr="003F623B">
        <w:trPr>
          <w:gridBefore w:val="1"/>
          <w:gridAfter w:val="1"/>
          <w:wBefore w:w="17" w:type="dxa"/>
          <w:wAfter w:w="180" w:type="dxa"/>
          <w:trHeight w:val="694"/>
          <w:jc w:val="center"/>
        </w:trPr>
        <w:tc>
          <w:tcPr>
            <w:tcW w:w="2368" w:type="dxa"/>
            <w:gridSpan w:val="6"/>
            <w:vMerge w:val="restart"/>
            <w:shd w:val="clear" w:color="000000" w:fill="FFFF99"/>
            <w:vAlign w:val="center"/>
            <w:hideMark/>
          </w:tcPr>
          <w:p w14:paraId="3ED4F227" w14:textId="308556FA" w:rsidR="00485BAA" w:rsidRPr="008C761D" w:rsidRDefault="00C10862"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Improved fiscal capacity and increased municipal revenues</w:t>
            </w:r>
          </w:p>
        </w:tc>
        <w:tc>
          <w:tcPr>
            <w:tcW w:w="1771" w:type="dxa"/>
            <w:gridSpan w:val="3"/>
            <w:shd w:val="clear" w:color="000000" w:fill="FFFF99"/>
            <w:vAlign w:val="center"/>
            <w:hideMark/>
          </w:tcPr>
          <w:p w14:paraId="0A5A939E" w14:textId="6130D66A"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increased municipal revenues compared to 2022</w:t>
            </w:r>
          </w:p>
        </w:tc>
        <w:tc>
          <w:tcPr>
            <w:tcW w:w="1194" w:type="dxa"/>
            <w:gridSpan w:val="3"/>
            <w:shd w:val="clear" w:color="000000" w:fill="FFFF99"/>
            <w:vAlign w:val="center"/>
            <w:hideMark/>
          </w:tcPr>
          <w:p w14:paraId="4FDDD8E2" w14:textId="344C7715"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Budget and Funds Department</w:t>
            </w:r>
          </w:p>
        </w:tc>
        <w:tc>
          <w:tcPr>
            <w:tcW w:w="1418" w:type="dxa"/>
            <w:gridSpan w:val="2"/>
            <w:shd w:val="clear" w:color="000000" w:fill="FFFF99"/>
            <w:vAlign w:val="center"/>
            <w:hideMark/>
          </w:tcPr>
          <w:p w14:paraId="0CD630B1" w14:textId="748123B0" w:rsidR="00485BAA" w:rsidRPr="008C761D" w:rsidRDefault="00311E2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40</w:t>
            </w:r>
            <w:r w:rsidR="00485BAA" w:rsidRPr="008C761D">
              <w:rPr>
                <w:rFonts w:ascii="Arial" w:eastAsia="Times New Roman" w:hAnsi="Arial" w:cs="Arial"/>
                <w:sz w:val="12"/>
                <w:szCs w:val="12"/>
                <w:lang w:val="en-US" w:eastAsia="mk-MK"/>
              </w:rPr>
              <w:t>.</w:t>
            </w:r>
            <w:r w:rsidRPr="008C761D">
              <w:rPr>
                <w:rFonts w:ascii="Arial" w:eastAsia="Times New Roman" w:hAnsi="Arial" w:cs="Arial"/>
                <w:sz w:val="12"/>
                <w:szCs w:val="12"/>
                <w:lang w:val="en-US" w:eastAsia="mk-MK"/>
              </w:rPr>
              <w:t>338</w:t>
            </w:r>
            <w:r w:rsidR="00485BAA" w:rsidRPr="008C761D">
              <w:rPr>
                <w:rFonts w:ascii="Arial" w:eastAsia="Times New Roman" w:hAnsi="Arial" w:cs="Arial"/>
                <w:sz w:val="12"/>
                <w:szCs w:val="12"/>
                <w:lang w:val="en-US" w:eastAsia="mk-MK"/>
              </w:rPr>
              <w:t>million</w:t>
            </w:r>
            <w:r w:rsidR="00C10862" w:rsidRPr="008C761D">
              <w:rPr>
                <w:rFonts w:ascii="Arial" w:eastAsia="Times New Roman" w:hAnsi="Arial" w:cs="Arial"/>
                <w:sz w:val="12"/>
                <w:szCs w:val="12"/>
                <w:lang w:val="en-US" w:eastAsia="mk-MK"/>
              </w:rPr>
              <w:t xml:space="preserve"> </w:t>
            </w:r>
            <w:r w:rsidR="00485BAA" w:rsidRPr="008C761D">
              <w:rPr>
                <w:rFonts w:ascii="Arial" w:eastAsia="Times New Roman" w:hAnsi="Arial" w:cs="Arial"/>
                <w:sz w:val="12"/>
                <w:szCs w:val="12"/>
                <w:lang w:val="en-US" w:eastAsia="mk-MK"/>
              </w:rPr>
              <w:t>denars</w:t>
            </w:r>
          </w:p>
        </w:tc>
        <w:tc>
          <w:tcPr>
            <w:tcW w:w="1644" w:type="dxa"/>
            <w:gridSpan w:val="3"/>
            <w:shd w:val="clear" w:color="000000" w:fill="FFFF99"/>
            <w:vAlign w:val="center"/>
            <w:hideMark/>
          </w:tcPr>
          <w:p w14:paraId="1016C0EF" w14:textId="118846AD"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15%</w:t>
            </w:r>
          </w:p>
        </w:tc>
        <w:tc>
          <w:tcPr>
            <w:tcW w:w="1758" w:type="dxa"/>
            <w:gridSpan w:val="2"/>
            <w:shd w:val="clear" w:color="000000" w:fill="FFFF99"/>
            <w:vAlign w:val="center"/>
            <w:hideMark/>
          </w:tcPr>
          <w:p w14:paraId="53F44101"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c>
          <w:tcPr>
            <w:tcW w:w="1842" w:type="dxa"/>
            <w:gridSpan w:val="3"/>
            <w:shd w:val="clear" w:color="000000" w:fill="FFFF99"/>
            <w:vAlign w:val="center"/>
            <w:hideMark/>
          </w:tcPr>
          <w:p w14:paraId="5C6E955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25%</w:t>
            </w:r>
          </w:p>
        </w:tc>
        <w:tc>
          <w:tcPr>
            <w:tcW w:w="1506" w:type="dxa"/>
            <w:gridSpan w:val="3"/>
            <w:shd w:val="clear" w:color="000000" w:fill="FFFF99"/>
            <w:vAlign w:val="center"/>
            <w:hideMark/>
          </w:tcPr>
          <w:p w14:paraId="1963D325"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r>
      <w:tr w:rsidR="00485BAA" w:rsidRPr="008C761D" w14:paraId="6FDC1F3F" w14:textId="77777777" w:rsidTr="003F623B">
        <w:trPr>
          <w:gridBefore w:val="1"/>
          <w:gridAfter w:val="1"/>
          <w:wBefore w:w="17" w:type="dxa"/>
          <w:wAfter w:w="180" w:type="dxa"/>
          <w:trHeight w:val="689"/>
          <w:jc w:val="center"/>
        </w:trPr>
        <w:tc>
          <w:tcPr>
            <w:tcW w:w="2368" w:type="dxa"/>
            <w:gridSpan w:val="6"/>
            <w:vMerge/>
            <w:vAlign w:val="center"/>
            <w:hideMark/>
          </w:tcPr>
          <w:p w14:paraId="36B60854"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006A3C69" w14:textId="686224FF"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Ratio of local revenues as % of GDP</w:t>
            </w:r>
          </w:p>
        </w:tc>
        <w:tc>
          <w:tcPr>
            <w:tcW w:w="1194" w:type="dxa"/>
            <w:gridSpan w:val="3"/>
            <w:shd w:val="clear" w:color="000000" w:fill="FFFF99"/>
            <w:vAlign w:val="center"/>
            <w:hideMark/>
          </w:tcPr>
          <w:p w14:paraId="069C3CF9" w14:textId="64A3ABC5"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Budget and Funds Department</w:t>
            </w:r>
          </w:p>
        </w:tc>
        <w:tc>
          <w:tcPr>
            <w:tcW w:w="1418" w:type="dxa"/>
            <w:gridSpan w:val="2"/>
            <w:shd w:val="clear" w:color="000000" w:fill="FFFF99"/>
            <w:vAlign w:val="center"/>
            <w:hideMark/>
          </w:tcPr>
          <w:p w14:paraId="32DBD21C" w14:textId="60F24892"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5,1%</w:t>
            </w:r>
          </w:p>
        </w:tc>
        <w:tc>
          <w:tcPr>
            <w:tcW w:w="1644" w:type="dxa"/>
            <w:gridSpan w:val="3"/>
            <w:shd w:val="clear" w:color="000000" w:fill="FFFF99"/>
            <w:vAlign w:val="center"/>
            <w:hideMark/>
          </w:tcPr>
          <w:p w14:paraId="36183D3E" w14:textId="49D6F862"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5,5%</w:t>
            </w:r>
          </w:p>
        </w:tc>
        <w:tc>
          <w:tcPr>
            <w:tcW w:w="1758" w:type="dxa"/>
            <w:gridSpan w:val="2"/>
            <w:shd w:val="clear" w:color="000000" w:fill="FFFF99"/>
            <w:vAlign w:val="center"/>
            <w:hideMark/>
          </w:tcPr>
          <w:p w14:paraId="5AF24F7F" w14:textId="57039E4B"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p>
        </w:tc>
        <w:tc>
          <w:tcPr>
            <w:tcW w:w="1842" w:type="dxa"/>
            <w:gridSpan w:val="3"/>
            <w:shd w:val="clear" w:color="000000" w:fill="FFFF99"/>
            <w:vAlign w:val="center"/>
            <w:hideMark/>
          </w:tcPr>
          <w:p w14:paraId="1CE0A6BC" w14:textId="40DC8328"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6,5%</w:t>
            </w:r>
          </w:p>
        </w:tc>
        <w:tc>
          <w:tcPr>
            <w:tcW w:w="1506" w:type="dxa"/>
            <w:gridSpan w:val="3"/>
            <w:shd w:val="clear" w:color="000000" w:fill="FFFF99"/>
            <w:vAlign w:val="center"/>
            <w:hideMark/>
          </w:tcPr>
          <w:p w14:paraId="71694DD7" w14:textId="66A05C30"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r w:rsidR="00485BAA" w:rsidRPr="008C761D">
              <w:rPr>
                <w:rFonts w:ascii="Arial" w:eastAsia="Times New Roman" w:hAnsi="Arial" w:cs="Arial"/>
                <w:sz w:val="12"/>
                <w:szCs w:val="12"/>
                <w:lang w:val="en-US" w:eastAsia="mk-MK"/>
              </w:rPr>
              <w:t>%</w:t>
            </w:r>
          </w:p>
        </w:tc>
      </w:tr>
      <w:tr w:rsidR="00485BAA" w:rsidRPr="008C761D" w14:paraId="746C4A31" w14:textId="77777777" w:rsidTr="003F623B">
        <w:trPr>
          <w:gridBefore w:val="1"/>
          <w:gridAfter w:val="1"/>
          <w:wBefore w:w="17" w:type="dxa"/>
          <w:wAfter w:w="180" w:type="dxa"/>
          <w:trHeight w:val="689"/>
          <w:jc w:val="center"/>
        </w:trPr>
        <w:tc>
          <w:tcPr>
            <w:tcW w:w="2368" w:type="dxa"/>
            <w:gridSpan w:val="6"/>
            <w:vMerge/>
            <w:vAlign w:val="center"/>
            <w:hideMark/>
          </w:tcPr>
          <w:p w14:paraId="6AA7B4B0" w14:textId="77777777" w:rsidR="00485BAA" w:rsidRPr="008C761D" w:rsidRDefault="00485BAA" w:rsidP="00485BAA">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3ECBA711" w14:textId="65A56341"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Ratio of local revenues as percentage of total public revenues</w:t>
            </w:r>
          </w:p>
        </w:tc>
        <w:tc>
          <w:tcPr>
            <w:tcW w:w="1194" w:type="dxa"/>
            <w:gridSpan w:val="3"/>
            <w:shd w:val="clear" w:color="000000" w:fill="FFFF99"/>
            <w:vAlign w:val="center"/>
            <w:hideMark/>
          </w:tcPr>
          <w:p w14:paraId="25D51CEE" w14:textId="562FF5BA" w:rsidR="00485BAA" w:rsidRPr="008C761D" w:rsidRDefault="00C10862"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Budget and Funds Department</w:t>
            </w:r>
          </w:p>
        </w:tc>
        <w:tc>
          <w:tcPr>
            <w:tcW w:w="1418" w:type="dxa"/>
            <w:gridSpan w:val="2"/>
            <w:shd w:val="clear" w:color="000000" w:fill="FFFF99"/>
            <w:vAlign w:val="center"/>
            <w:hideMark/>
          </w:tcPr>
          <w:p w14:paraId="7BC3A38F" w14:textId="214E6C8D"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16,6%</w:t>
            </w:r>
          </w:p>
        </w:tc>
        <w:tc>
          <w:tcPr>
            <w:tcW w:w="1644" w:type="dxa"/>
            <w:gridSpan w:val="3"/>
            <w:shd w:val="clear" w:color="000000" w:fill="FFFF99"/>
            <w:vAlign w:val="center"/>
            <w:hideMark/>
          </w:tcPr>
          <w:p w14:paraId="1B66A1A2" w14:textId="58A715CB"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17%</w:t>
            </w:r>
          </w:p>
        </w:tc>
        <w:tc>
          <w:tcPr>
            <w:tcW w:w="1758" w:type="dxa"/>
            <w:gridSpan w:val="2"/>
            <w:shd w:val="clear" w:color="000000" w:fill="FFFF99"/>
            <w:vAlign w:val="center"/>
            <w:hideMark/>
          </w:tcPr>
          <w:p w14:paraId="4B5380EB" w14:textId="1CFBEBE8"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18%</w:t>
            </w:r>
          </w:p>
        </w:tc>
        <w:tc>
          <w:tcPr>
            <w:tcW w:w="1842" w:type="dxa"/>
            <w:gridSpan w:val="3"/>
            <w:shd w:val="clear" w:color="000000" w:fill="FFFF99"/>
            <w:vAlign w:val="center"/>
            <w:hideMark/>
          </w:tcPr>
          <w:p w14:paraId="5D8592A2" w14:textId="0795F0FC"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19%</w:t>
            </w:r>
          </w:p>
        </w:tc>
        <w:tc>
          <w:tcPr>
            <w:tcW w:w="1506" w:type="dxa"/>
            <w:gridSpan w:val="3"/>
            <w:shd w:val="clear" w:color="000000" w:fill="FFFF99"/>
            <w:vAlign w:val="center"/>
            <w:hideMark/>
          </w:tcPr>
          <w:p w14:paraId="685733D4" w14:textId="1E4AB4E3"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r>
      <w:tr w:rsidR="00485BAA" w:rsidRPr="008C761D" w14:paraId="077C91E0" w14:textId="77777777" w:rsidTr="003F623B">
        <w:trPr>
          <w:gridBefore w:val="1"/>
          <w:gridAfter w:val="1"/>
          <w:wBefore w:w="17" w:type="dxa"/>
          <w:wAfter w:w="180" w:type="dxa"/>
          <w:trHeight w:val="235"/>
          <w:jc w:val="center"/>
        </w:trPr>
        <w:tc>
          <w:tcPr>
            <w:tcW w:w="13501" w:type="dxa"/>
            <w:gridSpan w:val="25"/>
            <w:shd w:val="clear" w:color="000000" w:fill="9BD2ED"/>
            <w:vAlign w:val="center"/>
            <w:hideMark/>
          </w:tcPr>
          <w:p w14:paraId="79673581" w14:textId="5B7150FF" w:rsidR="00485BAA" w:rsidRPr="008C761D" w:rsidRDefault="00485BAA" w:rsidP="00485BA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Improving</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fiscal</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capacity</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increasing</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municipal</w:t>
            </w:r>
            <w:r w:rsidR="00C10862"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revenues</w:t>
            </w:r>
          </w:p>
        </w:tc>
      </w:tr>
      <w:tr w:rsidR="00485BAA" w:rsidRPr="008C761D" w14:paraId="75C99538" w14:textId="77777777" w:rsidTr="003F623B">
        <w:trPr>
          <w:gridBefore w:val="1"/>
          <w:gridAfter w:val="1"/>
          <w:wBefore w:w="17" w:type="dxa"/>
          <w:wAfter w:w="180" w:type="dxa"/>
          <w:trHeight w:val="330"/>
          <w:jc w:val="center"/>
        </w:trPr>
        <w:tc>
          <w:tcPr>
            <w:tcW w:w="1288" w:type="dxa"/>
            <w:gridSpan w:val="3"/>
            <w:tcBorders>
              <w:top w:val="nil"/>
              <w:left w:val="nil"/>
              <w:bottom w:val="nil"/>
              <w:right w:val="nil"/>
            </w:tcBorders>
            <w:shd w:val="clear" w:color="auto" w:fill="auto"/>
            <w:noWrap/>
            <w:vAlign w:val="bottom"/>
            <w:hideMark/>
          </w:tcPr>
          <w:p w14:paraId="50F4E32A"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lastRenderedPageBreak/>
              <w:t> </w:t>
            </w:r>
          </w:p>
        </w:tc>
        <w:tc>
          <w:tcPr>
            <w:tcW w:w="1080" w:type="dxa"/>
            <w:gridSpan w:val="3"/>
            <w:tcBorders>
              <w:top w:val="nil"/>
              <w:left w:val="nil"/>
              <w:bottom w:val="nil"/>
              <w:right w:val="nil"/>
            </w:tcBorders>
            <w:shd w:val="clear" w:color="auto" w:fill="auto"/>
            <w:noWrap/>
            <w:vAlign w:val="bottom"/>
            <w:hideMark/>
          </w:tcPr>
          <w:p w14:paraId="5DBBA33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nil"/>
              <w:bottom w:val="single" w:sz="8" w:space="0" w:color="000000"/>
            </w:tcBorders>
            <w:shd w:val="clear" w:color="000000" w:fill="9BD2ED"/>
            <w:vAlign w:val="center"/>
            <w:hideMark/>
          </w:tcPr>
          <w:p w14:paraId="02715079" w14:textId="5043C78D"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D629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5028DD1D" w14:textId="534B5ABE"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D629D0"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AB7935A"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w:t>
            </w:r>
            <w:r w:rsidR="00311E24" w:rsidRPr="008C761D">
              <w:rPr>
                <w:rFonts w:ascii="Arial" w:eastAsia="Times New Roman" w:hAnsi="Arial" w:cs="Arial"/>
                <w:b/>
                <w:bCs/>
                <w:sz w:val="12"/>
                <w:szCs w:val="12"/>
                <w:lang w:val="en-US" w:eastAsia="mk-MK"/>
              </w:rPr>
              <w:t>2</w:t>
            </w:r>
          </w:p>
        </w:tc>
        <w:tc>
          <w:tcPr>
            <w:tcW w:w="1644" w:type="dxa"/>
            <w:gridSpan w:val="3"/>
            <w:shd w:val="clear" w:color="000000" w:fill="9BD2ED"/>
            <w:vAlign w:val="center"/>
            <w:hideMark/>
          </w:tcPr>
          <w:p w14:paraId="7F9CD12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11E24" w:rsidRPr="008C761D">
              <w:rPr>
                <w:rFonts w:ascii="Arial" w:eastAsia="Times New Roman" w:hAnsi="Arial" w:cs="Arial"/>
                <w:b/>
                <w:bCs/>
                <w:sz w:val="12"/>
                <w:szCs w:val="12"/>
                <w:lang w:val="en-US" w:eastAsia="mk-MK"/>
              </w:rPr>
              <w:t>4</w:t>
            </w:r>
          </w:p>
        </w:tc>
        <w:tc>
          <w:tcPr>
            <w:tcW w:w="1758" w:type="dxa"/>
            <w:gridSpan w:val="2"/>
            <w:shd w:val="clear" w:color="000000" w:fill="9BD2ED"/>
            <w:vAlign w:val="center"/>
            <w:hideMark/>
          </w:tcPr>
          <w:p w14:paraId="3E11208F"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11E24" w:rsidRPr="008C761D">
              <w:rPr>
                <w:rFonts w:ascii="Arial" w:eastAsia="Times New Roman" w:hAnsi="Arial" w:cs="Arial"/>
                <w:b/>
                <w:bCs/>
                <w:sz w:val="12"/>
                <w:szCs w:val="12"/>
                <w:lang w:val="en-US" w:eastAsia="mk-MK"/>
              </w:rPr>
              <w:t>5</w:t>
            </w:r>
          </w:p>
        </w:tc>
        <w:tc>
          <w:tcPr>
            <w:tcW w:w="1842" w:type="dxa"/>
            <w:gridSpan w:val="3"/>
            <w:shd w:val="clear" w:color="000000" w:fill="9BD2ED"/>
            <w:vAlign w:val="center"/>
            <w:hideMark/>
          </w:tcPr>
          <w:p w14:paraId="321AE1CC" w14:textId="77777777" w:rsidR="00485BAA" w:rsidRPr="008C761D" w:rsidRDefault="00485BAA" w:rsidP="00485BA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11E24" w:rsidRPr="008C761D">
              <w:rPr>
                <w:rFonts w:ascii="Arial" w:eastAsia="Times New Roman" w:hAnsi="Arial" w:cs="Arial"/>
                <w:b/>
                <w:bCs/>
                <w:sz w:val="12"/>
                <w:szCs w:val="12"/>
                <w:lang w:val="en-US" w:eastAsia="mk-MK"/>
              </w:rPr>
              <w:t>6</w:t>
            </w:r>
          </w:p>
        </w:tc>
        <w:tc>
          <w:tcPr>
            <w:tcW w:w="1506" w:type="dxa"/>
            <w:gridSpan w:val="3"/>
            <w:shd w:val="clear" w:color="000000" w:fill="9BD2ED"/>
            <w:vAlign w:val="center"/>
            <w:hideMark/>
          </w:tcPr>
          <w:p w14:paraId="4C550C66"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w:t>
            </w:r>
            <w:r w:rsidR="00311E24" w:rsidRPr="008C761D">
              <w:rPr>
                <w:rFonts w:ascii="Arial" w:eastAsia="Times New Roman" w:hAnsi="Arial" w:cs="Arial"/>
                <w:b/>
                <w:bCs/>
                <w:sz w:val="12"/>
                <w:szCs w:val="12"/>
                <w:lang w:val="en-US" w:eastAsia="mk-MK"/>
              </w:rPr>
              <w:t>7</w:t>
            </w:r>
          </w:p>
        </w:tc>
      </w:tr>
      <w:tr w:rsidR="00485BAA" w:rsidRPr="008C761D" w14:paraId="753C01FE" w14:textId="77777777" w:rsidTr="003F623B">
        <w:trPr>
          <w:gridBefore w:val="1"/>
          <w:gridAfter w:val="1"/>
          <w:wBefore w:w="17" w:type="dxa"/>
          <w:wAfter w:w="180" w:type="dxa"/>
          <w:trHeight w:val="673"/>
          <w:jc w:val="center"/>
        </w:trPr>
        <w:tc>
          <w:tcPr>
            <w:tcW w:w="1288" w:type="dxa"/>
            <w:gridSpan w:val="3"/>
            <w:tcBorders>
              <w:top w:val="nil"/>
              <w:left w:val="nil"/>
              <w:bottom w:val="nil"/>
              <w:right w:val="nil"/>
            </w:tcBorders>
            <w:shd w:val="clear" w:color="auto" w:fill="auto"/>
            <w:noWrap/>
            <w:vAlign w:val="bottom"/>
            <w:hideMark/>
          </w:tcPr>
          <w:p w14:paraId="516E8253"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178A831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37D3FA7F" w14:textId="5961239A" w:rsidR="00485BAA" w:rsidRPr="008C761D" w:rsidRDefault="00D629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law on financing of local self-government units</w:t>
            </w:r>
          </w:p>
        </w:tc>
        <w:tc>
          <w:tcPr>
            <w:tcW w:w="1194" w:type="dxa"/>
            <w:gridSpan w:val="3"/>
            <w:shd w:val="clear" w:color="000000" w:fill="FFFF99"/>
            <w:vAlign w:val="center"/>
            <w:hideMark/>
          </w:tcPr>
          <w:p w14:paraId="5A3DBE9D" w14:textId="6339F48E" w:rsidR="00485BAA" w:rsidRPr="008C761D" w:rsidRDefault="00D629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Budget and Funds Department</w:t>
            </w:r>
          </w:p>
        </w:tc>
        <w:tc>
          <w:tcPr>
            <w:tcW w:w="1418" w:type="dxa"/>
            <w:gridSpan w:val="2"/>
            <w:shd w:val="clear" w:color="000000" w:fill="FFFF99"/>
            <w:vAlign w:val="center"/>
            <w:hideMark/>
          </w:tcPr>
          <w:p w14:paraId="27CFA69A" w14:textId="77777777" w:rsidR="00D629D0" w:rsidRPr="008C761D" w:rsidRDefault="00D629D0" w:rsidP="00D629D0">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Law on Financing of Local Self-Government Units </w:t>
            </w:r>
          </w:p>
          <w:p w14:paraId="12BB2AA4" w14:textId="2275B7DD"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644" w:type="dxa"/>
            <w:gridSpan w:val="3"/>
            <w:shd w:val="clear" w:color="000000" w:fill="FFFF99"/>
            <w:vAlign w:val="center"/>
            <w:hideMark/>
          </w:tcPr>
          <w:p w14:paraId="315F8C47" w14:textId="72A6F440" w:rsidR="00485BAA" w:rsidRPr="008C761D" w:rsidRDefault="00D629D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law on financing of local self-government units</w:t>
            </w:r>
          </w:p>
        </w:tc>
        <w:tc>
          <w:tcPr>
            <w:tcW w:w="1758" w:type="dxa"/>
            <w:gridSpan w:val="2"/>
            <w:shd w:val="clear" w:color="000000" w:fill="FFFF99"/>
            <w:vAlign w:val="center"/>
            <w:hideMark/>
          </w:tcPr>
          <w:p w14:paraId="39954A33" w14:textId="191B5741"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F4C482A" w14:textId="48EF1468" w:rsidR="00485BAA"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1C795198"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r>
      <w:tr w:rsidR="00FE7E4E" w:rsidRPr="008C761D" w14:paraId="36836F06" w14:textId="77777777" w:rsidTr="003F623B">
        <w:trPr>
          <w:gridBefore w:val="1"/>
          <w:gridAfter w:val="1"/>
          <w:wBefore w:w="17" w:type="dxa"/>
          <w:wAfter w:w="180" w:type="dxa"/>
          <w:trHeight w:val="700"/>
          <w:jc w:val="center"/>
        </w:trPr>
        <w:tc>
          <w:tcPr>
            <w:tcW w:w="1288" w:type="dxa"/>
            <w:gridSpan w:val="3"/>
            <w:tcBorders>
              <w:top w:val="nil"/>
              <w:left w:val="nil"/>
              <w:bottom w:val="nil"/>
              <w:right w:val="nil"/>
            </w:tcBorders>
            <w:shd w:val="clear" w:color="auto" w:fill="auto"/>
            <w:noWrap/>
            <w:vAlign w:val="bottom"/>
          </w:tcPr>
          <w:p w14:paraId="1A255BF2" w14:textId="77777777" w:rsidR="00FE7E4E" w:rsidRPr="008C761D" w:rsidRDefault="00FE7E4E"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tcPr>
          <w:p w14:paraId="26451155" w14:textId="77777777" w:rsidR="00FE7E4E" w:rsidRPr="008C761D" w:rsidRDefault="00FE7E4E"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42B6A91E" w14:textId="37B11A81" w:rsidR="00FE7E4E"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By-laws of the new Law on financing of local self-government units</w:t>
            </w:r>
          </w:p>
        </w:tc>
        <w:tc>
          <w:tcPr>
            <w:tcW w:w="1194" w:type="dxa"/>
            <w:gridSpan w:val="3"/>
            <w:shd w:val="clear" w:color="000000" w:fill="FFFF99"/>
            <w:vAlign w:val="center"/>
          </w:tcPr>
          <w:p w14:paraId="7482C96C" w14:textId="54A8AE15" w:rsidR="00FE7E4E"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Tax and Customs Policy Department</w:t>
            </w:r>
          </w:p>
        </w:tc>
        <w:tc>
          <w:tcPr>
            <w:tcW w:w="1418" w:type="dxa"/>
            <w:gridSpan w:val="2"/>
            <w:shd w:val="clear" w:color="000000" w:fill="FFFF99"/>
            <w:vAlign w:val="center"/>
          </w:tcPr>
          <w:p w14:paraId="58763928" w14:textId="19B8C46A" w:rsidR="00FE7E4E" w:rsidRPr="008C761D" w:rsidRDefault="00FE7E4E" w:rsidP="00FE7E4E">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Law</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Local</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Self-Government</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Units</w:t>
            </w:r>
          </w:p>
          <w:p w14:paraId="4A7B965D" w14:textId="77777777" w:rsidR="00FE7E4E" w:rsidRPr="008C761D" w:rsidRDefault="00FE7E4E" w:rsidP="00FE7E4E">
            <w:pPr>
              <w:spacing w:after="0" w:line="240" w:lineRule="auto"/>
              <w:jc w:val="center"/>
              <w:rPr>
                <w:rFonts w:ascii="Arial" w:eastAsia="Times New Roman" w:hAnsi="Arial" w:cs="Arial"/>
                <w:sz w:val="12"/>
                <w:szCs w:val="12"/>
                <w:lang w:val="en-US" w:eastAsia="mk-MK"/>
              </w:rPr>
            </w:pPr>
          </w:p>
        </w:tc>
        <w:tc>
          <w:tcPr>
            <w:tcW w:w="1644" w:type="dxa"/>
            <w:gridSpan w:val="3"/>
            <w:shd w:val="clear" w:color="000000" w:fill="FFFF99"/>
            <w:vAlign w:val="center"/>
          </w:tcPr>
          <w:p w14:paraId="024437AB" w14:textId="77777777" w:rsidR="00FE7E4E"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 of by- laws</w:t>
            </w:r>
          </w:p>
        </w:tc>
        <w:tc>
          <w:tcPr>
            <w:tcW w:w="1758" w:type="dxa"/>
            <w:gridSpan w:val="2"/>
            <w:shd w:val="clear" w:color="000000" w:fill="FFFF99"/>
            <w:vAlign w:val="center"/>
          </w:tcPr>
          <w:p w14:paraId="0E185259" w14:textId="77777777" w:rsidR="00FE7E4E" w:rsidRPr="008C761D" w:rsidDel="00FE7E4E"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 of by- laws</w:t>
            </w:r>
          </w:p>
        </w:tc>
        <w:tc>
          <w:tcPr>
            <w:tcW w:w="1842" w:type="dxa"/>
            <w:gridSpan w:val="3"/>
            <w:shd w:val="clear" w:color="000000" w:fill="FFFF99"/>
            <w:vAlign w:val="center"/>
          </w:tcPr>
          <w:p w14:paraId="561BCECA" w14:textId="77777777" w:rsidR="00FE7E4E" w:rsidRPr="008C761D" w:rsidDel="00FE7E4E"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03D8FD8B" w14:textId="77777777" w:rsidR="00FE7E4E" w:rsidRPr="008C761D" w:rsidRDefault="00FE7E4E"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r>
      <w:tr w:rsidR="00485BAA" w:rsidRPr="008C761D" w14:paraId="4DC0089E" w14:textId="77777777" w:rsidTr="003F623B">
        <w:trPr>
          <w:gridBefore w:val="1"/>
          <w:gridAfter w:val="1"/>
          <w:wBefore w:w="17" w:type="dxa"/>
          <w:wAfter w:w="180" w:type="dxa"/>
          <w:trHeight w:val="685"/>
          <w:jc w:val="center"/>
        </w:trPr>
        <w:tc>
          <w:tcPr>
            <w:tcW w:w="1288" w:type="dxa"/>
            <w:gridSpan w:val="3"/>
            <w:tcBorders>
              <w:top w:val="nil"/>
              <w:left w:val="nil"/>
              <w:bottom w:val="nil"/>
              <w:right w:val="nil"/>
            </w:tcBorders>
            <w:shd w:val="clear" w:color="auto" w:fill="auto"/>
            <w:noWrap/>
            <w:vAlign w:val="bottom"/>
            <w:hideMark/>
          </w:tcPr>
          <w:p w14:paraId="6B47157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21105439"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0A7BD345" w14:textId="48D2184C"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Revised</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Property</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Tax</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p>
        </w:tc>
        <w:tc>
          <w:tcPr>
            <w:tcW w:w="1194" w:type="dxa"/>
            <w:gridSpan w:val="3"/>
            <w:shd w:val="clear" w:color="000000" w:fill="FFFF99"/>
            <w:vAlign w:val="center"/>
            <w:hideMark/>
          </w:tcPr>
          <w:p w14:paraId="4B64B942" w14:textId="24A8F782"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Tax and Customs Policy Department</w:t>
            </w:r>
          </w:p>
        </w:tc>
        <w:tc>
          <w:tcPr>
            <w:tcW w:w="1418" w:type="dxa"/>
            <w:gridSpan w:val="2"/>
            <w:shd w:val="clear" w:color="000000" w:fill="FFFF99"/>
            <w:vAlign w:val="center"/>
            <w:hideMark/>
          </w:tcPr>
          <w:p w14:paraId="722405D8" w14:textId="3EFAF8F8"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PropertyTax</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p>
        </w:tc>
        <w:tc>
          <w:tcPr>
            <w:tcW w:w="1644" w:type="dxa"/>
            <w:gridSpan w:val="3"/>
            <w:shd w:val="clear" w:color="000000" w:fill="FFFF99"/>
            <w:vAlign w:val="center"/>
            <w:hideMark/>
          </w:tcPr>
          <w:p w14:paraId="6B012CBF" w14:textId="6D2FBE1D" w:rsidR="00485BAA"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271E9034" w14:textId="77777777" w:rsidR="00485BAA" w:rsidRPr="008C761D" w:rsidRDefault="0035769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5A8ED542" w14:textId="3C9C2930" w:rsidR="00485BAA"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Amnedet</w:t>
            </w:r>
            <w:r w:rsidRPr="008C761D">
              <w:rPr>
                <w:rFonts w:ascii="Arial" w:eastAsia="Times New Roman" w:hAnsi="Arial" w:cs="Arial"/>
                <w:sz w:val="12"/>
                <w:szCs w:val="12"/>
                <w:lang w:val="en-US" w:eastAsia="mk-MK"/>
              </w:rPr>
              <w:t xml:space="preserve"> </w:t>
            </w:r>
            <w:r w:rsidR="00311E24" w:rsidRPr="008C761D">
              <w:rPr>
                <w:rFonts w:ascii="Arial" w:eastAsia="Times New Roman" w:hAnsi="Arial" w:cs="Arial"/>
                <w:sz w:val="12"/>
                <w:szCs w:val="12"/>
                <w:lang w:val="en-US" w:eastAsia="mk-MK"/>
              </w:rPr>
              <w:t>Property</w:t>
            </w:r>
            <w:r w:rsidR="00B74861" w:rsidRPr="008C761D">
              <w:rPr>
                <w:rFonts w:ascii="Arial" w:eastAsia="Times New Roman" w:hAnsi="Arial" w:cs="Arial"/>
                <w:sz w:val="12"/>
                <w:szCs w:val="12"/>
                <w:lang w:val="en-US" w:eastAsia="mk-MK"/>
              </w:rPr>
              <w:t xml:space="preserve"> </w:t>
            </w:r>
            <w:r w:rsidR="00311E24" w:rsidRPr="008C761D">
              <w:rPr>
                <w:rFonts w:ascii="Arial" w:eastAsia="Times New Roman" w:hAnsi="Arial" w:cs="Arial"/>
                <w:sz w:val="12"/>
                <w:szCs w:val="12"/>
                <w:lang w:val="en-US" w:eastAsia="mk-MK"/>
              </w:rPr>
              <w:t>Tax</w:t>
            </w:r>
            <w:r w:rsidR="00B74861" w:rsidRPr="008C761D">
              <w:rPr>
                <w:rFonts w:ascii="Arial" w:eastAsia="Times New Roman" w:hAnsi="Arial" w:cs="Arial"/>
                <w:sz w:val="12"/>
                <w:szCs w:val="12"/>
                <w:lang w:val="en-US" w:eastAsia="mk-MK"/>
              </w:rPr>
              <w:t xml:space="preserve"> </w:t>
            </w:r>
            <w:r w:rsidR="00311E24" w:rsidRPr="008C761D">
              <w:rPr>
                <w:rFonts w:ascii="Arial" w:eastAsia="Times New Roman" w:hAnsi="Arial" w:cs="Arial"/>
                <w:sz w:val="12"/>
                <w:szCs w:val="12"/>
                <w:lang w:val="en-US" w:eastAsia="mk-MK"/>
              </w:rPr>
              <w:t>Law</w:t>
            </w:r>
            <w:r w:rsidR="00B74861" w:rsidRPr="008C761D">
              <w:rPr>
                <w:rFonts w:ascii="Arial" w:eastAsia="Times New Roman" w:hAnsi="Arial" w:cs="Arial"/>
                <w:sz w:val="12"/>
                <w:szCs w:val="12"/>
                <w:lang w:val="en-US" w:eastAsia="mk-MK"/>
              </w:rPr>
              <w:t xml:space="preserve"> </w:t>
            </w:r>
            <w:r w:rsidR="00357694" w:rsidRPr="008C761D">
              <w:rPr>
                <w:rFonts w:ascii="Arial" w:eastAsia="Times New Roman" w:hAnsi="Arial" w:cs="Arial"/>
                <w:sz w:val="12"/>
                <w:szCs w:val="12"/>
                <w:lang w:val="en-US" w:eastAsia="mk-MK"/>
              </w:rPr>
              <w:t>/New By laws</w:t>
            </w:r>
          </w:p>
        </w:tc>
        <w:tc>
          <w:tcPr>
            <w:tcW w:w="1506" w:type="dxa"/>
            <w:gridSpan w:val="3"/>
            <w:shd w:val="clear" w:color="000000" w:fill="FFFF99"/>
            <w:vAlign w:val="center"/>
            <w:hideMark/>
          </w:tcPr>
          <w:p w14:paraId="349831EC" w14:textId="77777777" w:rsidR="00485BAA" w:rsidRPr="008C761D" w:rsidRDefault="0035769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continue</w:t>
            </w:r>
          </w:p>
        </w:tc>
      </w:tr>
      <w:tr w:rsidR="00485BAA" w:rsidRPr="008C761D" w14:paraId="37C31109" w14:textId="77777777" w:rsidTr="003F623B">
        <w:trPr>
          <w:gridBefore w:val="1"/>
          <w:gridAfter w:val="1"/>
          <w:wBefore w:w="17" w:type="dxa"/>
          <w:wAfter w:w="180" w:type="dxa"/>
          <w:trHeight w:val="538"/>
          <w:jc w:val="center"/>
        </w:trPr>
        <w:tc>
          <w:tcPr>
            <w:tcW w:w="1288" w:type="dxa"/>
            <w:gridSpan w:val="3"/>
            <w:tcBorders>
              <w:top w:val="nil"/>
              <w:left w:val="nil"/>
              <w:bottom w:val="nil"/>
              <w:right w:val="nil"/>
            </w:tcBorders>
            <w:shd w:val="clear" w:color="auto" w:fill="auto"/>
            <w:noWrap/>
            <w:vAlign w:val="bottom"/>
            <w:hideMark/>
          </w:tcPr>
          <w:p w14:paraId="5B178617"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30800164"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39C2156C" w14:textId="22F426BF" w:rsidR="00357694" w:rsidRPr="008C761D" w:rsidRDefault="00357694" w:rsidP="0035769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Revised</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communal</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fees</w:t>
            </w:r>
          </w:p>
          <w:p w14:paraId="65BC9DA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194" w:type="dxa"/>
            <w:gridSpan w:val="3"/>
            <w:shd w:val="clear" w:color="000000" w:fill="FFFF99"/>
            <w:vAlign w:val="center"/>
            <w:hideMark/>
          </w:tcPr>
          <w:p w14:paraId="0FF8420C" w14:textId="0D2A2AA2"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MoF - Tax and Customs Policy Department</w:t>
            </w:r>
          </w:p>
        </w:tc>
        <w:tc>
          <w:tcPr>
            <w:tcW w:w="1418" w:type="dxa"/>
            <w:gridSpan w:val="2"/>
            <w:shd w:val="clear" w:color="000000" w:fill="FFFF99"/>
            <w:vAlign w:val="center"/>
            <w:hideMark/>
          </w:tcPr>
          <w:p w14:paraId="420A72F1" w14:textId="7BB495F6" w:rsidR="00485BAA" w:rsidRPr="008C761D" w:rsidRDefault="0035769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Law</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communal</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fees</w:t>
            </w:r>
          </w:p>
        </w:tc>
        <w:tc>
          <w:tcPr>
            <w:tcW w:w="1644" w:type="dxa"/>
            <w:gridSpan w:val="3"/>
            <w:shd w:val="clear" w:color="000000" w:fill="FFFF99"/>
            <w:vAlign w:val="center"/>
            <w:hideMark/>
          </w:tcPr>
          <w:p w14:paraId="5F5D25F4" w14:textId="0473D3CB" w:rsidR="00485BAA" w:rsidRPr="008C761D" w:rsidRDefault="00FF1EE0" w:rsidP="008208F0">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hideMark/>
          </w:tcPr>
          <w:p w14:paraId="1385FA21" w14:textId="6A90BDC1" w:rsidR="00485BAA"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842" w:type="dxa"/>
            <w:gridSpan w:val="3"/>
            <w:shd w:val="clear" w:color="000000" w:fill="FFFF99"/>
            <w:vAlign w:val="center"/>
            <w:hideMark/>
          </w:tcPr>
          <w:p w14:paraId="15D97A77" w14:textId="47FAF529" w:rsidR="00485BAA"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Amended Law on Communal Fees</w:t>
            </w:r>
          </w:p>
        </w:tc>
        <w:tc>
          <w:tcPr>
            <w:tcW w:w="1506" w:type="dxa"/>
            <w:gridSpan w:val="3"/>
            <w:shd w:val="clear" w:color="000000" w:fill="FFFF99"/>
            <w:vAlign w:val="center"/>
            <w:hideMark/>
          </w:tcPr>
          <w:p w14:paraId="533BDCBA" w14:textId="775016B8" w:rsidR="00357694" w:rsidRPr="008C761D" w:rsidRDefault="00357694" w:rsidP="00357694">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Modified</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communal fees-2026</w:t>
            </w:r>
          </w:p>
          <w:p w14:paraId="3A8FBFE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357694" w:rsidRPr="008C761D" w14:paraId="6892E8D6" w14:textId="77777777" w:rsidTr="003F623B">
        <w:trPr>
          <w:gridBefore w:val="1"/>
          <w:gridAfter w:val="1"/>
          <w:wBefore w:w="17" w:type="dxa"/>
          <w:wAfter w:w="180" w:type="dxa"/>
          <w:trHeight w:val="538"/>
          <w:jc w:val="center"/>
        </w:trPr>
        <w:tc>
          <w:tcPr>
            <w:tcW w:w="1288" w:type="dxa"/>
            <w:gridSpan w:val="3"/>
            <w:tcBorders>
              <w:top w:val="nil"/>
              <w:left w:val="nil"/>
              <w:bottom w:val="nil"/>
              <w:right w:val="nil"/>
            </w:tcBorders>
            <w:shd w:val="clear" w:color="auto" w:fill="auto"/>
            <w:noWrap/>
            <w:vAlign w:val="bottom"/>
          </w:tcPr>
          <w:p w14:paraId="51715E9C" w14:textId="77777777" w:rsidR="00357694" w:rsidRPr="008C761D" w:rsidRDefault="00357694"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tcPr>
          <w:p w14:paraId="0547666F" w14:textId="77777777" w:rsidR="00357694" w:rsidRPr="008C761D" w:rsidRDefault="00357694" w:rsidP="00485BAA">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1F31690C" w14:textId="38AEB4CA" w:rsidR="00357694" w:rsidRPr="008C761D" w:rsidRDefault="00FF1EE0" w:rsidP="00485BAA">
            <w:pPr>
              <w:spacing w:after="0" w:line="240" w:lineRule="auto"/>
              <w:jc w:val="center"/>
              <w:rPr>
                <w:rFonts w:ascii="Arial" w:eastAsia="Times New Roman" w:hAnsi="Arial" w:cs="Arial"/>
                <w:sz w:val="12"/>
                <w:szCs w:val="12"/>
                <w:lang w:val="en-US" w:eastAsia="mk-MK"/>
              </w:rPr>
            </w:pPr>
            <w:r w:rsidRPr="004256BE">
              <w:rPr>
                <w:rFonts w:ascii="Arial" w:eastAsia="Times New Roman" w:hAnsi="Arial" w:cs="Arial"/>
                <w:sz w:val="12"/>
                <w:szCs w:val="12"/>
                <w:lang w:val="en-US" w:eastAsia="mk-MK"/>
              </w:rPr>
              <w:t>Prepared analysis of other laws regulating municipal own revenues</w:t>
            </w:r>
          </w:p>
        </w:tc>
        <w:tc>
          <w:tcPr>
            <w:tcW w:w="1194" w:type="dxa"/>
            <w:gridSpan w:val="3"/>
            <w:shd w:val="clear" w:color="000000" w:fill="FFFF99"/>
            <w:vAlign w:val="center"/>
          </w:tcPr>
          <w:p w14:paraId="4597B817" w14:textId="305AD775" w:rsidR="00357694" w:rsidRPr="008C761D" w:rsidRDefault="00FF1EE0"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MoF – Tax and Customs Policy </w:t>
            </w:r>
            <w:r w:rsidR="00357694" w:rsidRPr="008C761D">
              <w:rPr>
                <w:rFonts w:ascii="Arial" w:eastAsia="Times New Roman" w:hAnsi="Arial" w:cs="Arial"/>
                <w:sz w:val="12"/>
                <w:szCs w:val="12"/>
                <w:lang w:val="en-US" w:eastAsia="mk-MK"/>
              </w:rPr>
              <w:t>Department</w:t>
            </w:r>
          </w:p>
        </w:tc>
        <w:tc>
          <w:tcPr>
            <w:tcW w:w="1418" w:type="dxa"/>
            <w:gridSpan w:val="2"/>
            <w:shd w:val="clear" w:color="000000" w:fill="FFFF99"/>
            <w:vAlign w:val="center"/>
          </w:tcPr>
          <w:p w14:paraId="687E362D" w14:textId="28087E9E" w:rsidR="00357694"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Various laws in this domain</w:t>
            </w:r>
          </w:p>
        </w:tc>
        <w:tc>
          <w:tcPr>
            <w:tcW w:w="1644" w:type="dxa"/>
            <w:gridSpan w:val="3"/>
            <w:shd w:val="clear" w:color="000000" w:fill="FFFF99"/>
            <w:vAlign w:val="center"/>
          </w:tcPr>
          <w:p w14:paraId="4CF144CC" w14:textId="7D5EF863" w:rsidR="00357694" w:rsidRPr="008C761D" w:rsidRDefault="00407B01"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c>
          <w:tcPr>
            <w:tcW w:w="1758" w:type="dxa"/>
            <w:gridSpan w:val="2"/>
            <w:shd w:val="clear" w:color="000000" w:fill="FFFF99"/>
            <w:vAlign w:val="center"/>
          </w:tcPr>
          <w:p w14:paraId="5EE927E4" w14:textId="77777777" w:rsidR="00357694" w:rsidRPr="008C761D" w:rsidRDefault="00357694"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tc>
        <w:tc>
          <w:tcPr>
            <w:tcW w:w="1842" w:type="dxa"/>
            <w:gridSpan w:val="3"/>
            <w:shd w:val="clear" w:color="000000" w:fill="FFFF99"/>
            <w:vAlign w:val="center"/>
          </w:tcPr>
          <w:p w14:paraId="31AC313E" w14:textId="185DF71D" w:rsidR="00357694"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1</w:t>
            </w:r>
          </w:p>
        </w:tc>
        <w:tc>
          <w:tcPr>
            <w:tcW w:w="1506" w:type="dxa"/>
            <w:gridSpan w:val="3"/>
            <w:shd w:val="clear" w:color="000000" w:fill="FFFF99"/>
            <w:vAlign w:val="center"/>
          </w:tcPr>
          <w:p w14:paraId="35E9E214" w14:textId="67DDC1C4" w:rsidR="00357694" w:rsidRPr="008C761D" w:rsidRDefault="00FF1EE0"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1</w:t>
            </w:r>
          </w:p>
        </w:tc>
      </w:tr>
      <w:tr w:rsidR="00485BAA" w:rsidRPr="008C761D" w14:paraId="683EBFE2" w14:textId="77777777" w:rsidTr="003F623B">
        <w:trPr>
          <w:gridBefore w:val="1"/>
          <w:gridAfter w:val="1"/>
          <w:wBefore w:w="17" w:type="dxa"/>
          <w:wAfter w:w="180" w:type="dxa"/>
          <w:trHeight w:val="2194"/>
          <w:jc w:val="center"/>
        </w:trPr>
        <w:tc>
          <w:tcPr>
            <w:tcW w:w="1288" w:type="dxa"/>
            <w:gridSpan w:val="3"/>
            <w:tcBorders>
              <w:top w:val="nil"/>
              <w:left w:val="nil"/>
              <w:bottom w:val="nil"/>
              <w:right w:val="nil"/>
            </w:tcBorders>
            <w:shd w:val="clear" w:color="auto" w:fill="auto"/>
            <w:noWrap/>
            <w:vAlign w:val="bottom"/>
            <w:hideMark/>
          </w:tcPr>
          <w:p w14:paraId="66FB5632"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5326B10D"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0E63275A" w14:textId="7F2A5422"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revised decrees on block grants, earmarked grant and New Decree/s for distribution of capital grants</w:t>
            </w:r>
          </w:p>
        </w:tc>
        <w:tc>
          <w:tcPr>
            <w:tcW w:w="1194" w:type="dxa"/>
            <w:gridSpan w:val="3"/>
            <w:shd w:val="clear" w:color="000000" w:fill="FFFF99"/>
            <w:hideMark/>
          </w:tcPr>
          <w:p w14:paraId="0CE96331" w14:textId="3E635D60" w:rsidR="00485BAA" w:rsidRPr="008C761D" w:rsidRDefault="00B74861" w:rsidP="00E5098B">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MF - Budget and Funds</w:t>
            </w:r>
            <w:r w:rsidR="00E5098B">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Department,</w:t>
            </w:r>
            <w:r w:rsidRPr="008C761D">
              <w:rPr>
                <w:rFonts w:ascii="Arial" w:eastAsia="Times New Roman" w:hAnsi="Arial" w:cs="Arial"/>
                <w:sz w:val="12"/>
                <w:szCs w:val="12"/>
                <w:lang w:val="en-US" w:eastAsia="mk-MK"/>
              </w:rPr>
              <w:br/>
              <w:t>Ministry of education and science,</w:t>
            </w:r>
            <w:r w:rsidRPr="008C761D">
              <w:rPr>
                <w:rFonts w:ascii="Arial" w:eastAsia="Times New Roman" w:hAnsi="Arial" w:cs="Arial"/>
                <w:sz w:val="12"/>
                <w:szCs w:val="12"/>
                <w:lang w:val="en-US" w:eastAsia="mk-MK"/>
              </w:rPr>
              <w:br/>
              <w:t>Ministry of labor and social policy,</w:t>
            </w:r>
            <w:r w:rsidRPr="008C761D">
              <w:rPr>
                <w:rFonts w:ascii="Arial" w:eastAsia="Times New Roman" w:hAnsi="Arial" w:cs="Arial"/>
                <w:sz w:val="12"/>
                <w:szCs w:val="12"/>
                <w:lang w:val="en-US" w:eastAsia="mk-MK"/>
              </w:rPr>
              <w:br/>
              <w:t>Ministry of culture, Ministry of defense, Other competent ministries and institutions from where capital grants are transferred</w:t>
            </w:r>
          </w:p>
        </w:tc>
        <w:tc>
          <w:tcPr>
            <w:tcW w:w="1418" w:type="dxa"/>
            <w:gridSpan w:val="2"/>
            <w:shd w:val="clear" w:color="000000" w:fill="FFFF99"/>
            <w:vAlign w:val="center"/>
            <w:hideMark/>
          </w:tcPr>
          <w:p w14:paraId="708F0AD1" w14:textId="48AB3C00"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Existing decrees</w:t>
            </w:r>
            <w:r w:rsidRPr="008C761D">
              <w:rPr>
                <w:rFonts w:ascii="Arial" w:eastAsia="Times New Roman" w:hAnsi="Arial" w:cs="Arial"/>
                <w:sz w:val="12"/>
                <w:szCs w:val="12"/>
                <w:lang w:val="en-US" w:eastAsia="mk-MK"/>
              </w:rPr>
              <w:br/>
              <w:t xml:space="preserve"> for block grants and earmarked grant</w:t>
            </w:r>
          </w:p>
        </w:tc>
        <w:tc>
          <w:tcPr>
            <w:tcW w:w="1644" w:type="dxa"/>
            <w:gridSpan w:val="3"/>
            <w:shd w:val="clear" w:color="000000" w:fill="FFFF99"/>
            <w:vAlign w:val="center"/>
            <w:hideMark/>
          </w:tcPr>
          <w:p w14:paraId="3A9EE0B9" w14:textId="17C8C5A2"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Two new decrees for block grants</w:t>
            </w:r>
          </w:p>
        </w:tc>
        <w:tc>
          <w:tcPr>
            <w:tcW w:w="1758" w:type="dxa"/>
            <w:gridSpan w:val="2"/>
            <w:shd w:val="clear" w:color="000000" w:fill="FFFF99"/>
            <w:vAlign w:val="center"/>
            <w:hideMark/>
          </w:tcPr>
          <w:p w14:paraId="7C1FE927" w14:textId="7D32E6DB"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Decree on distribution of grant for firefighters and Two new decrees for block grants</w:t>
            </w:r>
          </w:p>
        </w:tc>
        <w:tc>
          <w:tcPr>
            <w:tcW w:w="1842" w:type="dxa"/>
            <w:gridSpan w:val="3"/>
            <w:shd w:val="clear" w:color="000000" w:fill="FFFF99"/>
            <w:vAlign w:val="center"/>
            <w:hideMark/>
          </w:tcPr>
          <w:p w14:paraId="6F40761A" w14:textId="07F05C44"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One new decree for block and one Decree of capital grants</w:t>
            </w:r>
          </w:p>
        </w:tc>
        <w:tc>
          <w:tcPr>
            <w:tcW w:w="1506" w:type="dxa"/>
            <w:gridSpan w:val="3"/>
            <w:shd w:val="clear" w:color="000000" w:fill="FFFF99"/>
            <w:vAlign w:val="center"/>
            <w:hideMark/>
          </w:tcPr>
          <w:p w14:paraId="16FFA3E2" w14:textId="21683BB5" w:rsidR="00485BAA" w:rsidRPr="008C761D" w:rsidRDefault="00B74861"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Two new decrees for capital grants</w:t>
            </w:r>
          </w:p>
        </w:tc>
      </w:tr>
      <w:tr w:rsidR="00485BAA" w:rsidRPr="008C761D" w14:paraId="5763B6D3" w14:textId="77777777" w:rsidTr="003F623B">
        <w:trPr>
          <w:gridBefore w:val="1"/>
          <w:gridAfter w:val="1"/>
          <w:wBefore w:w="17" w:type="dxa"/>
          <w:wAfter w:w="180" w:type="dxa"/>
          <w:trHeight w:val="315"/>
          <w:jc w:val="center"/>
        </w:trPr>
        <w:tc>
          <w:tcPr>
            <w:tcW w:w="1288" w:type="dxa"/>
            <w:gridSpan w:val="3"/>
            <w:tcBorders>
              <w:top w:val="nil"/>
              <w:left w:val="nil"/>
              <w:bottom w:val="nil"/>
              <w:right w:val="nil"/>
            </w:tcBorders>
            <w:shd w:val="clear" w:color="auto" w:fill="auto"/>
            <w:noWrap/>
            <w:vAlign w:val="bottom"/>
            <w:hideMark/>
          </w:tcPr>
          <w:p w14:paraId="4A543670"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1BB951C3"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2F826EF9"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39E804B9" w14:textId="388FBE42"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150A04E0" w14:textId="5D9C9C69"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3C69CCC8" w14:textId="008A885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41E1F277"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141FA8F5" w14:textId="19919194"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1DA17DCC"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485BAA" w:rsidRPr="008C761D" w14:paraId="2C5A5CC8" w14:textId="77777777" w:rsidTr="003F623B">
        <w:trPr>
          <w:gridBefore w:val="1"/>
          <w:gridAfter w:val="1"/>
          <w:wBefore w:w="17" w:type="dxa"/>
          <w:wAfter w:w="180" w:type="dxa"/>
          <w:trHeight w:val="1222"/>
          <w:jc w:val="center"/>
        </w:trPr>
        <w:tc>
          <w:tcPr>
            <w:tcW w:w="1288" w:type="dxa"/>
            <w:gridSpan w:val="3"/>
            <w:tcBorders>
              <w:top w:val="nil"/>
              <w:left w:val="nil"/>
              <w:bottom w:val="nil"/>
              <w:right w:val="nil"/>
            </w:tcBorders>
            <w:shd w:val="clear" w:color="auto" w:fill="auto"/>
            <w:noWrap/>
            <w:vAlign w:val="bottom"/>
            <w:hideMark/>
          </w:tcPr>
          <w:p w14:paraId="2769B3F1" w14:textId="77777777" w:rsidR="00485BAA" w:rsidRPr="008C761D" w:rsidRDefault="00485BAA" w:rsidP="00485BAA">
            <w:pPr>
              <w:spacing w:after="0" w:line="240" w:lineRule="auto"/>
              <w:jc w:val="center"/>
              <w:rPr>
                <w:rFonts w:ascii="Arial" w:eastAsia="Times New Roman" w:hAnsi="Arial" w:cs="Arial"/>
                <w:b/>
                <w:bCs/>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1D28DE9F" w14:textId="77777777"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FFFF99"/>
            <w:vAlign w:val="center"/>
            <w:hideMark/>
          </w:tcPr>
          <w:p w14:paraId="43F14AD6" w14:textId="7EE8C71E" w:rsidR="00485BAA" w:rsidRPr="008C761D" w:rsidRDefault="00C20D18" w:rsidP="00485BA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Addoption</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 xml:space="preserve">of </w:t>
            </w:r>
            <w:proofErr w:type="gramStart"/>
            <w:r w:rsidRPr="008C761D">
              <w:rPr>
                <w:rFonts w:ascii="Arial" w:eastAsia="Times New Roman" w:hAnsi="Arial" w:cs="Arial"/>
                <w:sz w:val="12"/>
                <w:szCs w:val="12"/>
                <w:lang w:val="en-US" w:eastAsia="mk-MK"/>
              </w:rPr>
              <w:t>a  New</w:t>
            </w:r>
            <w:proofErr w:type="gramEnd"/>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Law</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on</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Financing</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Local</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Government</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Units</w:t>
            </w:r>
          </w:p>
        </w:tc>
        <w:tc>
          <w:tcPr>
            <w:tcW w:w="1194" w:type="dxa"/>
            <w:gridSpan w:val="3"/>
            <w:shd w:val="clear" w:color="000000" w:fill="FFFF99"/>
            <w:vAlign w:val="center"/>
            <w:hideMark/>
          </w:tcPr>
          <w:p w14:paraId="1AD0BBC0" w14:textId="7D56368E" w:rsidR="00485BAA" w:rsidRPr="008C761D" w:rsidRDefault="00485BAA"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357694" w:rsidRPr="008C761D">
              <w:rPr>
                <w:rFonts w:ascii="Arial" w:eastAsia="Times New Roman" w:hAnsi="Arial" w:cs="Arial"/>
                <w:sz w:val="12"/>
                <w:szCs w:val="12"/>
                <w:lang w:val="en-US" w:eastAsia="mk-MK"/>
              </w:rPr>
              <w:t>4</w:t>
            </w:r>
          </w:p>
        </w:tc>
        <w:tc>
          <w:tcPr>
            <w:tcW w:w="1418" w:type="dxa"/>
            <w:gridSpan w:val="2"/>
            <w:shd w:val="clear" w:color="000000" w:fill="FFFF99"/>
            <w:vAlign w:val="center"/>
            <w:hideMark/>
          </w:tcPr>
          <w:p w14:paraId="54BF7D94" w14:textId="1EE73256" w:rsidR="00485BAA" w:rsidRPr="008C761D" w:rsidRDefault="00C20D1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sidR="00E97E20">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hideMark/>
          </w:tcPr>
          <w:p w14:paraId="514185E2"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MLS</w:t>
            </w:r>
          </w:p>
          <w:p w14:paraId="59BA1740"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531ADE85"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p w14:paraId="48D78037"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0E5E870A"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5B6F41EE"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p w14:paraId="5641233F" w14:textId="7EF5F773" w:rsidR="00485BAA"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UNDP</w:t>
            </w:r>
          </w:p>
        </w:tc>
        <w:tc>
          <w:tcPr>
            <w:tcW w:w="1758" w:type="dxa"/>
            <w:gridSpan w:val="2"/>
            <w:shd w:val="clear" w:color="000000" w:fill="FFFF99"/>
            <w:vAlign w:val="center"/>
            <w:hideMark/>
          </w:tcPr>
          <w:p w14:paraId="1BF21549" w14:textId="3D22F269" w:rsidR="00485BAA" w:rsidRPr="008C761D" w:rsidRDefault="00C20D18" w:rsidP="00485BA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485BAA" w:rsidRPr="008C761D">
              <w:rPr>
                <w:rFonts w:ascii="Arial" w:eastAsia="Times New Roman" w:hAnsi="Arial" w:cs="Arial"/>
                <w:sz w:val="12"/>
                <w:szCs w:val="12"/>
                <w:lang w:val="en-US" w:eastAsia="mk-MK"/>
              </w:rPr>
              <w:t xml:space="preserve">0,000 </w:t>
            </w:r>
          </w:p>
        </w:tc>
        <w:tc>
          <w:tcPr>
            <w:tcW w:w="1842" w:type="dxa"/>
            <w:gridSpan w:val="3"/>
            <w:shd w:val="clear" w:color="000000" w:fill="FFFF99"/>
            <w:vAlign w:val="center"/>
            <w:hideMark/>
          </w:tcPr>
          <w:p w14:paraId="4BAE2F60"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745C5927" w14:textId="0C234B5D" w:rsidR="00485BAA"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Donors</w:t>
            </w:r>
          </w:p>
        </w:tc>
        <w:tc>
          <w:tcPr>
            <w:tcW w:w="1506" w:type="dxa"/>
            <w:gridSpan w:val="3"/>
            <w:shd w:val="clear" w:color="000000" w:fill="FFFF99"/>
            <w:vAlign w:val="center"/>
            <w:hideMark/>
          </w:tcPr>
          <w:p w14:paraId="15D520DC" w14:textId="41384BE5" w:rsidR="00485BAA" w:rsidRPr="008C761D" w:rsidRDefault="00485BAA" w:rsidP="00485BAA">
            <w:pPr>
              <w:spacing w:after="0" w:line="240" w:lineRule="auto"/>
              <w:jc w:val="center"/>
              <w:rPr>
                <w:rFonts w:ascii="Arial" w:eastAsia="Times New Roman" w:hAnsi="Arial" w:cs="Arial"/>
                <w:sz w:val="12"/>
                <w:szCs w:val="12"/>
                <w:lang w:val="en-US" w:eastAsia="mk-MK"/>
              </w:rPr>
            </w:pPr>
          </w:p>
        </w:tc>
      </w:tr>
      <w:tr w:rsidR="00C20D18" w:rsidRPr="008C761D" w14:paraId="11893439" w14:textId="77777777" w:rsidTr="003F623B">
        <w:trPr>
          <w:gridBefore w:val="1"/>
          <w:gridAfter w:val="1"/>
          <w:wBefore w:w="17" w:type="dxa"/>
          <w:wAfter w:w="180" w:type="dxa"/>
          <w:trHeight w:val="1042"/>
          <w:jc w:val="center"/>
        </w:trPr>
        <w:tc>
          <w:tcPr>
            <w:tcW w:w="1288" w:type="dxa"/>
            <w:gridSpan w:val="3"/>
            <w:tcBorders>
              <w:top w:val="nil"/>
              <w:left w:val="nil"/>
              <w:bottom w:val="nil"/>
              <w:right w:val="nil"/>
            </w:tcBorders>
            <w:shd w:val="clear" w:color="auto" w:fill="auto"/>
            <w:noWrap/>
            <w:vAlign w:val="bottom"/>
            <w:hideMark/>
          </w:tcPr>
          <w:p w14:paraId="21A63BBA"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tc>
        <w:tc>
          <w:tcPr>
            <w:tcW w:w="1080" w:type="dxa"/>
            <w:gridSpan w:val="3"/>
            <w:tcBorders>
              <w:top w:val="nil"/>
              <w:left w:val="nil"/>
              <w:bottom w:val="nil"/>
              <w:right w:val="single" w:sz="8" w:space="0" w:color="000000"/>
            </w:tcBorders>
            <w:shd w:val="clear" w:color="auto" w:fill="auto"/>
            <w:noWrap/>
            <w:vAlign w:val="bottom"/>
            <w:hideMark/>
          </w:tcPr>
          <w:p w14:paraId="014E0499"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bottom w:val="single" w:sz="4" w:space="0" w:color="auto"/>
            </w:tcBorders>
            <w:shd w:val="clear" w:color="000000" w:fill="FFFF99"/>
            <w:vAlign w:val="center"/>
            <w:hideMark/>
          </w:tcPr>
          <w:p w14:paraId="291313A3" w14:textId="30E8798D" w:rsidR="00C20D18" w:rsidRPr="008C761D" w:rsidRDefault="00B74861"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2.Preparation of by-laws of the new Law on financing of local self-government units</w:t>
            </w:r>
          </w:p>
        </w:tc>
        <w:tc>
          <w:tcPr>
            <w:tcW w:w="1194" w:type="dxa"/>
            <w:gridSpan w:val="3"/>
            <w:tcBorders>
              <w:bottom w:val="single" w:sz="4" w:space="0" w:color="auto"/>
            </w:tcBorders>
            <w:shd w:val="clear" w:color="000000" w:fill="FFFF99"/>
            <w:vAlign w:val="center"/>
            <w:hideMark/>
          </w:tcPr>
          <w:p w14:paraId="5BE51494" w14:textId="4A24E0FD"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w:t>
            </w:r>
            <w:r w:rsidR="00586B41" w:rsidRPr="008C761D">
              <w:rPr>
                <w:rFonts w:ascii="Arial" w:eastAsia="Times New Roman" w:hAnsi="Arial" w:cs="Arial"/>
                <w:sz w:val="12"/>
                <w:szCs w:val="12"/>
                <w:lang w:val="en-US" w:eastAsia="mk-MK"/>
              </w:rPr>
              <w:t>5</w:t>
            </w:r>
          </w:p>
        </w:tc>
        <w:tc>
          <w:tcPr>
            <w:tcW w:w="1418" w:type="dxa"/>
            <w:gridSpan w:val="2"/>
            <w:tcBorders>
              <w:bottom w:val="single" w:sz="4" w:space="0" w:color="auto"/>
            </w:tcBorders>
            <w:shd w:val="clear" w:color="000000" w:fill="FFFF99"/>
            <w:vAlign w:val="center"/>
            <w:hideMark/>
          </w:tcPr>
          <w:p w14:paraId="7E53583A" w14:textId="1E23C114" w:rsidR="00C20D18" w:rsidRPr="008C761D" w:rsidRDefault="00E97E20"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hideMark/>
          </w:tcPr>
          <w:p w14:paraId="5E6CA526" w14:textId="77777777" w:rsidR="00C20D18" w:rsidRPr="008C761D" w:rsidRDefault="00C20D18" w:rsidP="00670CE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MLS</w:t>
            </w:r>
          </w:p>
          <w:p w14:paraId="09089B38" w14:textId="77777777" w:rsidR="00C20D18" w:rsidRPr="008C761D" w:rsidRDefault="00C20D18" w:rsidP="00670CE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Municipalities</w:t>
            </w:r>
          </w:p>
          <w:p w14:paraId="2A3762DA" w14:textId="77777777" w:rsidR="00C20D18" w:rsidRPr="008C761D" w:rsidRDefault="00C20D18" w:rsidP="00670CEC">
            <w:pPr>
              <w:spacing w:after="0" w:line="240" w:lineRule="auto"/>
              <w:jc w:val="center"/>
              <w:rPr>
                <w:rFonts w:ascii="Arial" w:eastAsia="Times New Roman" w:hAnsi="Arial" w:cs="Arial"/>
                <w:sz w:val="12"/>
                <w:szCs w:val="12"/>
                <w:lang w:val="en-US" w:eastAsia="mk-MK"/>
              </w:rPr>
            </w:pPr>
          </w:p>
          <w:p w14:paraId="29D7FED1" w14:textId="77777777" w:rsidR="00C20D18" w:rsidRPr="008C761D" w:rsidRDefault="00C20D18" w:rsidP="00670CE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5E57658D" w14:textId="77777777" w:rsidR="00C20D18" w:rsidRPr="008C761D" w:rsidRDefault="00C20D18" w:rsidP="00670CE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p w14:paraId="59DFB2F4" w14:textId="6F17D2EA" w:rsidR="00C20D18" w:rsidRPr="008C761D" w:rsidRDefault="00C20D18" w:rsidP="00670CE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UNDP</w:t>
            </w:r>
          </w:p>
        </w:tc>
        <w:tc>
          <w:tcPr>
            <w:tcW w:w="1758" w:type="dxa"/>
            <w:gridSpan w:val="2"/>
            <w:shd w:val="clear" w:color="000000" w:fill="FFFF99"/>
            <w:vAlign w:val="center"/>
            <w:hideMark/>
          </w:tcPr>
          <w:p w14:paraId="75E12795" w14:textId="00034749"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10,000 </w:t>
            </w:r>
          </w:p>
        </w:tc>
        <w:tc>
          <w:tcPr>
            <w:tcW w:w="1842" w:type="dxa"/>
            <w:gridSpan w:val="3"/>
            <w:shd w:val="clear" w:color="000000" w:fill="FFFF99"/>
            <w:vAlign w:val="center"/>
            <w:hideMark/>
          </w:tcPr>
          <w:p w14:paraId="1694EAA5"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69FA7D94" w14:textId="58F0E13A"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Donors</w:t>
            </w:r>
          </w:p>
        </w:tc>
        <w:tc>
          <w:tcPr>
            <w:tcW w:w="1506" w:type="dxa"/>
            <w:gridSpan w:val="3"/>
            <w:shd w:val="clear" w:color="000000" w:fill="FFFF99"/>
            <w:vAlign w:val="center"/>
            <w:hideMark/>
          </w:tcPr>
          <w:p w14:paraId="49B0751A" w14:textId="6859F591"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AA03A6" w:rsidRPr="008C761D" w14:paraId="2E8130B2" w14:textId="77777777" w:rsidTr="003F623B">
        <w:trPr>
          <w:gridBefore w:val="1"/>
          <w:gridAfter w:val="1"/>
          <w:wBefore w:w="17" w:type="dxa"/>
          <w:wAfter w:w="180" w:type="dxa"/>
          <w:trHeight w:val="943"/>
          <w:jc w:val="center"/>
        </w:trPr>
        <w:tc>
          <w:tcPr>
            <w:tcW w:w="1288" w:type="dxa"/>
            <w:gridSpan w:val="3"/>
            <w:vMerge w:val="restart"/>
            <w:tcBorders>
              <w:top w:val="nil"/>
              <w:left w:val="nil"/>
              <w:bottom w:val="nil"/>
              <w:right w:val="nil"/>
            </w:tcBorders>
            <w:shd w:val="clear" w:color="auto" w:fill="auto"/>
            <w:noWrap/>
            <w:vAlign w:val="bottom"/>
          </w:tcPr>
          <w:p w14:paraId="57A53703"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tc>
        <w:tc>
          <w:tcPr>
            <w:tcW w:w="1080" w:type="dxa"/>
            <w:gridSpan w:val="3"/>
            <w:vMerge w:val="restart"/>
            <w:tcBorders>
              <w:top w:val="nil"/>
              <w:left w:val="nil"/>
              <w:bottom w:val="nil"/>
              <w:right w:val="single" w:sz="4" w:space="0" w:color="auto"/>
            </w:tcBorders>
            <w:shd w:val="clear" w:color="auto" w:fill="auto"/>
            <w:noWrap/>
            <w:vAlign w:val="bottom"/>
          </w:tcPr>
          <w:p w14:paraId="783C52CA" w14:textId="4F80E501"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3D411462" w14:textId="34C1689E" w:rsidR="00AA03A6" w:rsidRPr="008C761D" w:rsidRDefault="00AA03A6"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3.Improving the legal regulation for local revenues</w:t>
            </w:r>
          </w:p>
        </w:tc>
        <w:tc>
          <w:tcPr>
            <w:tcW w:w="1194"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04B7B6F7"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16F2E086" w14:textId="1DE00EC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tcBorders>
              <w:left w:val="single" w:sz="4" w:space="0" w:color="auto"/>
              <w:bottom w:val="single" w:sz="8" w:space="0" w:color="000000"/>
            </w:tcBorders>
            <w:shd w:val="clear" w:color="000000" w:fill="FFFF99"/>
          </w:tcPr>
          <w:p w14:paraId="7E9C3065"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p w14:paraId="48F989FA"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282F1C41"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325BBAB0"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p w14:paraId="0415B9F3"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UNDP</w:t>
            </w:r>
          </w:p>
        </w:tc>
        <w:tc>
          <w:tcPr>
            <w:tcW w:w="1758" w:type="dxa"/>
            <w:gridSpan w:val="2"/>
            <w:tcBorders>
              <w:bottom w:val="single" w:sz="8" w:space="0" w:color="000000"/>
            </w:tcBorders>
            <w:shd w:val="clear" w:color="000000" w:fill="FFFF99"/>
            <w:vAlign w:val="center"/>
          </w:tcPr>
          <w:p w14:paraId="508B41BE"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20.000</w:t>
            </w:r>
          </w:p>
        </w:tc>
        <w:tc>
          <w:tcPr>
            <w:tcW w:w="1842" w:type="dxa"/>
            <w:gridSpan w:val="3"/>
            <w:tcBorders>
              <w:bottom w:val="single" w:sz="8" w:space="0" w:color="000000"/>
            </w:tcBorders>
            <w:shd w:val="clear" w:color="000000" w:fill="FFFF99"/>
            <w:vAlign w:val="center"/>
          </w:tcPr>
          <w:p w14:paraId="29E01E3B"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15F48358"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USAID</w:t>
            </w:r>
          </w:p>
          <w:p w14:paraId="605F8C80"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4C9DF9EB"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UNDP</w:t>
            </w:r>
          </w:p>
        </w:tc>
        <w:tc>
          <w:tcPr>
            <w:tcW w:w="1506" w:type="dxa"/>
            <w:gridSpan w:val="3"/>
            <w:tcBorders>
              <w:bottom w:val="single" w:sz="8" w:space="0" w:color="000000"/>
            </w:tcBorders>
            <w:shd w:val="clear" w:color="000000" w:fill="FFFF99"/>
            <w:vAlign w:val="center"/>
          </w:tcPr>
          <w:p w14:paraId="63898A08" w14:textId="00CA34D8" w:rsidR="00AA03A6" w:rsidRPr="008C761D" w:rsidRDefault="00AA03A6" w:rsidP="00C20D18">
            <w:pPr>
              <w:spacing w:after="0" w:line="240" w:lineRule="auto"/>
              <w:jc w:val="center"/>
              <w:rPr>
                <w:rFonts w:ascii="Arial" w:eastAsia="Times New Roman" w:hAnsi="Arial" w:cs="Arial"/>
                <w:sz w:val="12"/>
                <w:szCs w:val="12"/>
                <w:lang w:val="en-US" w:eastAsia="mk-MK"/>
              </w:rPr>
            </w:pPr>
          </w:p>
        </w:tc>
      </w:tr>
      <w:tr w:rsidR="00AA03A6" w:rsidRPr="008C761D" w14:paraId="1520DB92" w14:textId="77777777" w:rsidTr="003F623B">
        <w:trPr>
          <w:gridBefore w:val="1"/>
          <w:gridAfter w:val="1"/>
          <w:wBefore w:w="17" w:type="dxa"/>
          <w:wAfter w:w="180" w:type="dxa"/>
          <w:trHeight w:val="520"/>
          <w:jc w:val="center"/>
        </w:trPr>
        <w:tc>
          <w:tcPr>
            <w:tcW w:w="1288" w:type="dxa"/>
            <w:gridSpan w:val="3"/>
            <w:vMerge/>
            <w:tcBorders>
              <w:top w:val="nil"/>
              <w:left w:val="nil"/>
              <w:bottom w:val="nil"/>
              <w:right w:val="nil"/>
            </w:tcBorders>
            <w:shd w:val="clear" w:color="auto" w:fill="auto"/>
            <w:noWrap/>
            <w:vAlign w:val="bottom"/>
            <w:hideMark/>
          </w:tcPr>
          <w:p w14:paraId="2D35E3B3"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tc>
        <w:tc>
          <w:tcPr>
            <w:tcW w:w="1080" w:type="dxa"/>
            <w:gridSpan w:val="3"/>
            <w:vMerge/>
            <w:tcBorders>
              <w:top w:val="nil"/>
              <w:left w:val="nil"/>
              <w:bottom w:val="nil"/>
              <w:right w:val="single" w:sz="4" w:space="0" w:color="auto"/>
            </w:tcBorders>
            <w:shd w:val="clear" w:color="auto" w:fill="auto"/>
            <w:noWrap/>
            <w:vAlign w:val="bottom"/>
            <w:hideMark/>
          </w:tcPr>
          <w:p w14:paraId="076D0500" w14:textId="2F3CEDF0" w:rsidR="00AA03A6" w:rsidRPr="008C761D" w:rsidRDefault="00AA03A6" w:rsidP="00C20D18">
            <w:pPr>
              <w:spacing w:after="0" w:line="240" w:lineRule="auto"/>
              <w:jc w:val="center"/>
              <w:rPr>
                <w:rFonts w:ascii="Arial" w:eastAsia="Times New Roman" w:hAnsi="Arial" w:cs="Arial"/>
                <w:sz w:val="12"/>
                <w:szCs w:val="12"/>
                <w:lang w:val="en-US" w:eastAsia="mk-MK"/>
              </w:rPr>
            </w:pPr>
          </w:p>
        </w:tc>
        <w:tc>
          <w:tcPr>
            <w:tcW w:w="1771"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7C658299" w14:textId="1E1F56CC" w:rsidR="00AA03A6" w:rsidRPr="008C761D" w:rsidRDefault="00AA03A6"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Revision of the criteria for distribution of block and earmarked grants and determination of criteria for allocation of capital grants</w:t>
            </w:r>
          </w:p>
        </w:tc>
        <w:tc>
          <w:tcPr>
            <w:tcW w:w="1194"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D503139"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4FADD13"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 of Finance</w:t>
            </w:r>
          </w:p>
          <w:p w14:paraId="66FFF5F8"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p>
          <w:p w14:paraId="048C23A8"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br w:type="page"/>
              <w:t>Ministry of Education and Science</w:t>
            </w:r>
          </w:p>
          <w:p w14:paraId="0F40A17A"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p>
          <w:p w14:paraId="3D7F76B3"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ype="page"/>
            </w:r>
            <w:r w:rsidRPr="008C761D">
              <w:rPr>
                <w:rFonts w:ascii="Arial" w:eastAsia="Times New Roman" w:hAnsi="Arial" w:cs="Arial"/>
                <w:sz w:val="12"/>
                <w:szCs w:val="12"/>
                <w:lang w:val="en-US" w:eastAsia="mk-MK"/>
              </w:rPr>
              <w:br w:type="page"/>
              <w:t>Ministry of Labor and Social Policy</w:t>
            </w:r>
          </w:p>
          <w:p w14:paraId="5DF97F67"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p>
          <w:p w14:paraId="47996C1B"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ype="page"/>
              <w:t>Ministry of Culture</w:t>
            </w:r>
            <w:r w:rsidRPr="008C761D">
              <w:rPr>
                <w:rFonts w:ascii="Arial" w:eastAsia="Times New Roman" w:hAnsi="Arial" w:cs="Arial"/>
                <w:sz w:val="12"/>
                <w:szCs w:val="12"/>
                <w:lang w:val="en-US" w:eastAsia="mk-MK"/>
              </w:rPr>
              <w:br w:type="page"/>
            </w:r>
          </w:p>
          <w:p w14:paraId="63D531E8"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p>
          <w:p w14:paraId="04E872EB"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 of Defense</w:t>
            </w:r>
          </w:p>
          <w:p w14:paraId="648D487B" w14:textId="77777777" w:rsidR="00AA03A6" w:rsidRPr="008C761D" w:rsidRDefault="00AA03A6" w:rsidP="00B74861">
            <w:pPr>
              <w:spacing w:after="0" w:line="240" w:lineRule="auto"/>
              <w:jc w:val="center"/>
              <w:rPr>
                <w:rFonts w:ascii="Arial" w:eastAsia="Times New Roman" w:hAnsi="Arial" w:cs="Arial"/>
                <w:sz w:val="12"/>
                <w:szCs w:val="12"/>
                <w:lang w:val="en-US" w:eastAsia="mk-MK"/>
              </w:rPr>
            </w:pPr>
          </w:p>
          <w:p w14:paraId="088ACD63" w14:textId="1B228FD8" w:rsidR="00AA03A6" w:rsidRPr="008C761D" w:rsidRDefault="00AA03A6" w:rsidP="00B7486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ype="page"/>
              <w:t>Other competent ministries and institutions, where from capital grants are transferred</w:t>
            </w:r>
            <w:r w:rsidRPr="008C761D">
              <w:rPr>
                <w:rFonts w:ascii="Arial" w:eastAsia="Times New Roman" w:hAnsi="Arial" w:cs="Arial"/>
                <w:sz w:val="12"/>
                <w:szCs w:val="12"/>
                <w:lang w:val="en-US" w:eastAsia="mk-MK"/>
              </w:rPr>
              <w:br w:type="page"/>
            </w:r>
          </w:p>
        </w:tc>
        <w:tc>
          <w:tcPr>
            <w:tcW w:w="1644" w:type="dxa"/>
            <w:gridSpan w:val="3"/>
            <w:tcBorders>
              <w:left w:val="single" w:sz="4" w:space="0" w:color="auto"/>
              <w:bottom w:val="single" w:sz="8" w:space="0" w:color="000000"/>
            </w:tcBorders>
            <w:shd w:val="clear" w:color="000000" w:fill="FFFF99"/>
            <w:hideMark/>
          </w:tcPr>
          <w:p w14:paraId="4FF6086F"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Government of RNM</w:t>
            </w:r>
          </w:p>
          <w:p w14:paraId="2CAE7061"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3B19FBDA"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Ministries</w:t>
            </w:r>
          </w:p>
          <w:p w14:paraId="6EDFA007"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140B1179"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p w14:paraId="07AA1C36"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24090183"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088BB36B"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p w14:paraId="726EC584" w14:textId="29CE64A4"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UNDP</w:t>
            </w:r>
            <w:r w:rsidRPr="008C761D">
              <w:rPr>
                <w:rFonts w:ascii="Arial" w:eastAsia="Times New Roman" w:hAnsi="Arial" w:cs="Arial"/>
                <w:sz w:val="12"/>
                <w:szCs w:val="12"/>
                <w:lang w:val="en-US" w:eastAsia="mk-MK"/>
              </w:rPr>
              <w:br w:type="page"/>
            </w:r>
          </w:p>
        </w:tc>
        <w:tc>
          <w:tcPr>
            <w:tcW w:w="1758" w:type="dxa"/>
            <w:gridSpan w:val="2"/>
            <w:tcBorders>
              <w:bottom w:val="single" w:sz="8" w:space="0" w:color="000000"/>
            </w:tcBorders>
            <w:shd w:val="clear" w:color="000000" w:fill="FFFF99"/>
            <w:vAlign w:val="center"/>
            <w:hideMark/>
          </w:tcPr>
          <w:p w14:paraId="1E9C5B41" w14:textId="6DF7B86C"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10,000 </w:t>
            </w:r>
          </w:p>
        </w:tc>
        <w:tc>
          <w:tcPr>
            <w:tcW w:w="1842" w:type="dxa"/>
            <w:gridSpan w:val="3"/>
            <w:tcBorders>
              <w:bottom w:val="single" w:sz="8" w:space="0" w:color="000000"/>
            </w:tcBorders>
            <w:shd w:val="clear" w:color="000000" w:fill="FFFF99"/>
            <w:vAlign w:val="center"/>
            <w:hideMark/>
          </w:tcPr>
          <w:p w14:paraId="28F78A17" w14:textId="77777777" w:rsidR="00AA03A6" w:rsidRPr="008C761D" w:rsidRDefault="00AA03A6" w:rsidP="00C20D18">
            <w:pPr>
              <w:spacing w:after="0" w:line="240" w:lineRule="auto"/>
              <w:jc w:val="center"/>
              <w:rPr>
                <w:rFonts w:ascii="Arial" w:eastAsia="Times New Roman" w:hAnsi="Arial" w:cs="Arial"/>
                <w:sz w:val="12"/>
                <w:szCs w:val="12"/>
                <w:lang w:val="en-US" w:eastAsia="mk-MK"/>
              </w:rPr>
            </w:pPr>
          </w:p>
          <w:p w14:paraId="3B79691A" w14:textId="4BFAC628"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Donors</w:t>
            </w:r>
          </w:p>
        </w:tc>
        <w:tc>
          <w:tcPr>
            <w:tcW w:w="1506" w:type="dxa"/>
            <w:gridSpan w:val="3"/>
            <w:tcBorders>
              <w:bottom w:val="single" w:sz="8" w:space="0" w:color="000000"/>
            </w:tcBorders>
            <w:shd w:val="clear" w:color="000000" w:fill="FFFF99"/>
            <w:vAlign w:val="center"/>
            <w:hideMark/>
          </w:tcPr>
          <w:p w14:paraId="3BC1CEA1" w14:textId="19D0F816" w:rsidR="00AA03A6" w:rsidRPr="008C761D" w:rsidRDefault="00AA03A6"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C20D18" w:rsidRPr="008C761D" w14:paraId="56542E6D" w14:textId="77777777" w:rsidTr="003F623B">
        <w:trPr>
          <w:gridBefore w:val="1"/>
          <w:gridAfter w:val="1"/>
          <w:wBefore w:w="17" w:type="dxa"/>
          <w:wAfter w:w="180" w:type="dxa"/>
          <w:trHeight w:val="263"/>
          <w:jc w:val="center"/>
        </w:trPr>
        <w:tc>
          <w:tcPr>
            <w:tcW w:w="13501" w:type="dxa"/>
            <w:gridSpan w:val="25"/>
            <w:shd w:val="clear" w:color="000000" w:fill="9BD2ED"/>
            <w:vAlign w:val="center"/>
            <w:hideMark/>
          </w:tcPr>
          <w:p w14:paraId="289424CA" w14:textId="2C7C60CF" w:rsidR="00C20D18" w:rsidRPr="008C761D" w:rsidRDefault="00C20D18" w:rsidP="00C20D18">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Regional</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local</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development</w:t>
            </w:r>
          </w:p>
        </w:tc>
      </w:tr>
      <w:tr w:rsidR="00C20D18" w:rsidRPr="008C761D" w14:paraId="26F9D13D" w14:textId="77777777" w:rsidTr="003F623B">
        <w:trPr>
          <w:gridBefore w:val="1"/>
          <w:gridAfter w:val="1"/>
          <w:wBefore w:w="17" w:type="dxa"/>
          <w:wAfter w:w="180" w:type="dxa"/>
          <w:trHeight w:val="266"/>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7685EBA7"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bottom w:val="single" w:sz="8" w:space="0" w:color="000000"/>
            </w:tcBorders>
            <w:shd w:val="clear" w:color="000000" w:fill="9BD2ED"/>
            <w:vAlign w:val="center"/>
            <w:hideMark/>
          </w:tcPr>
          <w:p w14:paraId="0AAE60A1" w14:textId="5917BE56"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tcBorders>
              <w:bottom w:val="single" w:sz="8" w:space="0" w:color="000000"/>
            </w:tcBorders>
            <w:shd w:val="clear" w:color="000000" w:fill="9BD2ED"/>
            <w:vAlign w:val="center"/>
            <w:hideMark/>
          </w:tcPr>
          <w:p w14:paraId="5EBDB6CF" w14:textId="7EEDC7F3"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tcBorders>
              <w:bottom w:val="single" w:sz="8" w:space="0" w:color="000000"/>
            </w:tcBorders>
            <w:shd w:val="clear" w:color="000000" w:fill="9BD2ED"/>
            <w:vAlign w:val="center"/>
            <w:hideMark/>
          </w:tcPr>
          <w:p w14:paraId="2F1B177D"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tcBorders>
              <w:bottom w:val="single" w:sz="8" w:space="0" w:color="000000"/>
            </w:tcBorders>
            <w:shd w:val="clear" w:color="000000" w:fill="9BD2ED"/>
            <w:vAlign w:val="center"/>
            <w:hideMark/>
          </w:tcPr>
          <w:p w14:paraId="3D60ECA7"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FG24</w:t>
            </w:r>
          </w:p>
        </w:tc>
        <w:tc>
          <w:tcPr>
            <w:tcW w:w="1758" w:type="dxa"/>
            <w:gridSpan w:val="2"/>
            <w:shd w:val="clear" w:color="000000" w:fill="9BD2ED"/>
            <w:vAlign w:val="center"/>
            <w:hideMark/>
          </w:tcPr>
          <w:p w14:paraId="4A639F21"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FG25</w:t>
            </w:r>
          </w:p>
        </w:tc>
        <w:tc>
          <w:tcPr>
            <w:tcW w:w="1842" w:type="dxa"/>
            <w:gridSpan w:val="3"/>
            <w:shd w:val="clear" w:color="000000" w:fill="9BD2ED"/>
            <w:vAlign w:val="center"/>
            <w:hideMark/>
          </w:tcPr>
          <w:p w14:paraId="6ADC945F" w14:textId="77777777" w:rsidR="00C20D18" w:rsidRPr="008C761D" w:rsidRDefault="00C20D18" w:rsidP="00C20D18">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FG26</w:t>
            </w:r>
          </w:p>
        </w:tc>
        <w:tc>
          <w:tcPr>
            <w:tcW w:w="1506" w:type="dxa"/>
            <w:gridSpan w:val="3"/>
            <w:shd w:val="clear" w:color="000000" w:fill="9BD2ED"/>
            <w:vAlign w:val="center"/>
            <w:hideMark/>
          </w:tcPr>
          <w:p w14:paraId="2B34E31E"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FG27</w:t>
            </w:r>
          </w:p>
        </w:tc>
      </w:tr>
      <w:tr w:rsidR="00C20D18" w:rsidRPr="008C761D" w14:paraId="267BF579" w14:textId="77777777" w:rsidTr="003F623B">
        <w:trPr>
          <w:gridBefore w:val="1"/>
          <w:gridAfter w:val="1"/>
          <w:wBefore w:w="17" w:type="dxa"/>
          <w:wAfter w:w="180" w:type="dxa"/>
          <w:trHeight w:val="266"/>
          <w:jc w:val="center"/>
        </w:trPr>
        <w:tc>
          <w:tcPr>
            <w:tcW w:w="2368" w:type="dxa"/>
            <w:gridSpan w:val="6"/>
            <w:vMerge/>
            <w:tcBorders>
              <w:top w:val="nil"/>
              <w:left w:val="nil"/>
              <w:bottom w:val="nil"/>
              <w:right w:val="single" w:sz="8" w:space="0" w:color="000000"/>
            </w:tcBorders>
            <w:shd w:val="clear" w:color="auto" w:fill="auto"/>
            <w:noWrap/>
            <w:vAlign w:val="bottom"/>
          </w:tcPr>
          <w:p w14:paraId="58DCD4BF"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tc>
        <w:tc>
          <w:tcPr>
            <w:tcW w:w="1771" w:type="dxa"/>
            <w:gridSpan w:val="3"/>
            <w:tcBorders>
              <w:left w:val="single" w:sz="8" w:space="0" w:color="000000"/>
              <w:bottom w:val="single" w:sz="8" w:space="0" w:color="000000"/>
            </w:tcBorders>
            <w:shd w:val="clear" w:color="auto" w:fill="FFFF99"/>
            <w:vAlign w:val="center"/>
          </w:tcPr>
          <w:p w14:paraId="2ADA7715" w14:textId="6C2B35CB" w:rsidR="00C20D18" w:rsidRPr="008C761D" w:rsidRDefault="00B74861"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Established Agency for regional and local development</w:t>
            </w:r>
          </w:p>
        </w:tc>
        <w:tc>
          <w:tcPr>
            <w:tcW w:w="1194" w:type="dxa"/>
            <w:gridSpan w:val="3"/>
            <w:tcBorders>
              <w:bottom w:val="single" w:sz="8" w:space="0" w:color="000000"/>
            </w:tcBorders>
            <w:shd w:val="clear" w:color="auto" w:fill="FFFF99"/>
            <w:vAlign w:val="center"/>
          </w:tcPr>
          <w:p w14:paraId="1A173659" w14:textId="58C48A2E" w:rsidR="00C20D18" w:rsidRPr="008C761D" w:rsidRDefault="00B74861"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 xml:space="preserve">MLSG, MoF, Bureau for Regional Development, Cabinet of the DPM for </w:t>
            </w:r>
            <w:r w:rsidR="00134B6E" w:rsidRPr="008C761D">
              <w:rPr>
                <w:rFonts w:ascii="Arial" w:eastAsia="Times New Roman" w:hAnsi="Arial" w:cs="Arial"/>
                <w:sz w:val="12"/>
                <w:szCs w:val="12"/>
                <w:lang w:val="en-US" w:eastAsia="mk-MK"/>
              </w:rPr>
              <w:t>Economic</w:t>
            </w:r>
            <w:r w:rsidRPr="008C761D">
              <w:rPr>
                <w:rFonts w:ascii="Arial" w:eastAsia="Times New Roman" w:hAnsi="Arial" w:cs="Arial"/>
                <w:sz w:val="12"/>
                <w:szCs w:val="12"/>
                <w:lang w:val="en-US" w:eastAsia="mk-MK"/>
              </w:rPr>
              <w:t xml:space="preserve"> </w:t>
            </w:r>
            <w:r w:rsidR="00134B6E" w:rsidRPr="008C761D">
              <w:rPr>
                <w:rFonts w:ascii="Arial" w:eastAsia="Times New Roman" w:hAnsi="Arial" w:cs="Arial"/>
                <w:sz w:val="12"/>
                <w:szCs w:val="12"/>
                <w:lang w:val="en-US" w:eastAsia="mk-MK"/>
              </w:rPr>
              <w:t>Affairs</w:t>
            </w:r>
            <w:r w:rsidRPr="008C761D">
              <w:rPr>
                <w:rFonts w:ascii="Arial" w:eastAsia="Times New Roman" w:hAnsi="Arial" w:cs="Arial"/>
                <w:sz w:val="12"/>
                <w:szCs w:val="12"/>
                <w:lang w:val="en-US" w:eastAsia="mk-MK"/>
              </w:rPr>
              <w:t>, Ministry of Justice, Ministry of Political System and Community Relations, MISA</w:t>
            </w:r>
          </w:p>
        </w:tc>
        <w:tc>
          <w:tcPr>
            <w:tcW w:w="1418" w:type="dxa"/>
            <w:gridSpan w:val="2"/>
            <w:tcBorders>
              <w:bottom w:val="single" w:sz="8" w:space="0" w:color="000000"/>
            </w:tcBorders>
            <w:shd w:val="clear" w:color="auto" w:fill="FFFF99"/>
            <w:vAlign w:val="center"/>
          </w:tcPr>
          <w:p w14:paraId="078CC662"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w:t>
            </w:r>
          </w:p>
        </w:tc>
        <w:tc>
          <w:tcPr>
            <w:tcW w:w="1644" w:type="dxa"/>
            <w:gridSpan w:val="3"/>
            <w:tcBorders>
              <w:bottom w:val="single" w:sz="8" w:space="0" w:color="000000"/>
            </w:tcBorders>
            <w:shd w:val="clear" w:color="auto" w:fill="FFFF99"/>
            <w:vAlign w:val="center"/>
          </w:tcPr>
          <w:p w14:paraId="3EA34D1B" w14:textId="7D393FDF" w:rsidR="00C20D18" w:rsidRPr="008C761D" w:rsidRDefault="00B74861"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Report with legal and operational solutions for the establishment of the Agency</w:t>
            </w:r>
          </w:p>
        </w:tc>
        <w:tc>
          <w:tcPr>
            <w:tcW w:w="1758" w:type="dxa"/>
            <w:gridSpan w:val="2"/>
            <w:shd w:val="clear" w:color="auto" w:fill="FFFF99"/>
            <w:vAlign w:val="center"/>
          </w:tcPr>
          <w:p w14:paraId="19D1E4CB" w14:textId="4F8424E8" w:rsidR="00C20D18" w:rsidRPr="008C761D" w:rsidRDefault="00B74861"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Established Agency for Regional and Local Development</w:t>
            </w:r>
          </w:p>
        </w:tc>
        <w:tc>
          <w:tcPr>
            <w:tcW w:w="1842" w:type="dxa"/>
            <w:gridSpan w:val="3"/>
            <w:shd w:val="clear" w:color="auto" w:fill="FFFF99"/>
            <w:vAlign w:val="center"/>
          </w:tcPr>
          <w:p w14:paraId="24430D60" w14:textId="77777777" w:rsidR="00C20D18" w:rsidRPr="008C761D" w:rsidRDefault="00C20D18" w:rsidP="00C20D18">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monitoring the work of the agency</w:t>
            </w:r>
          </w:p>
        </w:tc>
        <w:tc>
          <w:tcPr>
            <w:tcW w:w="1506" w:type="dxa"/>
            <w:gridSpan w:val="3"/>
            <w:shd w:val="clear" w:color="auto" w:fill="FFFF99"/>
            <w:vAlign w:val="center"/>
          </w:tcPr>
          <w:p w14:paraId="3B64D63F" w14:textId="12BAF88F" w:rsidR="00C20D18" w:rsidRPr="008C761D" w:rsidRDefault="00B74861"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sz w:val="12"/>
                <w:szCs w:val="12"/>
                <w:lang w:val="en-US" w:eastAsia="mk-MK"/>
              </w:rPr>
              <w:t>M</w:t>
            </w:r>
            <w:r w:rsidR="00C20D18" w:rsidRPr="008C761D">
              <w:rPr>
                <w:rFonts w:ascii="Arial" w:eastAsia="Times New Roman" w:hAnsi="Arial" w:cs="Arial"/>
                <w:sz w:val="12"/>
                <w:szCs w:val="12"/>
                <w:lang w:val="en-US" w:eastAsia="mk-MK"/>
              </w:rPr>
              <w:t>onitoring</w:t>
            </w:r>
            <w:r w:rsidRPr="008C761D">
              <w:rPr>
                <w:rFonts w:ascii="Arial" w:eastAsia="Times New Roman" w:hAnsi="Arial" w:cs="Arial"/>
                <w:sz w:val="12"/>
                <w:szCs w:val="12"/>
                <w:lang w:val="en-US" w:eastAsia="mk-MK"/>
              </w:rPr>
              <w:t xml:space="preserve"> </w:t>
            </w:r>
            <w:r w:rsidR="00C20D18" w:rsidRPr="008C761D">
              <w:rPr>
                <w:rFonts w:ascii="Arial" w:eastAsia="Times New Roman" w:hAnsi="Arial" w:cs="Arial"/>
                <w:sz w:val="12"/>
                <w:szCs w:val="12"/>
                <w:lang w:val="en-US" w:eastAsia="mk-MK"/>
              </w:rPr>
              <w:t>the</w:t>
            </w:r>
            <w:r w:rsidRPr="008C761D">
              <w:rPr>
                <w:rFonts w:ascii="Arial" w:eastAsia="Times New Roman" w:hAnsi="Arial" w:cs="Arial"/>
                <w:sz w:val="12"/>
                <w:szCs w:val="12"/>
                <w:lang w:val="en-US" w:eastAsia="mk-MK"/>
              </w:rPr>
              <w:t xml:space="preserve"> </w:t>
            </w:r>
            <w:r w:rsidR="00C20D18" w:rsidRPr="008C761D">
              <w:rPr>
                <w:rFonts w:ascii="Arial" w:eastAsia="Times New Roman" w:hAnsi="Arial" w:cs="Arial"/>
                <w:sz w:val="12"/>
                <w:szCs w:val="12"/>
                <w:lang w:val="en-US" w:eastAsia="mk-MK"/>
              </w:rPr>
              <w:t>work</w:t>
            </w:r>
            <w:r w:rsidRPr="008C761D">
              <w:rPr>
                <w:rFonts w:ascii="Arial" w:eastAsia="Times New Roman" w:hAnsi="Arial" w:cs="Arial"/>
                <w:sz w:val="12"/>
                <w:szCs w:val="12"/>
                <w:lang w:val="en-US" w:eastAsia="mk-MK"/>
              </w:rPr>
              <w:t xml:space="preserve"> </w:t>
            </w:r>
            <w:r w:rsidR="00C20D18" w:rsidRPr="008C761D">
              <w:rPr>
                <w:rFonts w:ascii="Arial" w:eastAsia="Times New Roman" w:hAnsi="Arial" w:cs="Arial"/>
                <w:sz w:val="12"/>
                <w:szCs w:val="12"/>
                <w:lang w:val="en-US" w:eastAsia="mk-MK"/>
              </w:rPr>
              <w:t>of</w:t>
            </w:r>
            <w:r w:rsidRPr="008C761D">
              <w:rPr>
                <w:rFonts w:ascii="Arial" w:eastAsia="Times New Roman" w:hAnsi="Arial" w:cs="Arial"/>
                <w:sz w:val="12"/>
                <w:szCs w:val="12"/>
                <w:lang w:val="en-US" w:eastAsia="mk-MK"/>
              </w:rPr>
              <w:t xml:space="preserve"> </w:t>
            </w:r>
            <w:r w:rsidR="00C20D18" w:rsidRPr="008C761D">
              <w:rPr>
                <w:rFonts w:ascii="Arial" w:eastAsia="Times New Roman" w:hAnsi="Arial" w:cs="Arial"/>
                <w:sz w:val="12"/>
                <w:szCs w:val="12"/>
                <w:lang w:val="en-US" w:eastAsia="mk-MK"/>
              </w:rPr>
              <w:t>the</w:t>
            </w:r>
            <w:r w:rsidRPr="008C761D">
              <w:rPr>
                <w:rFonts w:ascii="Arial" w:eastAsia="Times New Roman" w:hAnsi="Arial" w:cs="Arial"/>
                <w:sz w:val="12"/>
                <w:szCs w:val="12"/>
                <w:lang w:val="en-US" w:eastAsia="mk-MK"/>
              </w:rPr>
              <w:t xml:space="preserve"> </w:t>
            </w:r>
            <w:r w:rsidR="00C20D18" w:rsidRPr="008C761D">
              <w:rPr>
                <w:rFonts w:ascii="Arial" w:eastAsia="Times New Roman" w:hAnsi="Arial" w:cs="Arial"/>
                <w:sz w:val="12"/>
                <w:szCs w:val="12"/>
                <w:lang w:val="en-US" w:eastAsia="mk-MK"/>
              </w:rPr>
              <w:t>agency</w:t>
            </w:r>
          </w:p>
        </w:tc>
      </w:tr>
      <w:tr w:rsidR="00C20D18" w:rsidRPr="008C761D" w14:paraId="5DA93506" w14:textId="77777777" w:rsidTr="003F623B">
        <w:trPr>
          <w:gridBefore w:val="1"/>
          <w:gridAfter w:val="1"/>
          <w:wBefore w:w="17" w:type="dxa"/>
          <w:wAfter w:w="180" w:type="dxa"/>
          <w:trHeight w:val="1015"/>
          <w:jc w:val="center"/>
        </w:trPr>
        <w:tc>
          <w:tcPr>
            <w:tcW w:w="2368" w:type="dxa"/>
            <w:gridSpan w:val="6"/>
            <w:vMerge/>
            <w:tcBorders>
              <w:top w:val="nil"/>
              <w:left w:val="nil"/>
              <w:bottom w:val="nil"/>
              <w:right w:val="single" w:sz="8" w:space="0" w:color="000000"/>
            </w:tcBorders>
            <w:vAlign w:val="center"/>
            <w:hideMark/>
          </w:tcPr>
          <w:p w14:paraId="7C84DA7A"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0FBE6B04" w14:textId="09180048" w:rsidR="00C20D18" w:rsidRPr="008C761D" w:rsidRDefault="00B74861"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 development index</w:t>
            </w:r>
          </w:p>
        </w:tc>
        <w:tc>
          <w:tcPr>
            <w:tcW w:w="1194" w:type="dxa"/>
            <w:gridSpan w:val="3"/>
            <w:tcBorders>
              <w:top w:val="single" w:sz="8" w:space="0" w:color="000000"/>
              <w:left w:val="single" w:sz="8" w:space="0" w:color="000000"/>
              <w:bottom w:val="single" w:sz="8" w:space="0" w:color="000000"/>
              <w:right w:val="single" w:sz="8" w:space="0" w:color="000000"/>
            </w:tcBorders>
            <w:shd w:val="clear" w:color="000000" w:fill="FFFF99"/>
            <w:hideMark/>
          </w:tcPr>
          <w:p w14:paraId="171C3320"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2FE20EB8"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0E5B763F"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65D41AB6"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1511B16E"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p>
          <w:p w14:paraId="62D07F5B" w14:textId="5627DCC5"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UNDP</w:t>
            </w:r>
          </w:p>
        </w:tc>
        <w:tc>
          <w:tcPr>
            <w:tcW w:w="1418" w:type="dxa"/>
            <w:gridSpan w:val="2"/>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73B2C150" w14:textId="59D3EE37" w:rsidR="00C20D18" w:rsidRPr="008C761D" w:rsidRDefault="00B74861"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 development index determined by UNDP with 44 indicators</w:t>
            </w:r>
          </w:p>
        </w:tc>
        <w:tc>
          <w:tcPr>
            <w:tcW w:w="1644" w:type="dxa"/>
            <w:gridSpan w:val="3"/>
            <w:tcBorders>
              <w:top w:val="single" w:sz="8" w:space="0" w:color="000000"/>
              <w:left w:val="single" w:sz="8" w:space="0" w:color="000000"/>
              <w:bottom w:val="single" w:sz="8" w:space="0" w:color="000000"/>
            </w:tcBorders>
            <w:shd w:val="clear" w:color="000000" w:fill="FFFF99"/>
            <w:vAlign w:val="center"/>
            <w:hideMark/>
          </w:tcPr>
          <w:p w14:paraId="2BAF128C" w14:textId="632AC97D"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 new indicators</w:t>
            </w:r>
          </w:p>
        </w:tc>
        <w:tc>
          <w:tcPr>
            <w:tcW w:w="1758" w:type="dxa"/>
            <w:gridSpan w:val="2"/>
            <w:shd w:val="clear" w:color="000000" w:fill="FFFF99"/>
            <w:vAlign w:val="center"/>
            <w:hideMark/>
          </w:tcPr>
          <w:p w14:paraId="766761B1" w14:textId="7B80A63C"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 new indicators</w:t>
            </w:r>
          </w:p>
        </w:tc>
        <w:tc>
          <w:tcPr>
            <w:tcW w:w="1842" w:type="dxa"/>
            <w:gridSpan w:val="3"/>
            <w:shd w:val="clear" w:color="000000" w:fill="FFFF99"/>
            <w:vAlign w:val="center"/>
            <w:hideMark/>
          </w:tcPr>
          <w:p w14:paraId="771BC586" w14:textId="1176463C"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 new indicators</w:t>
            </w:r>
          </w:p>
        </w:tc>
        <w:tc>
          <w:tcPr>
            <w:tcW w:w="1506" w:type="dxa"/>
            <w:gridSpan w:val="3"/>
            <w:shd w:val="clear" w:color="000000" w:fill="FFFF99"/>
            <w:vAlign w:val="center"/>
            <w:hideMark/>
          </w:tcPr>
          <w:p w14:paraId="7F759A31" w14:textId="017117C9"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 new indicators</w:t>
            </w:r>
          </w:p>
        </w:tc>
      </w:tr>
      <w:tr w:rsidR="00C20D18" w:rsidRPr="008C761D" w14:paraId="7DDE92C0" w14:textId="77777777" w:rsidTr="003F623B">
        <w:trPr>
          <w:gridBefore w:val="1"/>
          <w:gridAfter w:val="1"/>
          <w:wBefore w:w="17" w:type="dxa"/>
          <w:wAfter w:w="180" w:type="dxa"/>
          <w:trHeight w:val="315"/>
          <w:jc w:val="center"/>
        </w:trPr>
        <w:tc>
          <w:tcPr>
            <w:tcW w:w="2368" w:type="dxa"/>
            <w:gridSpan w:val="6"/>
            <w:vMerge/>
            <w:tcBorders>
              <w:top w:val="nil"/>
              <w:left w:val="nil"/>
              <w:bottom w:val="nil"/>
              <w:right w:val="single" w:sz="8" w:space="0" w:color="000000"/>
            </w:tcBorders>
            <w:vAlign w:val="center"/>
            <w:hideMark/>
          </w:tcPr>
          <w:p w14:paraId="3F63FE52"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top w:val="single" w:sz="8" w:space="0" w:color="000000"/>
              <w:left w:val="single" w:sz="8" w:space="0" w:color="000000"/>
            </w:tcBorders>
            <w:shd w:val="clear" w:color="000000" w:fill="9BD2ED"/>
            <w:vAlign w:val="center"/>
            <w:hideMark/>
          </w:tcPr>
          <w:p w14:paraId="7A207324"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tcBorders>
              <w:top w:val="single" w:sz="8" w:space="0" w:color="000000"/>
            </w:tcBorders>
            <w:shd w:val="clear" w:color="000000" w:fill="9BD2ED"/>
            <w:vAlign w:val="center"/>
            <w:hideMark/>
          </w:tcPr>
          <w:p w14:paraId="49EE26BC" w14:textId="2452B7D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tcBorders>
              <w:top w:val="single" w:sz="8" w:space="0" w:color="000000"/>
            </w:tcBorders>
            <w:shd w:val="clear" w:color="000000" w:fill="9BD2ED"/>
            <w:vAlign w:val="center"/>
            <w:hideMark/>
          </w:tcPr>
          <w:p w14:paraId="5050E179" w14:textId="1463835B"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tcBorders>
              <w:top w:val="single" w:sz="8" w:space="0" w:color="000000"/>
            </w:tcBorders>
            <w:shd w:val="clear" w:color="000000" w:fill="9BD2ED"/>
            <w:vAlign w:val="center"/>
            <w:hideMark/>
          </w:tcPr>
          <w:p w14:paraId="49E6BD5E" w14:textId="48B30224"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33FB93E5"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55657C60" w14:textId="5F89F25F"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74861"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16153F4"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C20D18" w:rsidRPr="008C761D" w14:paraId="08FE7FBC" w14:textId="77777777" w:rsidTr="003F623B">
        <w:trPr>
          <w:gridBefore w:val="1"/>
          <w:gridAfter w:val="1"/>
          <w:wBefore w:w="17" w:type="dxa"/>
          <w:wAfter w:w="180" w:type="dxa"/>
          <w:trHeight w:val="1088"/>
          <w:jc w:val="center"/>
        </w:trPr>
        <w:tc>
          <w:tcPr>
            <w:tcW w:w="2368" w:type="dxa"/>
            <w:gridSpan w:val="6"/>
            <w:vMerge/>
            <w:tcBorders>
              <w:top w:val="nil"/>
              <w:left w:val="nil"/>
              <w:bottom w:val="nil"/>
              <w:right w:val="single" w:sz="8" w:space="0" w:color="000000"/>
            </w:tcBorders>
            <w:vAlign w:val="center"/>
            <w:hideMark/>
          </w:tcPr>
          <w:p w14:paraId="5EB0CB28"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hideMark/>
          </w:tcPr>
          <w:p w14:paraId="3F6E9DAA" w14:textId="3ED2FEF4" w:rsidR="00C20D18" w:rsidRPr="008C761D" w:rsidRDefault="00B74861"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Establishment of the Agency for Regional and Local Development and achieving balanced regional development.</w:t>
            </w:r>
          </w:p>
        </w:tc>
        <w:tc>
          <w:tcPr>
            <w:tcW w:w="1194" w:type="dxa"/>
            <w:gridSpan w:val="3"/>
            <w:shd w:val="clear" w:color="000000" w:fill="FFFF99"/>
            <w:vAlign w:val="center"/>
            <w:hideMark/>
          </w:tcPr>
          <w:p w14:paraId="11A35E53"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43664848" w14:textId="43A24D15"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Local</w:t>
            </w:r>
            <w:r w:rsidR="00B74861"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Self -Government</w:t>
            </w:r>
          </w:p>
        </w:tc>
        <w:tc>
          <w:tcPr>
            <w:tcW w:w="1644" w:type="dxa"/>
            <w:gridSpan w:val="3"/>
            <w:shd w:val="clear" w:color="000000" w:fill="FFFF99"/>
            <w:hideMark/>
          </w:tcPr>
          <w:p w14:paraId="45EFB97D" w14:textId="0DFAD44A" w:rsidR="00C20D18" w:rsidRPr="008C761D" w:rsidRDefault="00B74861"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Bureau for Regional Development, MoF, Cabinet of the DPM for Еconomic Аffairs, Ministry of Justice, Ministry of Political System аnd Community Relations, MISA</w:t>
            </w:r>
          </w:p>
        </w:tc>
        <w:tc>
          <w:tcPr>
            <w:tcW w:w="1758" w:type="dxa"/>
            <w:gridSpan w:val="2"/>
            <w:shd w:val="clear" w:color="000000" w:fill="FFFF99"/>
            <w:vAlign w:val="center"/>
            <w:hideMark/>
          </w:tcPr>
          <w:p w14:paraId="18ABC741" w14:textId="629A33A5" w:rsidR="00C20D18" w:rsidRPr="008C761D" w:rsidRDefault="00C20D18"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003C7A42" w:rsidRPr="008C761D">
              <w:rPr>
                <w:rFonts w:ascii="Arial" w:eastAsia="Times New Roman" w:hAnsi="Arial" w:cs="Arial"/>
                <w:sz w:val="12"/>
                <w:szCs w:val="12"/>
                <w:lang w:val="en-US" w:eastAsia="mk-MK"/>
              </w:rPr>
              <w:t>0</w:t>
            </w:r>
            <w:r w:rsidRPr="008C761D">
              <w:rPr>
                <w:rFonts w:ascii="Arial" w:eastAsia="Times New Roman" w:hAnsi="Arial" w:cs="Arial"/>
                <w:sz w:val="12"/>
                <w:szCs w:val="12"/>
                <w:lang w:val="en-US" w:eastAsia="mk-MK"/>
              </w:rPr>
              <w:t>,000</w:t>
            </w:r>
          </w:p>
        </w:tc>
        <w:tc>
          <w:tcPr>
            <w:tcW w:w="1842" w:type="dxa"/>
            <w:gridSpan w:val="3"/>
            <w:shd w:val="clear" w:color="000000" w:fill="FFFF99"/>
            <w:vAlign w:val="center"/>
            <w:hideMark/>
          </w:tcPr>
          <w:p w14:paraId="73C70D7F"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365DA6BE"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USAID </w:t>
            </w:r>
          </w:p>
          <w:p w14:paraId="41D28630"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4472BDFF" w14:textId="1B756BC6" w:rsidR="00C20D18"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Donors</w:t>
            </w:r>
          </w:p>
        </w:tc>
        <w:tc>
          <w:tcPr>
            <w:tcW w:w="1506" w:type="dxa"/>
            <w:gridSpan w:val="3"/>
            <w:shd w:val="clear" w:color="000000" w:fill="FFFF99"/>
            <w:vAlign w:val="center"/>
            <w:hideMark/>
          </w:tcPr>
          <w:p w14:paraId="00EFC252"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3C7A42" w:rsidRPr="008C761D" w14:paraId="18D92FFB" w14:textId="77777777" w:rsidTr="003F623B">
        <w:trPr>
          <w:gridBefore w:val="1"/>
          <w:gridAfter w:val="1"/>
          <w:wBefore w:w="17" w:type="dxa"/>
          <w:wAfter w:w="180" w:type="dxa"/>
          <w:trHeight w:val="1088"/>
          <w:jc w:val="center"/>
        </w:trPr>
        <w:tc>
          <w:tcPr>
            <w:tcW w:w="2368" w:type="dxa"/>
            <w:gridSpan w:val="6"/>
            <w:tcBorders>
              <w:top w:val="nil"/>
              <w:left w:val="nil"/>
              <w:bottom w:val="nil"/>
              <w:right w:val="single" w:sz="8" w:space="0" w:color="000000"/>
            </w:tcBorders>
            <w:vAlign w:val="center"/>
          </w:tcPr>
          <w:p w14:paraId="26770EC4" w14:textId="77777777" w:rsidR="003C7A42" w:rsidRPr="008C761D" w:rsidRDefault="003C7A42"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tcPr>
          <w:p w14:paraId="5878061B" w14:textId="0EB314E1" w:rsidR="00B74861" w:rsidRPr="008C761D" w:rsidRDefault="00B74861" w:rsidP="00B74861">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r w:rsidRPr="008C761D">
              <w:rPr>
                <w:rFonts w:cs="Calibri"/>
                <w:lang w:val="en-US"/>
              </w:rPr>
              <w:t xml:space="preserve"> </w:t>
            </w:r>
            <w:r w:rsidRPr="008C761D">
              <w:rPr>
                <w:rFonts w:ascii="Arial" w:eastAsia="Times New Roman" w:hAnsi="Arial" w:cs="Arial"/>
                <w:sz w:val="12"/>
                <w:szCs w:val="12"/>
                <w:lang w:val="en-US" w:eastAsia="mk-MK"/>
              </w:rPr>
              <w:t xml:space="preserve">Determination of </w:t>
            </w:r>
            <w:r w:rsidR="00134B6E" w:rsidRPr="008C761D">
              <w:rPr>
                <w:rFonts w:ascii="Arial" w:eastAsia="Times New Roman" w:hAnsi="Arial" w:cs="Arial"/>
                <w:sz w:val="12"/>
                <w:szCs w:val="12"/>
                <w:lang w:val="en-US" w:eastAsia="mk-MK"/>
              </w:rPr>
              <w:t>municipal development</w:t>
            </w:r>
            <w:r w:rsidRPr="008C761D">
              <w:rPr>
                <w:rFonts w:ascii="Arial" w:eastAsia="Times New Roman" w:hAnsi="Arial" w:cs="Arial"/>
                <w:sz w:val="12"/>
                <w:szCs w:val="12"/>
                <w:lang w:val="en-US" w:eastAsia="mk-MK"/>
              </w:rPr>
              <w:t xml:space="preserve"> index</w:t>
            </w:r>
          </w:p>
          <w:p w14:paraId="43C752FD" w14:textId="77777777" w:rsidR="003C7A42" w:rsidRPr="008C761D" w:rsidRDefault="003C7A42" w:rsidP="00C20D18">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tcPr>
          <w:p w14:paraId="50C7982A"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14255E73"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MinistryofFinance</w:t>
            </w:r>
          </w:p>
          <w:p w14:paraId="78A5176C"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70808C88" w14:textId="5EBE28FF"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Local</w:t>
            </w:r>
            <w:r w:rsidR="00134B6E">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Self -Government</w:t>
            </w:r>
          </w:p>
          <w:p w14:paraId="0E9C38D1"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1A3C63B3"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UNDP</w:t>
            </w:r>
          </w:p>
        </w:tc>
        <w:tc>
          <w:tcPr>
            <w:tcW w:w="1644" w:type="dxa"/>
            <w:gridSpan w:val="3"/>
            <w:shd w:val="clear" w:color="000000" w:fill="FFFF99"/>
          </w:tcPr>
          <w:p w14:paraId="19C97F3B"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p w14:paraId="6222AC8F"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6742D7A4"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0A57ABC9"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p>
          <w:p w14:paraId="60660580"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 UNDP</w:t>
            </w:r>
          </w:p>
        </w:tc>
        <w:tc>
          <w:tcPr>
            <w:tcW w:w="1758" w:type="dxa"/>
            <w:gridSpan w:val="2"/>
            <w:shd w:val="clear" w:color="000000" w:fill="FFFF99"/>
            <w:vAlign w:val="center"/>
          </w:tcPr>
          <w:p w14:paraId="44EDE447" w14:textId="77777777" w:rsidR="003C7A42" w:rsidRPr="008C761D" w:rsidRDefault="003C7A42" w:rsidP="00547D1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80.000</w:t>
            </w:r>
          </w:p>
        </w:tc>
        <w:tc>
          <w:tcPr>
            <w:tcW w:w="1842" w:type="dxa"/>
            <w:gridSpan w:val="3"/>
            <w:shd w:val="clear" w:color="000000" w:fill="FFFF99"/>
            <w:vAlign w:val="center"/>
          </w:tcPr>
          <w:p w14:paraId="755B5D65" w14:textId="77777777"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UNDP</w:t>
            </w:r>
          </w:p>
        </w:tc>
        <w:tc>
          <w:tcPr>
            <w:tcW w:w="1506" w:type="dxa"/>
            <w:gridSpan w:val="3"/>
            <w:shd w:val="clear" w:color="000000" w:fill="FFFF99"/>
            <w:vAlign w:val="center"/>
          </w:tcPr>
          <w:p w14:paraId="4D1AD138"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p>
        </w:tc>
      </w:tr>
      <w:tr w:rsidR="00C20D18" w:rsidRPr="008C761D" w14:paraId="61E4A0C7" w14:textId="77777777" w:rsidTr="003F623B">
        <w:trPr>
          <w:gridBefore w:val="1"/>
          <w:gridAfter w:val="1"/>
          <w:wBefore w:w="17" w:type="dxa"/>
          <w:wAfter w:w="180" w:type="dxa"/>
          <w:trHeight w:val="304"/>
          <w:jc w:val="center"/>
        </w:trPr>
        <w:tc>
          <w:tcPr>
            <w:tcW w:w="13501" w:type="dxa"/>
            <w:gridSpan w:val="25"/>
            <w:shd w:val="clear" w:color="000000" w:fill="1F3864"/>
            <w:vAlign w:val="center"/>
            <w:hideMark/>
          </w:tcPr>
          <w:p w14:paraId="5F127378" w14:textId="7B3CF1B9" w:rsidR="00C20D18" w:rsidRPr="008C761D" w:rsidRDefault="00C20D18" w:rsidP="00C20D18">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PILLAR VIII</w:t>
            </w:r>
            <w:r w:rsidR="005A1DDF">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PFM at</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Local</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Level</w:t>
            </w:r>
          </w:p>
        </w:tc>
      </w:tr>
      <w:tr w:rsidR="00C20D18" w:rsidRPr="008C761D" w14:paraId="579650AF" w14:textId="77777777" w:rsidTr="003F623B">
        <w:trPr>
          <w:gridBefore w:val="1"/>
          <w:gridAfter w:val="1"/>
          <w:wBefore w:w="17" w:type="dxa"/>
          <w:wAfter w:w="180" w:type="dxa"/>
          <w:trHeight w:val="331"/>
          <w:jc w:val="center"/>
        </w:trPr>
        <w:tc>
          <w:tcPr>
            <w:tcW w:w="13501" w:type="dxa"/>
            <w:gridSpan w:val="25"/>
            <w:shd w:val="clear" w:color="000000" w:fill="1F3864"/>
            <w:vAlign w:val="center"/>
            <w:hideMark/>
          </w:tcPr>
          <w:p w14:paraId="1AF8D87F" w14:textId="0B743F0F" w:rsidR="00C20D18" w:rsidRPr="008C761D" w:rsidRDefault="00C20D18" w:rsidP="00C20D18">
            <w:pPr>
              <w:spacing w:after="0" w:line="240" w:lineRule="auto"/>
              <w:jc w:val="both"/>
              <w:rPr>
                <w:rFonts w:ascii="Arial" w:eastAsia="Times New Roman" w:hAnsi="Arial" w:cs="Arial"/>
                <w:b/>
                <w:bCs/>
                <w:color w:val="FFFFFF"/>
                <w:sz w:val="12"/>
                <w:szCs w:val="12"/>
                <w:lang w:val="en-US" w:eastAsia="mk-MK"/>
              </w:rPr>
            </w:pPr>
            <w:r w:rsidRPr="008C761D">
              <w:rPr>
                <w:rFonts w:ascii="Arial" w:eastAsia="Times New Roman" w:hAnsi="Arial" w:cs="Arial"/>
                <w:b/>
                <w:bCs/>
                <w:color w:val="FFFFFF"/>
                <w:sz w:val="12"/>
                <w:szCs w:val="12"/>
                <w:lang w:val="en-US" w:eastAsia="mk-MK"/>
              </w:rPr>
              <w:t>PRIORITY 2. Financial</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Discipline, Transparency</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and</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Accountability</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at</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the</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Local</w:t>
            </w:r>
            <w:r w:rsidR="00B35F2B" w:rsidRPr="008C761D">
              <w:rPr>
                <w:rFonts w:ascii="Arial" w:eastAsia="Times New Roman" w:hAnsi="Arial" w:cs="Arial"/>
                <w:b/>
                <w:bCs/>
                <w:color w:val="FFFFFF"/>
                <w:sz w:val="12"/>
                <w:szCs w:val="12"/>
                <w:lang w:val="en-US" w:eastAsia="mk-MK"/>
              </w:rPr>
              <w:t xml:space="preserve"> </w:t>
            </w:r>
            <w:r w:rsidRPr="008C761D">
              <w:rPr>
                <w:rFonts w:ascii="Arial" w:eastAsia="Times New Roman" w:hAnsi="Arial" w:cs="Arial"/>
                <w:b/>
                <w:bCs/>
                <w:color w:val="FFFFFF"/>
                <w:sz w:val="12"/>
                <w:szCs w:val="12"/>
                <w:lang w:val="en-US" w:eastAsia="mk-MK"/>
              </w:rPr>
              <w:t>Level</w:t>
            </w:r>
          </w:p>
        </w:tc>
      </w:tr>
      <w:tr w:rsidR="00C20D18" w:rsidRPr="008C761D" w14:paraId="4B0212AF" w14:textId="77777777" w:rsidTr="003F623B">
        <w:trPr>
          <w:gridBefore w:val="1"/>
          <w:gridAfter w:val="1"/>
          <w:wBefore w:w="17" w:type="dxa"/>
          <w:wAfter w:w="180" w:type="dxa"/>
          <w:trHeight w:val="271"/>
          <w:jc w:val="center"/>
        </w:trPr>
        <w:tc>
          <w:tcPr>
            <w:tcW w:w="2368" w:type="dxa"/>
            <w:gridSpan w:val="6"/>
            <w:shd w:val="clear" w:color="000000" w:fill="9BD2ED"/>
            <w:vAlign w:val="center"/>
            <w:hideMark/>
          </w:tcPr>
          <w:p w14:paraId="3CA22D87"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Outcome(s)</w:t>
            </w:r>
          </w:p>
        </w:tc>
        <w:tc>
          <w:tcPr>
            <w:tcW w:w="1771" w:type="dxa"/>
            <w:gridSpan w:val="3"/>
            <w:shd w:val="clear" w:color="000000" w:fill="9BD2ED"/>
            <w:vAlign w:val="center"/>
            <w:hideMark/>
          </w:tcPr>
          <w:p w14:paraId="34B979B9" w14:textId="05A3EC8F"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w:t>
            </w:r>
          </w:p>
        </w:tc>
        <w:tc>
          <w:tcPr>
            <w:tcW w:w="1194" w:type="dxa"/>
            <w:gridSpan w:val="3"/>
            <w:shd w:val="clear" w:color="000000" w:fill="9BD2ED"/>
            <w:vAlign w:val="center"/>
            <w:hideMark/>
          </w:tcPr>
          <w:p w14:paraId="4A7F7457" w14:textId="7CB6CFB6"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169F080C"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6E04710C"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FY24</w:t>
            </w:r>
          </w:p>
        </w:tc>
        <w:tc>
          <w:tcPr>
            <w:tcW w:w="1758" w:type="dxa"/>
            <w:gridSpan w:val="2"/>
            <w:shd w:val="clear" w:color="000000" w:fill="9BD2ED"/>
            <w:vAlign w:val="center"/>
            <w:hideMark/>
          </w:tcPr>
          <w:p w14:paraId="3B71DE82"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FY25</w:t>
            </w:r>
          </w:p>
        </w:tc>
        <w:tc>
          <w:tcPr>
            <w:tcW w:w="1842" w:type="dxa"/>
            <w:gridSpan w:val="3"/>
            <w:shd w:val="clear" w:color="000000" w:fill="9BD2ED"/>
            <w:vAlign w:val="center"/>
            <w:hideMark/>
          </w:tcPr>
          <w:p w14:paraId="1A71F287"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FY26</w:t>
            </w:r>
          </w:p>
        </w:tc>
        <w:tc>
          <w:tcPr>
            <w:tcW w:w="1506" w:type="dxa"/>
            <w:gridSpan w:val="3"/>
            <w:shd w:val="clear" w:color="000000" w:fill="9BD2ED"/>
            <w:vAlign w:val="center"/>
            <w:hideMark/>
          </w:tcPr>
          <w:p w14:paraId="2071DB98"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FY27</w:t>
            </w:r>
          </w:p>
        </w:tc>
      </w:tr>
      <w:tr w:rsidR="00C20D18" w:rsidRPr="008C761D" w14:paraId="250C99A4" w14:textId="77777777" w:rsidTr="003F623B">
        <w:trPr>
          <w:gridBefore w:val="1"/>
          <w:gridAfter w:val="1"/>
          <w:wBefore w:w="17" w:type="dxa"/>
          <w:wAfter w:w="180" w:type="dxa"/>
          <w:trHeight w:val="689"/>
          <w:jc w:val="center"/>
        </w:trPr>
        <w:tc>
          <w:tcPr>
            <w:tcW w:w="2368" w:type="dxa"/>
            <w:gridSpan w:val="6"/>
            <w:vMerge w:val="restart"/>
            <w:shd w:val="clear" w:color="000000" w:fill="FFFF99"/>
            <w:vAlign w:val="center"/>
            <w:hideMark/>
          </w:tcPr>
          <w:p w14:paraId="2993B3D2" w14:textId="6409417E" w:rsidR="00C20D18" w:rsidRPr="008C761D" w:rsidRDefault="00B35F2B"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Increased financial discipline</w:t>
            </w:r>
          </w:p>
        </w:tc>
        <w:tc>
          <w:tcPr>
            <w:tcW w:w="1771" w:type="dxa"/>
            <w:gridSpan w:val="3"/>
            <w:shd w:val="clear" w:color="000000" w:fill="FFFF99"/>
            <w:vAlign w:val="center"/>
            <w:hideMark/>
          </w:tcPr>
          <w:p w14:paraId="22663683" w14:textId="4EF6A053" w:rsidR="00C20D18" w:rsidRPr="008C761D" w:rsidRDefault="00B35F2B"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reduction of the amount of due unpaid liabilities in the current year compared to 2022</w:t>
            </w:r>
          </w:p>
        </w:tc>
        <w:tc>
          <w:tcPr>
            <w:tcW w:w="1194" w:type="dxa"/>
            <w:gridSpan w:val="3"/>
            <w:shd w:val="clear" w:color="000000" w:fill="FFFF99"/>
            <w:vAlign w:val="center"/>
            <w:hideMark/>
          </w:tcPr>
          <w:p w14:paraId="46461469" w14:textId="0D6D7E3B"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Quarterly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Reports ESRRL.</w:t>
            </w:r>
          </w:p>
        </w:tc>
        <w:tc>
          <w:tcPr>
            <w:tcW w:w="1418" w:type="dxa"/>
            <w:gridSpan w:val="2"/>
            <w:shd w:val="clear" w:color="000000" w:fill="FFFF99"/>
            <w:vAlign w:val="center"/>
            <w:hideMark/>
          </w:tcPr>
          <w:p w14:paraId="0989CB4D"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Denar 3,698 million</w:t>
            </w:r>
          </w:p>
        </w:tc>
        <w:tc>
          <w:tcPr>
            <w:tcW w:w="1644" w:type="dxa"/>
            <w:gridSpan w:val="3"/>
            <w:shd w:val="clear" w:color="000000" w:fill="FFFF99"/>
            <w:vAlign w:val="center"/>
            <w:hideMark/>
          </w:tcPr>
          <w:p w14:paraId="06490392"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10%</w:t>
            </w:r>
          </w:p>
        </w:tc>
        <w:tc>
          <w:tcPr>
            <w:tcW w:w="1758" w:type="dxa"/>
            <w:gridSpan w:val="2"/>
            <w:shd w:val="clear" w:color="000000" w:fill="FFFF99"/>
            <w:vAlign w:val="center"/>
            <w:hideMark/>
          </w:tcPr>
          <w:p w14:paraId="3A1AAD2A"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c>
          <w:tcPr>
            <w:tcW w:w="1842" w:type="dxa"/>
            <w:gridSpan w:val="3"/>
            <w:shd w:val="clear" w:color="000000" w:fill="FFFF99"/>
            <w:vAlign w:val="center"/>
            <w:hideMark/>
          </w:tcPr>
          <w:p w14:paraId="2C71F5C8"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c>
          <w:tcPr>
            <w:tcW w:w="1506" w:type="dxa"/>
            <w:gridSpan w:val="3"/>
            <w:shd w:val="clear" w:color="000000" w:fill="FFFF99"/>
            <w:vAlign w:val="center"/>
            <w:hideMark/>
          </w:tcPr>
          <w:p w14:paraId="2AEEC51C"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40%</w:t>
            </w:r>
          </w:p>
        </w:tc>
      </w:tr>
      <w:tr w:rsidR="00C20D18" w:rsidRPr="008C761D" w14:paraId="029AE4CB" w14:textId="77777777" w:rsidTr="003F623B">
        <w:trPr>
          <w:gridBefore w:val="1"/>
          <w:gridAfter w:val="1"/>
          <w:wBefore w:w="17" w:type="dxa"/>
          <w:wAfter w:w="180" w:type="dxa"/>
          <w:trHeight w:val="827"/>
          <w:jc w:val="center"/>
        </w:trPr>
        <w:tc>
          <w:tcPr>
            <w:tcW w:w="2368" w:type="dxa"/>
            <w:gridSpan w:val="6"/>
            <w:vMerge/>
            <w:vAlign w:val="center"/>
            <w:hideMark/>
          </w:tcPr>
          <w:p w14:paraId="6F6EF394"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shd w:val="clear" w:color="000000" w:fill="FFFF99"/>
            <w:vAlign w:val="center"/>
            <w:hideMark/>
          </w:tcPr>
          <w:p w14:paraId="0E836E27" w14:textId="4FC40685" w:rsidR="00C20D18" w:rsidRPr="008C761D" w:rsidRDefault="00B35F2B"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Reduction of the number of municipalities with blocked account in the current year compared to 2022</w:t>
            </w:r>
          </w:p>
        </w:tc>
        <w:tc>
          <w:tcPr>
            <w:tcW w:w="1194" w:type="dxa"/>
            <w:gridSpan w:val="3"/>
            <w:shd w:val="clear" w:color="000000" w:fill="FFFF99"/>
            <w:vAlign w:val="center"/>
            <w:hideMark/>
          </w:tcPr>
          <w:p w14:paraId="63258B88" w14:textId="0706F19F"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3266D78B" w14:textId="213094A8" w:rsidR="00C20D18" w:rsidRPr="008C761D" w:rsidRDefault="00C20D18" w:rsidP="00C20D18">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hideMark/>
          </w:tcPr>
          <w:p w14:paraId="2E67C1FE" w14:textId="1ABEE59F" w:rsidR="00C20D18" w:rsidRPr="008C761D" w:rsidRDefault="00B35F2B"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13 municipalities (average of the number of municipalities with blocked accounts by months, in 2022)</w:t>
            </w:r>
          </w:p>
        </w:tc>
        <w:tc>
          <w:tcPr>
            <w:tcW w:w="1644" w:type="dxa"/>
            <w:gridSpan w:val="3"/>
            <w:shd w:val="clear" w:color="000000" w:fill="FFFF99"/>
            <w:vAlign w:val="center"/>
            <w:hideMark/>
          </w:tcPr>
          <w:p w14:paraId="5D8A0696"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c>
          <w:tcPr>
            <w:tcW w:w="1758" w:type="dxa"/>
            <w:gridSpan w:val="2"/>
            <w:shd w:val="clear" w:color="000000" w:fill="FFFF99"/>
            <w:vAlign w:val="center"/>
            <w:hideMark/>
          </w:tcPr>
          <w:p w14:paraId="132B961E"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p>
        </w:tc>
        <w:tc>
          <w:tcPr>
            <w:tcW w:w="1842" w:type="dxa"/>
            <w:gridSpan w:val="3"/>
            <w:shd w:val="clear" w:color="000000" w:fill="FFFF99"/>
            <w:vAlign w:val="center"/>
            <w:hideMark/>
          </w:tcPr>
          <w:p w14:paraId="0A2AA66A"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506" w:type="dxa"/>
            <w:gridSpan w:val="3"/>
            <w:shd w:val="clear" w:color="000000" w:fill="FFFF99"/>
            <w:vAlign w:val="center"/>
            <w:hideMark/>
          </w:tcPr>
          <w:p w14:paraId="213ED5C0"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r>
      <w:tr w:rsidR="001D505C" w:rsidRPr="008C761D" w14:paraId="6AB47056" w14:textId="77777777" w:rsidTr="003F623B">
        <w:trPr>
          <w:gridBefore w:val="1"/>
          <w:gridAfter w:val="1"/>
          <w:wBefore w:w="17" w:type="dxa"/>
          <w:wAfter w:w="180" w:type="dxa"/>
          <w:trHeight w:val="971"/>
          <w:jc w:val="center"/>
        </w:trPr>
        <w:tc>
          <w:tcPr>
            <w:tcW w:w="2368" w:type="dxa"/>
            <w:gridSpan w:val="6"/>
            <w:shd w:val="clear" w:color="000000" w:fill="FFFF99"/>
            <w:vAlign w:val="center"/>
            <w:hideMark/>
          </w:tcPr>
          <w:p w14:paraId="0B480283" w14:textId="4F8DC939" w:rsidR="001D505C" w:rsidRPr="008C761D" w:rsidRDefault="00B35F2B"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Increased transparency and accountability of municipalities</w:t>
            </w:r>
          </w:p>
        </w:tc>
        <w:tc>
          <w:tcPr>
            <w:tcW w:w="1771" w:type="dxa"/>
            <w:gridSpan w:val="3"/>
            <w:shd w:val="clear" w:color="000000" w:fill="FFFF99"/>
            <w:vAlign w:val="center"/>
            <w:hideMark/>
          </w:tcPr>
          <w:p w14:paraId="649508FF" w14:textId="2851B3B6" w:rsidR="001D505C" w:rsidRPr="008C761D" w:rsidRDefault="00B35F2B" w:rsidP="001D505C">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municipalities out of the total number of municipalities (81) that have published financial documents (annual, semi-annual and quarterly reports) on their websites.</w:t>
            </w:r>
          </w:p>
        </w:tc>
        <w:tc>
          <w:tcPr>
            <w:tcW w:w="1194" w:type="dxa"/>
            <w:gridSpan w:val="3"/>
            <w:shd w:val="clear" w:color="000000" w:fill="FFFF99"/>
            <w:vAlign w:val="center"/>
            <w:hideMark/>
          </w:tcPr>
          <w:p w14:paraId="44871251" w14:textId="5906FFD6" w:rsidR="001D505C" w:rsidRPr="008C761D" w:rsidRDefault="001D505C"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Websites</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municipalities</w:t>
            </w:r>
          </w:p>
        </w:tc>
        <w:tc>
          <w:tcPr>
            <w:tcW w:w="1418" w:type="dxa"/>
            <w:gridSpan w:val="2"/>
            <w:shd w:val="clear" w:color="000000" w:fill="FFFF99"/>
            <w:vAlign w:val="center"/>
            <w:hideMark/>
          </w:tcPr>
          <w:p w14:paraId="0CD6895E" w14:textId="72C6BBA6" w:rsidR="001D505C" w:rsidRPr="008C761D" w:rsidRDefault="001D505C"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644" w:type="dxa"/>
            <w:gridSpan w:val="3"/>
            <w:shd w:val="clear" w:color="000000" w:fill="FFFF99"/>
            <w:hideMark/>
          </w:tcPr>
          <w:p w14:paraId="1D6089C2" w14:textId="7C7314F8" w:rsidR="001D505C" w:rsidRPr="008C761D" w:rsidRDefault="006A55CA"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75%</w:t>
            </w:r>
          </w:p>
        </w:tc>
        <w:tc>
          <w:tcPr>
            <w:tcW w:w="1758" w:type="dxa"/>
            <w:gridSpan w:val="2"/>
            <w:shd w:val="clear" w:color="000000" w:fill="FFFF99"/>
            <w:hideMark/>
          </w:tcPr>
          <w:p w14:paraId="1B918A35" w14:textId="65F8684D" w:rsidR="001D505C" w:rsidRPr="008C761D" w:rsidRDefault="006A55CA"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80%</w:t>
            </w:r>
          </w:p>
        </w:tc>
        <w:tc>
          <w:tcPr>
            <w:tcW w:w="1842" w:type="dxa"/>
            <w:gridSpan w:val="3"/>
            <w:shd w:val="clear" w:color="000000" w:fill="FFFF99"/>
            <w:hideMark/>
          </w:tcPr>
          <w:p w14:paraId="396FC59B" w14:textId="05C635B5" w:rsidR="001D505C" w:rsidRPr="008C761D" w:rsidRDefault="006A55CA"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90%</w:t>
            </w:r>
          </w:p>
        </w:tc>
        <w:tc>
          <w:tcPr>
            <w:tcW w:w="1506" w:type="dxa"/>
            <w:gridSpan w:val="3"/>
            <w:shd w:val="clear" w:color="000000" w:fill="FFFF99"/>
            <w:hideMark/>
          </w:tcPr>
          <w:p w14:paraId="0FFCA78C" w14:textId="20070B2A" w:rsidR="001D505C" w:rsidRPr="008C761D" w:rsidRDefault="006A55CA" w:rsidP="001D505C">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100%  </w:t>
            </w:r>
          </w:p>
        </w:tc>
      </w:tr>
      <w:tr w:rsidR="00C20D18" w:rsidRPr="008C761D" w14:paraId="56FE2BD4" w14:textId="77777777" w:rsidTr="003F623B">
        <w:trPr>
          <w:gridBefore w:val="1"/>
          <w:gridAfter w:val="1"/>
          <w:wBefore w:w="17" w:type="dxa"/>
          <w:wAfter w:w="180" w:type="dxa"/>
          <w:trHeight w:val="250"/>
          <w:jc w:val="center"/>
        </w:trPr>
        <w:tc>
          <w:tcPr>
            <w:tcW w:w="13501" w:type="dxa"/>
            <w:gridSpan w:val="25"/>
            <w:shd w:val="clear" w:color="000000" w:fill="9BD2ED"/>
            <w:vAlign w:val="center"/>
            <w:hideMark/>
          </w:tcPr>
          <w:p w14:paraId="27468236" w14:textId="630766A1" w:rsidR="00C20D18" w:rsidRPr="008C761D" w:rsidRDefault="00C20D18" w:rsidP="00C20D18">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1</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Increasing</w:t>
            </w:r>
            <w:r w:rsidR="00EC729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EC729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financial</w:t>
            </w:r>
            <w:r w:rsidR="00EC7294"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discipline</w:t>
            </w:r>
          </w:p>
        </w:tc>
      </w:tr>
      <w:tr w:rsidR="00C20D18" w:rsidRPr="008C761D" w14:paraId="4B871219" w14:textId="77777777" w:rsidTr="003F623B">
        <w:trPr>
          <w:gridBefore w:val="1"/>
          <w:gridAfter w:val="1"/>
          <w:wBefore w:w="17" w:type="dxa"/>
          <w:wAfter w:w="180" w:type="dxa"/>
          <w:trHeight w:val="249"/>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6FE45887"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26251E31" w14:textId="3CEF514F"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79040E0C" w14:textId="440F100D"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2B9BD0CE"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13A63ECA"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FG24</w:t>
            </w:r>
          </w:p>
        </w:tc>
        <w:tc>
          <w:tcPr>
            <w:tcW w:w="1758" w:type="dxa"/>
            <w:gridSpan w:val="2"/>
            <w:shd w:val="clear" w:color="000000" w:fill="9BD2ED"/>
            <w:vAlign w:val="center"/>
            <w:hideMark/>
          </w:tcPr>
          <w:p w14:paraId="6BC37797"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FG25</w:t>
            </w:r>
          </w:p>
        </w:tc>
        <w:tc>
          <w:tcPr>
            <w:tcW w:w="1842" w:type="dxa"/>
            <w:gridSpan w:val="3"/>
            <w:shd w:val="clear" w:color="000000" w:fill="9BD2ED"/>
            <w:vAlign w:val="center"/>
            <w:hideMark/>
          </w:tcPr>
          <w:p w14:paraId="44CFBC23" w14:textId="77777777" w:rsidR="00C20D18" w:rsidRPr="008C761D" w:rsidRDefault="00C20D18" w:rsidP="00C20D18">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FG26</w:t>
            </w:r>
          </w:p>
        </w:tc>
        <w:tc>
          <w:tcPr>
            <w:tcW w:w="1506" w:type="dxa"/>
            <w:gridSpan w:val="3"/>
            <w:shd w:val="clear" w:color="000000" w:fill="9BD2ED"/>
            <w:vAlign w:val="center"/>
            <w:hideMark/>
          </w:tcPr>
          <w:p w14:paraId="70717449"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FG27</w:t>
            </w:r>
          </w:p>
        </w:tc>
      </w:tr>
      <w:tr w:rsidR="003C7A42" w:rsidRPr="008C761D" w14:paraId="40893A80" w14:textId="77777777" w:rsidTr="003F623B">
        <w:trPr>
          <w:gridBefore w:val="1"/>
          <w:gridAfter w:val="1"/>
          <w:wBefore w:w="17" w:type="dxa"/>
          <w:wAfter w:w="180" w:type="dxa"/>
          <w:trHeight w:val="504"/>
          <w:jc w:val="center"/>
        </w:trPr>
        <w:tc>
          <w:tcPr>
            <w:tcW w:w="2368" w:type="dxa"/>
            <w:gridSpan w:val="6"/>
            <w:vMerge/>
            <w:tcBorders>
              <w:top w:val="nil"/>
              <w:left w:val="nil"/>
              <w:bottom w:val="nil"/>
              <w:right w:val="single" w:sz="8" w:space="0" w:color="000000"/>
            </w:tcBorders>
            <w:vAlign w:val="center"/>
          </w:tcPr>
          <w:p w14:paraId="17CE3368" w14:textId="77777777" w:rsidR="003C7A42" w:rsidRPr="008C761D" w:rsidRDefault="003C7A42"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5C96ECF4" w14:textId="02B683F2" w:rsidR="003C7A42" w:rsidRPr="008C761D" w:rsidRDefault="00B35F2B" w:rsidP="00C20D18">
            <w:pPr>
              <w:spacing w:after="0" w:line="240" w:lineRule="auto"/>
              <w:jc w:val="center"/>
              <w:rPr>
                <w:rFonts w:ascii="Arial" w:eastAsia="Times New Roman" w:hAnsi="Arial" w:cs="Arial"/>
                <w:sz w:val="12"/>
                <w:szCs w:val="12"/>
                <w:lang w:val="en-US" w:eastAsia="mk-MK"/>
              </w:rPr>
            </w:pPr>
            <w:bookmarkStart w:id="92" w:name="_Hlk155873644"/>
            <w:r w:rsidRPr="008C761D">
              <w:rPr>
                <w:rFonts w:ascii="Arial" w:eastAsia="Times New Roman" w:hAnsi="Arial" w:cs="Arial"/>
                <w:sz w:val="12"/>
                <w:szCs w:val="12"/>
                <w:lang w:val="en-US" w:eastAsia="mk-MK"/>
              </w:rPr>
              <w:t>Number of trained employees in the LGU</w:t>
            </w:r>
            <w:bookmarkEnd w:id="92"/>
          </w:p>
        </w:tc>
        <w:tc>
          <w:tcPr>
            <w:tcW w:w="1194" w:type="dxa"/>
            <w:gridSpan w:val="3"/>
            <w:shd w:val="clear" w:color="000000" w:fill="FFFF99"/>
            <w:vAlign w:val="center"/>
          </w:tcPr>
          <w:p w14:paraId="250D341E" w14:textId="5F6ACECB"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069536D2"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tcPr>
          <w:p w14:paraId="2564DA8D"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tcPr>
          <w:p w14:paraId="292118E8"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81</w:t>
            </w:r>
          </w:p>
        </w:tc>
        <w:tc>
          <w:tcPr>
            <w:tcW w:w="1758" w:type="dxa"/>
            <w:gridSpan w:val="2"/>
            <w:shd w:val="clear" w:color="000000" w:fill="FFFF99"/>
            <w:vAlign w:val="center"/>
          </w:tcPr>
          <w:p w14:paraId="75C55345"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81</w:t>
            </w:r>
          </w:p>
        </w:tc>
        <w:tc>
          <w:tcPr>
            <w:tcW w:w="1842" w:type="dxa"/>
            <w:gridSpan w:val="3"/>
            <w:shd w:val="clear" w:color="000000" w:fill="FFFF99"/>
            <w:vAlign w:val="center"/>
          </w:tcPr>
          <w:p w14:paraId="2E1879D9"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81</w:t>
            </w:r>
          </w:p>
        </w:tc>
        <w:tc>
          <w:tcPr>
            <w:tcW w:w="1506" w:type="dxa"/>
            <w:gridSpan w:val="3"/>
            <w:shd w:val="clear" w:color="000000" w:fill="FFFF99"/>
            <w:vAlign w:val="center"/>
          </w:tcPr>
          <w:p w14:paraId="7C07565D"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81</w:t>
            </w:r>
          </w:p>
        </w:tc>
      </w:tr>
      <w:tr w:rsidR="003C7A42" w:rsidRPr="008C761D" w14:paraId="237D61DD" w14:textId="77777777" w:rsidTr="003F623B">
        <w:trPr>
          <w:gridBefore w:val="1"/>
          <w:gridAfter w:val="1"/>
          <w:wBefore w:w="17" w:type="dxa"/>
          <w:wAfter w:w="180" w:type="dxa"/>
          <w:trHeight w:val="504"/>
          <w:jc w:val="center"/>
        </w:trPr>
        <w:tc>
          <w:tcPr>
            <w:tcW w:w="2368" w:type="dxa"/>
            <w:gridSpan w:val="6"/>
            <w:vMerge/>
            <w:tcBorders>
              <w:top w:val="nil"/>
              <w:left w:val="nil"/>
              <w:bottom w:val="nil"/>
              <w:right w:val="single" w:sz="8" w:space="0" w:color="000000"/>
            </w:tcBorders>
            <w:vAlign w:val="center"/>
          </w:tcPr>
          <w:p w14:paraId="6B961F22" w14:textId="77777777" w:rsidR="003C7A42" w:rsidRPr="008C761D" w:rsidRDefault="003C7A42"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793544FF" w14:textId="2E2278CF" w:rsidR="003C7A42" w:rsidRPr="008C761D" w:rsidRDefault="00B35F2B" w:rsidP="00C20D18">
            <w:pPr>
              <w:spacing w:after="0" w:line="240" w:lineRule="auto"/>
              <w:jc w:val="center"/>
              <w:rPr>
                <w:rFonts w:ascii="Arial" w:eastAsia="Times New Roman" w:hAnsi="Arial" w:cs="Arial"/>
                <w:sz w:val="12"/>
                <w:szCs w:val="12"/>
                <w:lang w:val="en-US" w:eastAsia="mk-MK"/>
              </w:rPr>
            </w:pPr>
            <w:bookmarkStart w:id="93" w:name="_Hlk155873663"/>
            <w:r w:rsidRPr="008C761D">
              <w:rPr>
                <w:rFonts w:ascii="Arial" w:eastAsia="Times New Roman" w:hAnsi="Arial" w:cs="Arial"/>
                <w:sz w:val="12"/>
                <w:szCs w:val="12"/>
                <w:lang w:val="en-US" w:eastAsia="mk-MK"/>
              </w:rPr>
              <w:t>Number of additional employments in the Unit for LGU Budgets</w:t>
            </w:r>
            <w:bookmarkEnd w:id="93"/>
          </w:p>
        </w:tc>
        <w:tc>
          <w:tcPr>
            <w:tcW w:w="1194" w:type="dxa"/>
            <w:gridSpan w:val="3"/>
            <w:shd w:val="clear" w:color="000000" w:fill="FFFF99"/>
            <w:vAlign w:val="center"/>
          </w:tcPr>
          <w:p w14:paraId="0BA4EF57" w14:textId="7CA0427C"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517E8418"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tcPr>
          <w:p w14:paraId="7D9E5BFD" w14:textId="5CDFFD1A"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current</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employees</w:t>
            </w:r>
          </w:p>
        </w:tc>
        <w:tc>
          <w:tcPr>
            <w:tcW w:w="1644" w:type="dxa"/>
            <w:gridSpan w:val="3"/>
            <w:shd w:val="clear" w:color="000000" w:fill="FFFF99"/>
            <w:vAlign w:val="center"/>
          </w:tcPr>
          <w:p w14:paraId="3F3BFFDB"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c>
          <w:tcPr>
            <w:tcW w:w="1758" w:type="dxa"/>
            <w:gridSpan w:val="2"/>
            <w:shd w:val="clear" w:color="000000" w:fill="FFFF99"/>
            <w:vAlign w:val="center"/>
          </w:tcPr>
          <w:p w14:paraId="7BD353A4"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w:t>
            </w:r>
          </w:p>
        </w:tc>
        <w:tc>
          <w:tcPr>
            <w:tcW w:w="1842" w:type="dxa"/>
            <w:gridSpan w:val="3"/>
            <w:shd w:val="clear" w:color="000000" w:fill="FFFF99"/>
            <w:vAlign w:val="center"/>
          </w:tcPr>
          <w:p w14:paraId="753CA7AC"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tc>
        <w:tc>
          <w:tcPr>
            <w:tcW w:w="1506" w:type="dxa"/>
            <w:gridSpan w:val="3"/>
            <w:shd w:val="clear" w:color="000000" w:fill="FFFF99"/>
            <w:vAlign w:val="center"/>
          </w:tcPr>
          <w:p w14:paraId="32F95D4F" w14:textId="77777777" w:rsidR="003C7A42"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w:t>
            </w:r>
          </w:p>
        </w:tc>
      </w:tr>
      <w:tr w:rsidR="00752E21" w:rsidRPr="008C761D" w14:paraId="59AA36D4" w14:textId="77777777" w:rsidTr="003F623B">
        <w:trPr>
          <w:gridBefore w:val="1"/>
          <w:gridAfter w:val="1"/>
          <w:wBefore w:w="17" w:type="dxa"/>
          <w:wAfter w:w="180" w:type="dxa"/>
          <w:trHeight w:val="504"/>
          <w:jc w:val="center"/>
        </w:trPr>
        <w:tc>
          <w:tcPr>
            <w:tcW w:w="2368" w:type="dxa"/>
            <w:gridSpan w:val="6"/>
            <w:vMerge/>
            <w:tcBorders>
              <w:top w:val="nil"/>
              <w:left w:val="nil"/>
              <w:bottom w:val="nil"/>
              <w:right w:val="single" w:sz="8" w:space="0" w:color="000000"/>
            </w:tcBorders>
            <w:vAlign w:val="center"/>
            <w:hideMark/>
          </w:tcPr>
          <w:p w14:paraId="1C201DAD" w14:textId="77777777" w:rsidR="00752E21" w:rsidRPr="008C761D" w:rsidRDefault="00752E21" w:rsidP="00752E21">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71F26C7" w14:textId="78B130E6" w:rsidR="00752E21" w:rsidRPr="008C761D" w:rsidRDefault="00B35F2B"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 of realized revenues in relation to the planned ones during the current year</w:t>
            </w:r>
          </w:p>
        </w:tc>
        <w:tc>
          <w:tcPr>
            <w:tcW w:w="1194" w:type="dxa"/>
            <w:gridSpan w:val="3"/>
            <w:shd w:val="clear" w:color="000000" w:fill="FFFF99"/>
            <w:vAlign w:val="center"/>
            <w:hideMark/>
          </w:tcPr>
          <w:p w14:paraId="211F6B39" w14:textId="0E49BB47" w:rsidR="00752E21" w:rsidRPr="008C761D" w:rsidRDefault="00752E21"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Budgets</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municipalities</w:t>
            </w:r>
          </w:p>
        </w:tc>
        <w:tc>
          <w:tcPr>
            <w:tcW w:w="1418" w:type="dxa"/>
            <w:gridSpan w:val="2"/>
            <w:shd w:val="clear" w:color="000000" w:fill="FFFF99"/>
            <w:vAlign w:val="center"/>
            <w:hideMark/>
          </w:tcPr>
          <w:p w14:paraId="4D6135C2" w14:textId="77777777" w:rsidR="00752E21" w:rsidRPr="008C761D" w:rsidRDefault="00752E21"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644" w:type="dxa"/>
            <w:gridSpan w:val="3"/>
            <w:shd w:val="clear" w:color="000000" w:fill="FFFF99"/>
            <w:hideMark/>
          </w:tcPr>
          <w:p w14:paraId="25583B54" w14:textId="49441CC1"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86%</w:t>
            </w:r>
          </w:p>
        </w:tc>
        <w:tc>
          <w:tcPr>
            <w:tcW w:w="1758" w:type="dxa"/>
            <w:gridSpan w:val="2"/>
            <w:shd w:val="clear" w:color="000000" w:fill="FFFF99"/>
            <w:hideMark/>
          </w:tcPr>
          <w:p w14:paraId="44E8D5EA" w14:textId="550FF16D"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89%</w:t>
            </w:r>
          </w:p>
        </w:tc>
        <w:tc>
          <w:tcPr>
            <w:tcW w:w="1842" w:type="dxa"/>
            <w:gridSpan w:val="3"/>
            <w:shd w:val="clear" w:color="000000" w:fill="FFFF99"/>
            <w:hideMark/>
          </w:tcPr>
          <w:p w14:paraId="33634807" w14:textId="5FADD037"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90%</w:t>
            </w:r>
          </w:p>
        </w:tc>
        <w:tc>
          <w:tcPr>
            <w:tcW w:w="1506" w:type="dxa"/>
            <w:gridSpan w:val="3"/>
            <w:shd w:val="clear" w:color="000000" w:fill="FFFF99"/>
            <w:hideMark/>
          </w:tcPr>
          <w:p w14:paraId="02CEFC1B" w14:textId="2A19C438"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92%  </w:t>
            </w:r>
          </w:p>
        </w:tc>
      </w:tr>
      <w:tr w:rsidR="00752E21" w:rsidRPr="008C761D" w14:paraId="17566465" w14:textId="77777777" w:rsidTr="003F623B">
        <w:trPr>
          <w:gridBefore w:val="1"/>
          <w:gridAfter w:val="1"/>
          <w:wBefore w:w="17" w:type="dxa"/>
          <w:wAfter w:w="180" w:type="dxa"/>
          <w:trHeight w:val="689"/>
          <w:jc w:val="center"/>
        </w:trPr>
        <w:tc>
          <w:tcPr>
            <w:tcW w:w="2368" w:type="dxa"/>
            <w:gridSpan w:val="6"/>
            <w:vMerge/>
            <w:tcBorders>
              <w:top w:val="nil"/>
              <w:left w:val="nil"/>
              <w:bottom w:val="nil"/>
              <w:right w:val="single" w:sz="8" w:space="0" w:color="000000"/>
            </w:tcBorders>
            <w:vAlign w:val="center"/>
            <w:hideMark/>
          </w:tcPr>
          <w:p w14:paraId="7206447F" w14:textId="77777777" w:rsidR="00752E21" w:rsidRPr="008C761D" w:rsidRDefault="00752E21" w:rsidP="00752E21">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57EB90A" w14:textId="7C30A5AD" w:rsidR="00752E21" w:rsidRPr="008C761D" w:rsidRDefault="00134B6E"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Percentage</w:t>
            </w:r>
            <w:r w:rsidR="00B35F2B" w:rsidRPr="008C761D">
              <w:rPr>
                <w:rFonts w:ascii="Arial" w:eastAsia="Times New Roman" w:hAnsi="Arial" w:cs="Arial"/>
                <w:sz w:val="12"/>
                <w:szCs w:val="12"/>
                <w:lang w:val="en-US" w:eastAsia="mk-MK"/>
              </w:rPr>
              <w:t xml:space="preserve"> of share of capital expenditures in relation to the total expenditures in the current year</w:t>
            </w:r>
          </w:p>
        </w:tc>
        <w:tc>
          <w:tcPr>
            <w:tcW w:w="1194" w:type="dxa"/>
            <w:gridSpan w:val="3"/>
            <w:shd w:val="clear" w:color="000000" w:fill="FFFF99"/>
            <w:vAlign w:val="center"/>
            <w:hideMark/>
          </w:tcPr>
          <w:p w14:paraId="198DAD0C" w14:textId="180698DE" w:rsidR="00752E21" w:rsidRPr="008C761D" w:rsidRDefault="00752E21"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Budgets</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municipalities</w:t>
            </w:r>
          </w:p>
        </w:tc>
        <w:tc>
          <w:tcPr>
            <w:tcW w:w="1418" w:type="dxa"/>
            <w:gridSpan w:val="2"/>
            <w:shd w:val="clear" w:color="000000" w:fill="FFFF99"/>
            <w:vAlign w:val="center"/>
            <w:hideMark/>
          </w:tcPr>
          <w:p w14:paraId="6B3454F0" w14:textId="77777777" w:rsidR="00752E21" w:rsidRPr="008C761D" w:rsidRDefault="00752E21"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w:t>
            </w:r>
          </w:p>
        </w:tc>
        <w:tc>
          <w:tcPr>
            <w:tcW w:w="1644" w:type="dxa"/>
            <w:gridSpan w:val="3"/>
            <w:shd w:val="clear" w:color="000000" w:fill="FFFF99"/>
            <w:hideMark/>
          </w:tcPr>
          <w:p w14:paraId="51AB6223" w14:textId="398963F2"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28%</w:t>
            </w:r>
          </w:p>
        </w:tc>
        <w:tc>
          <w:tcPr>
            <w:tcW w:w="1758" w:type="dxa"/>
            <w:gridSpan w:val="2"/>
            <w:shd w:val="clear" w:color="000000" w:fill="FFFF99"/>
            <w:hideMark/>
          </w:tcPr>
          <w:p w14:paraId="36E0C8BC" w14:textId="66CC1F51"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w:t>
            </w:r>
          </w:p>
        </w:tc>
        <w:tc>
          <w:tcPr>
            <w:tcW w:w="1842" w:type="dxa"/>
            <w:gridSpan w:val="3"/>
            <w:shd w:val="clear" w:color="000000" w:fill="FFFF99"/>
            <w:hideMark/>
          </w:tcPr>
          <w:p w14:paraId="68819CFA" w14:textId="3FDA4F8D"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33%</w:t>
            </w:r>
          </w:p>
        </w:tc>
        <w:tc>
          <w:tcPr>
            <w:tcW w:w="1506" w:type="dxa"/>
            <w:gridSpan w:val="3"/>
            <w:shd w:val="clear" w:color="000000" w:fill="FFFF99"/>
            <w:hideMark/>
          </w:tcPr>
          <w:p w14:paraId="4F700400" w14:textId="352AA7FE" w:rsidR="00752E21" w:rsidRPr="008C761D" w:rsidRDefault="006A55CA" w:rsidP="00752E21">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35%  </w:t>
            </w:r>
          </w:p>
        </w:tc>
      </w:tr>
      <w:tr w:rsidR="00C20D18" w:rsidRPr="008C761D" w14:paraId="56DC4A19" w14:textId="77777777" w:rsidTr="003F623B">
        <w:trPr>
          <w:gridBefore w:val="1"/>
          <w:gridAfter w:val="1"/>
          <w:wBefore w:w="17" w:type="dxa"/>
          <w:wAfter w:w="180" w:type="dxa"/>
          <w:trHeight w:val="547"/>
          <w:jc w:val="center"/>
        </w:trPr>
        <w:tc>
          <w:tcPr>
            <w:tcW w:w="2368" w:type="dxa"/>
            <w:gridSpan w:val="6"/>
            <w:vMerge/>
            <w:tcBorders>
              <w:top w:val="nil"/>
              <w:left w:val="nil"/>
              <w:bottom w:val="nil"/>
              <w:right w:val="single" w:sz="8" w:space="0" w:color="000000"/>
            </w:tcBorders>
            <w:vAlign w:val="center"/>
            <w:hideMark/>
          </w:tcPr>
          <w:p w14:paraId="68563BD9"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4F42E6C5" w14:textId="621BB0EE" w:rsidR="00C20D18" w:rsidRPr="008C761D" w:rsidRDefault="00B35F2B" w:rsidP="00C20D18">
            <w:pPr>
              <w:spacing w:after="0" w:line="240" w:lineRule="auto"/>
              <w:jc w:val="center"/>
              <w:rPr>
                <w:rFonts w:ascii="Arial" w:eastAsia="Times New Roman" w:hAnsi="Arial" w:cs="Arial"/>
                <w:sz w:val="12"/>
                <w:szCs w:val="12"/>
                <w:lang w:val="en-US" w:eastAsia="mk-MK"/>
              </w:rPr>
            </w:pPr>
            <w:bookmarkStart w:id="94" w:name="_Hlk155873718"/>
            <w:r w:rsidRPr="008C761D">
              <w:rPr>
                <w:rFonts w:ascii="Arial" w:eastAsia="Times New Roman" w:hAnsi="Arial" w:cs="Arial"/>
                <w:sz w:val="12"/>
                <w:szCs w:val="12"/>
                <w:lang w:val="en-US" w:eastAsia="mk-MK"/>
              </w:rPr>
              <w:t>New Law on unpaid obligations of the municipalities</w:t>
            </w:r>
            <w:bookmarkEnd w:id="94"/>
          </w:p>
        </w:tc>
        <w:tc>
          <w:tcPr>
            <w:tcW w:w="1194" w:type="dxa"/>
            <w:gridSpan w:val="3"/>
            <w:shd w:val="clear" w:color="000000" w:fill="FFFF99"/>
            <w:vAlign w:val="center"/>
            <w:hideMark/>
          </w:tcPr>
          <w:p w14:paraId="549C05D5" w14:textId="345E0E6C"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0098964C" w14:textId="6409C17D" w:rsidR="00C20D18"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tc>
        <w:tc>
          <w:tcPr>
            <w:tcW w:w="1418" w:type="dxa"/>
            <w:gridSpan w:val="2"/>
            <w:shd w:val="clear" w:color="000000" w:fill="FFFF99"/>
            <w:vAlign w:val="center"/>
            <w:hideMark/>
          </w:tcPr>
          <w:p w14:paraId="78CA93E2" w14:textId="6550B4DF"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0E9840BD" w14:textId="6077D899" w:rsidR="00C20D18" w:rsidRPr="008C761D" w:rsidRDefault="00B35F2B"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New Law on unpaid obligations of the municipalities</w:t>
            </w:r>
          </w:p>
        </w:tc>
        <w:tc>
          <w:tcPr>
            <w:tcW w:w="1758" w:type="dxa"/>
            <w:gridSpan w:val="2"/>
            <w:shd w:val="clear" w:color="000000" w:fill="FFFF99"/>
            <w:vAlign w:val="center"/>
            <w:hideMark/>
          </w:tcPr>
          <w:p w14:paraId="01F84671" w14:textId="472A3B4C"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2CB2FDDF" w14:textId="3A31ADF3"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69C21CEB" w14:textId="1EEB06DD"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r>
      <w:tr w:rsidR="00C20D18" w:rsidRPr="008C761D" w14:paraId="6430740E" w14:textId="77777777" w:rsidTr="003F623B">
        <w:trPr>
          <w:gridBefore w:val="1"/>
          <w:gridAfter w:val="1"/>
          <w:wBefore w:w="17" w:type="dxa"/>
          <w:wAfter w:w="180" w:type="dxa"/>
          <w:trHeight w:val="397"/>
          <w:jc w:val="center"/>
        </w:trPr>
        <w:tc>
          <w:tcPr>
            <w:tcW w:w="2368" w:type="dxa"/>
            <w:gridSpan w:val="6"/>
            <w:vMerge/>
            <w:tcBorders>
              <w:top w:val="nil"/>
              <w:left w:val="nil"/>
              <w:bottom w:val="nil"/>
              <w:right w:val="single" w:sz="8" w:space="0" w:color="000000"/>
            </w:tcBorders>
            <w:vAlign w:val="center"/>
            <w:hideMark/>
          </w:tcPr>
          <w:p w14:paraId="5C137C0B"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728A9F77" w14:textId="6AB3B566" w:rsidR="00C20D18" w:rsidRPr="008C761D" w:rsidRDefault="00B35F2B" w:rsidP="00C20D18">
            <w:pPr>
              <w:spacing w:after="0" w:line="240" w:lineRule="auto"/>
              <w:jc w:val="center"/>
              <w:rPr>
                <w:rFonts w:ascii="Arial" w:eastAsia="Times New Roman" w:hAnsi="Arial" w:cs="Arial"/>
                <w:sz w:val="12"/>
                <w:szCs w:val="12"/>
                <w:lang w:val="en-US" w:eastAsia="mk-MK"/>
              </w:rPr>
            </w:pPr>
            <w:bookmarkStart w:id="95" w:name="_Hlk155873747"/>
            <w:r w:rsidRPr="008C761D">
              <w:rPr>
                <w:rFonts w:ascii="Arial" w:eastAsia="Times New Roman" w:hAnsi="Arial" w:cs="Arial"/>
                <w:sz w:val="12"/>
                <w:szCs w:val="12"/>
                <w:lang w:val="en-US" w:eastAsia="mk-MK"/>
              </w:rPr>
              <w:t>By-laws</w:t>
            </w:r>
            <w:r w:rsidRPr="008C761D" w:rsidDel="00765369">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 a New Law on unpaid obligations of the municipalities</w:t>
            </w:r>
            <w:bookmarkEnd w:id="95"/>
          </w:p>
        </w:tc>
        <w:tc>
          <w:tcPr>
            <w:tcW w:w="1194" w:type="dxa"/>
            <w:gridSpan w:val="3"/>
            <w:shd w:val="clear" w:color="000000" w:fill="FFFF99"/>
            <w:vAlign w:val="center"/>
            <w:hideMark/>
          </w:tcPr>
          <w:p w14:paraId="4B148088" w14:textId="43211916" w:rsidR="003C7A42"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6C93B540" w14:textId="109EB5E8" w:rsidR="00C20D18" w:rsidRPr="008C761D" w:rsidRDefault="003C7A42" w:rsidP="003C7A42">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br/>
              <w:t>USAID</w:t>
            </w:r>
          </w:p>
        </w:tc>
        <w:tc>
          <w:tcPr>
            <w:tcW w:w="1418" w:type="dxa"/>
            <w:gridSpan w:val="2"/>
            <w:shd w:val="clear" w:color="000000" w:fill="FFFF99"/>
            <w:vAlign w:val="center"/>
            <w:hideMark/>
          </w:tcPr>
          <w:p w14:paraId="799D3BE7"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200FFD3D" w14:textId="33B530F7"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roofErr w:type="gramStart"/>
            <w:r w:rsidRPr="008C761D">
              <w:rPr>
                <w:rFonts w:ascii="Arial" w:eastAsia="Times New Roman" w:hAnsi="Arial" w:cs="Arial"/>
                <w:sz w:val="12"/>
                <w:szCs w:val="12"/>
                <w:lang w:val="en-US" w:eastAsia="mk-MK"/>
              </w:rPr>
              <w:t>%  new</w:t>
            </w:r>
            <w:proofErr w:type="gramEnd"/>
            <w:r w:rsidRPr="008C761D">
              <w:rPr>
                <w:rFonts w:ascii="Arial" w:eastAsia="Times New Roman" w:hAnsi="Arial" w:cs="Arial"/>
                <w:sz w:val="12"/>
                <w:szCs w:val="12"/>
                <w:lang w:val="en-US" w:eastAsia="mk-MK"/>
              </w:rPr>
              <w:t xml:space="preserve"> by-laws</w:t>
            </w:r>
          </w:p>
        </w:tc>
        <w:tc>
          <w:tcPr>
            <w:tcW w:w="1758" w:type="dxa"/>
            <w:gridSpan w:val="2"/>
            <w:shd w:val="clear" w:color="000000" w:fill="FFFF99"/>
            <w:vAlign w:val="center"/>
            <w:hideMark/>
          </w:tcPr>
          <w:p w14:paraId="2072CB6E" w14:textId="49244999" w:rsidR="00C20D18" w:rsidRPr="008C761D" w:rsidRDefault="003C7A42"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50</w:t>
            </w:r>
            <w:proofErr w:type="gramStart"/>
            <w:r w:rsidRPr="008C761D">
              <w:rPr>
                <w:rFonts w:ascii="Arial" w:eastAsia="Times New Roman" w:hAnsi="Arial" w:cs="Arial"/>
                <w:sz w:val="12"/>
                <w:szCs w:val="12"/>
                <w:lang w:val="en-US" w:eastAsia="mk-MK"/>
              </w:rPr>
              <w:t>%  new</w:t>
            </w:r>
            <w:proofErr w:type="gramEnd"/>
            <w:r w:rsidRPr="008C761D">
              <w:rPr>
                <w:rFonts w:ascii="Arial" w:eastAsia="Times New Roman" w:hAnsi="Arial" w:cs="Arial"/>
                <w:sz w:val="12"/>
                <w:szCs w:val="12"/>
                <w:lang w:val="en-US" w:eastAsia="mk-MK"/>
              </w:rPr>
              <w:t xml:space="preserve"> by-laws</w:t>
            </w:r>
          </w:p>
        </w:tc>
        <w:tc>
          <w:tcPr>
            <w:tcW w:w="1842" w:type="dxa"/>
            <w:gridSpan w:val="3"/>
            <w:shd w:val="clear" w:color="000000" w:fill="FFFF99"/>
            <w:vAlign w:val="center"/>
            <w:hideMark/>
          </w:tcPr>
          <w:p w14:paraId="6EF2EC43"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785EB41B"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r>
      <w:tr w:rsidR="00C20D18" w:rsidRPr="008C761D" w14:paraId="7E4CA7DF" w14:textId="77777777" w:rsidTr="003F623B">
        <w:trPr>
          <w:gridBefore w:val="1"/>
          <w:gridAfter w:val="1"/>
          <w:wBefore w:w="17" w:type="dxa"/>
          <w:wAfter w:w="180" w:type="dxa"/>
          <w:trHeight w:val="506"/>
          <w:jc w:val="center"/>
        </w:trPr>
        <w:tc>
          <w:tcPr>
            <w:tcW w:w="2368" w:type="dxa"/>
            <w:gridSpan w:val="6"/>
            <w:vMerge/>
            <w:tcBorders>
              <w:top w:val="nil"/>
              <w:left w:val="nil"/>
              <w:bottom w:val="nil"/>
              <w:right w:val="single" w:sz="8" w:space="0" w:color="000000"/>
            </w:tcBorders>
            <w:vAlign w:val="center"/>
            <w:hideMark/>
          </w:tcPr>
          <w:p w14:paraId="31E12DDB"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6A8EC33" w14:textId="444053EC" w:rsidR="00C20D18" w:rsidRPr="008C761D" w:rsidRDefault="00B35F2B" w:rsidP="00C20D18">
            <w:pPr>
              <w:spacing w:after="0" w:line="240" w:lineRule="auto"/>
              <w:jc w:val="center"/>
              <w:rPr>
                <w:rFonts w:ascii="Arial" w:eastAsia="Times New Roman" w:hAnsi="Arial" w:cs="Arial"/>
                <w:sz w:val="12"/>
                <w:szCs w:val="12"/>
                <w:lang w:val="en-US" w:eastAsia="mk-MK"/>
              </w:rPr>
            </w:pPr>
            <w:bookmarkStart w:id="96" w:name="_Hlk155873770"/>
            <w:r w:rsidRPr="008C761D">
              <w:rPr>
                <w:rFonts w:ascii="Arial" w:eastAsia="Times New Roman" w:hAnsi="Arial" w:cs="Arial"/>
                <w:sz w:val="12"/>
                <w:szCs w:val="12"/>
                <w:lang w:val="en-US" w:eastAsia="mk-MK"/>
              </w:rPr>
              <w:t>Internal procedures for declaring financial instability</w:t>
            </w:r>
            <w:bookmarkEnd w:id="96"/>
          </w:p>
        </w:tc>
        <w:tc>
          <w:tcPr>
            <w:tcW w:w="1194" w:type="dxa"/>
            <w:gridSpan w:val="3"/>
            <w:shd w:val="clear" w:color="000000" w:fill="FFFF99"/>
            <w:vAlign w:val="center"/>
            <w:hideMark/>
          </w:tcPr>
          <w:p w14:paraId="397A1880" w14:textId="1E61CCED"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1C0AB447" w14:textId="390634B5" w:rsidR="00C20D18" w:rsidRPr="008C761D" w:rsidRDefault="00C20D18" w:rsidP="00C20D18">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hideMark/>
          </w:tcPr>
          <w:p w14:paraId="61B2D019"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644" w:type="dxa"/>
            <w:gridSpan w:val="3"/>
            <w:shd w:val="clear" w:color="000000" w:fill="FFFF99"/>
            <w:vAlign w:val="center"/>
            <w:hideMark/>
          </w:tcPr>
          <w:p w14:paraId="23E633CA" w14:textId="2A786BEB" w:rsidR="00C20D18" w:rsidRPr="008C761D" w:rsidRDefault="00B35F2B"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Internal procedures for declaring financial instability</w:t>
            </w:r>
          </w:p>
        </w:tc>
        <w:tc>
          <w:tcPr>
            <w:tcW w:w="1758" w:type="dxa"/>
            <w:gridSpan w:val="2"/>
            <w:shd w:val="clear" w:color="000000" w:fill="FFFF99"/>
            <w:vAlign w:val="center"/>
            <w:hideMark/>
          </w:tcPr>
          <w:p w14:paraId="515D84A7"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0BB6E452"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0261D59D"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r>
      <w:tr w:rsidR="00C20D18" w:rsidRPr="008C761D" w14:paraId="72343579" w14:textId="77777777" w:rsidTr="003F623B">
        <w:trPr>
          <w:gridBefore w:val="1"/>
          <w:gridAfter w:val="1"/>
          <w:wBefore w:w="17" w:type="dxa"/>
          <w:wAfter w:w="180" w:type="dxa"/>
          <w:trHeight w:val="253"/>
          <w:jc w:val="center"/>
        </w:trPr>
        <w:tc>
          <w:tcPr>
            <w:tcW w:w="2368" w:type="dxa"/>
            <w:gridSpan w:val="6"/>
            <w:vMerge/>
            <w:tcBorders>
              <w:top w:val="nil"/>
              <w:left w:val="nil"/>
              <w:bottom w:val="nil"/>
              <w:right w:val="single" w:sz="8" w:space="0" w:color="000000"/>
            </w:tcBorders>
            <w:vAlign w:val="center"/>
            <w:hideMark/>
          </w:tcPr>
          <w:p w14:paraId="5DD10CEC"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37E9B4B1"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1BC5C6EA" w14:textId="29E8C4DF"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0D6CC5F8" w14:textId="61D55A94"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0F36F19" w14:textId="5100C91D"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35F9C7CE"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4A730CBE" w14:textId="250255F1" w:rsidR="00C20D18" w:rsidRPr="008C761D" w:rsidRDefault="00C20D18" w:rsidP="00C20D18">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3ABCA5DF" w14:textId="77777777" w:rsidR="00C20D18" w:rsidRPr="008C761D" w:rsidRDefault="00C20D18" w:rsidP="00C20D18">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C20D18" w:rsidRPr="008C761D" w14:paraId="6A43C84B" w14:textId="77777777" w:rsidTr="003F623B">
        <w:trPr>
          <w:gridBefore w:val="1"/>
          <w:gridAfter w:val="1"/>
          <w:wBefore w:w="17" w:type="dxa"/>
          <w:wAfter w:w="180" w:type="dxa"/>
          <w:trHeight w:val="303"/>
          <w:jc w:val="center"/>
        </w:trPr>
        <w:tc>
          <w:tcPr>
            <w:tcW w:w="2368" w:type="dxa"/>
            <w:gridSpan w:val="6"/>
            <w:vMerge/>
            <w:tcBorders>
              <w:top w:val="nil"/>
              <w:left w:val="nil"/>
              <w:bottom w:val="nil"/>
              <w:right w:val="single" w:sz="8" w:space="0" w:color="000000"/>
            </w:tcBorders>
            <w:vAlign w:val="center"/>
            <w:hideMark/>
          </w:tcPr>
          <w:p w14:paraId="57F45E83"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54DAB5A9" w14:textId="792EF438" w:rsidR="00C20D18" w:rsidRPr="008C761D" w:rsidRDefault="00B35F2B"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 Trainings for strengthening the capacities of the employees in the municipalities for realistic planning of the revenues and expenses of the municipalities</w:t>
            </w:r>
          </w:p>
        </w:tc>
        <w:tc>
          <w:tcPr>
            <w:tcW w:w="1194" w:type="dxa"/>
            <w:gridSpan w:val="3"/>
            <w:shd w:val="clear" w:color="000000" w:fill="FFFF99"/>
            <w:vAlign w:val="center"/>
            <w:hideMark/>
          </w:tcPr>
          <w:p w14:paraId="6577E7B6"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7CB6E97E" w14:textId="69C17598" w:rsidR="00C20D18" w:rsidRPr="008C761D" w:rsidRDefault="00927E89"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hideMark/>
          </w:tcPr>
          <w:p w14:paraId="10288122"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shd w:val="clear" w:color="000000" w:fill="FFFF99"/>
            <w:vAlign w:val="center"/>
            <w:hideMark/>
          </w:tcPr>
          <w:p w14:paraId="7CEEC0A7" w14:textId="307A0154" w:rsidR="00C20D18" w:rsidRPr="008C761D" w:rsidRDefault="00010FFA"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32.000</w:t>
            </w:r>
          </w:p>
        </w:tc>
        <w:tc>
          <w:tcPr>
            <w:tcW w:w="1842" w:type="dxa"/>
            <w:gridSpan w:val="3"/>
            <w:shd w:val="clear" w:color="000000" w:fill="FFFF99"/>
            <w:vAlign w:val="center"/>
            <w:hideMark/>
          </w:tcPr>
          <w:p w14:paraId="6E61B58F" w14:textId="4050ADDC" w:rsidR="00C20D18" w:rsidRPr="008C761D" w:rsidRDefault="00134B6E"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shd w:val="clear" w:color="000000" w:fill="FFFF99"/>
            <w:vAlign w:val="center"/>
            <w:hideMark/>
          </w:tcPr>
          <w:p w14:paraId="357F288F" w14:textId="31BE2919"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C20D18" w:rsidRPr="008C761D" w14:paraId="46945DF2" w14:textId="77777777" w:rsidTr="003F623B">
        <w:trPr>
          <w:gridBefore w:val="1"/>
          <w:gridAfter w:val="1"/>
          <w:wBefore w:w="17" w:type="dxa"/>
          <w:wAfter w:w="180" w:type="dxa"/>
          <w:trHeight w:val="281"/>
          <w:jc w:val="center"/>
        </w:trPr>
        <w:tc>
          <w:tcPr>
            <w:tcW w:w="2368" w:type="dxa"/>
            <w:gridSpan w:val="6"/>
            <w:vMerge/>
            <w:tcBorders>
              <w:top w:val="nil"/>
              <w:left w:val="nil"/>
              <w:bottom w:val="nil"/>
              <w:right w:val="single" w:sz="8" w:space="0" w:color="000000"/>
            </w:tcBorders>
            <w:vAlign w:val="center"/>
            <w:hideMark/>
          </w:tcPr>
          <w:p w14:paraId="4567D6FD" w14:textId="77777777" w:rsidR="00C20D18" w:rsidRPr="008C761D" w:rsidRDefault="00C20D18" w:rsidP="00C20D18">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bottom w:val="single" w:sz="4" w:space="0" w:color="auto"/>
            </w:tcBorders>
            <w:shd w:val="clear" w:color="000000" w:fill="FFFF99"/>
            <w:vAlign w:val="center"/>
            <w:hideMark/>
          </w:tcPr>
          <w:p w14:paraId="3BAF7769" w14:textId="650777DD" w:rsidR="00C20D18" w:rsidRPr="008C761D" w:rsidRDefault="00B35F2B" w:rsidP="00C20D18">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Strengthening the capacity of employees in the Unit of budget of the local self-government unit</w:t>
            </w:r>
          </w:p>
        </w:tc>
        <w:tc>
          <w:tcPr>
            <w:tcW w:w="1194" w:type="dxa"/>
            <w:gridSpan w:val="3"/>
            <w:shd w:val="clear" w:color="000000" w:fill="FFFF99"/>
            <w:vAlign w:val="center"/>
            <w:hideMark/>
          </w:tcPr>
          <w:p w14:paraId="5584C645" w14:textId="77777777"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4815885E" w14:textId="7EFB3D33" w:rsidR="00C20D18" w:rsidRPr="008C761D" w:rsidRDefault="00927E89"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hideMark/>
          </w:tcPr>
          <w:p w14:paraId="7D1D6386" w14:textId="50A094C6" w:rsidR="00C20D18" w:rsidRPr="008C761D" w:rsidRDefault="00010FFA"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758" w:type="dxa"/>
            <w:gridSpan w:val="2"/>
            <w:shd w:val="clear" w:color="000000" w:fill="FFFF99"/>
            <w:vAlign w:val="center"/>
            <w:hideMark/>
          </w:tcPr>
          <w:p w14:paraId="6B8002AA" w14:textId="115C749C" w:rsidR="00C20D18" w:rsidRPr="008C761D" w:rsidRDefault="00010FFA"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55.8</w:t>
            </w:r>
            <w:r w:rsidR="003E6048" w:rsidRPr="008C761D">
              <w:rPr>
                <w:rFonts w:ascii="Arial" w:eastAsia="Times New Roman" w:hAnsi="Arial" w:cs="Arial"/>
                <w:sz w:val="12"/>
                <w:szCs w:val="12"/>
                <w:lang w:val="en-US" w:eastAsia="mk-MK"/>
              </w:rPr>
              <w:t>00</w:t>
            </w:r>
          </w:p>
        </w:tc>
        <w:tc>
          <w:tcPr>
            <w:tcW w:w="1842" w:type="dxa"/>
            <w:gridSpan w:val="3"/>
            <w:shd w:val="clear" w:color="000000" w:fill="FFFF99"/>
            <w:vAlign w:val="center"/>
            <w:hideMark/>
          </w:tcPr>
          <w:p w14:paraId="28F31EAF" w14:textId="7187589F"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shd w:val="clear" w:color="000000" w:fill="FFFF99"/>
            <w:vAlign w:val="center"/>
            <w:hideMark/>
          </w:tcPr>
          <w:p w14:paraId="11ECDAD8" w14:textId="673B7A8C" w:rsidR="00C20D18" w:rsidRPr="008C761D" w:rsidRDefault="00C20D18" w:rsidP="00C20D18">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r>
      <w:tr w:rsidR="00010FFA" w:rsidRPr="008C761D" w14:paraId="5AB70372" w14:textId="77777777" w:rsidTr="003F623B">
        <w:trPr>
          <w:gridBefore w:val="1"/>
          <w:gridAfter w:val="1"/>
          <w:wBefore w:w="17" w:type="dxa"/>
          <w:wAfter w:w="180" w:type="dxa"/>
          <w:trHeight w:val="934"/>
          <w:jc w:val="center"/>
        </w:trPr>
        <w:tc>
          <w:tcPr>
            <w:tcW w:w="2368" w:type="dxa"/>
            <w:gridSpan w:val="6"/>
            <w:vMerge/>
            <w:tcBorders>
              <w:top w:val="nil"/>
              <w:left w:val="nil"/>
              <w:bottom w:val="nil"/>
              <w:right w:val="single" w:sz="4" w:space="0" w:color="auto"/>
            </w:tcBorders>
            <w:vAlign w:val="center"/>
            <w:hideMark/>
          </w:tcPr>
          <w:p w14:paraId="44E4DFB6"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1B6717F2" w14:textId="4E22C43D" w:rsidR="00010FFA" w:rsidRPr="008C761D" w:rsidRDefault="00B35F2B"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 Decreasing current expenses and increasing capital expenses in the structure of total expenses by establishing performance indicators</w:t>
            </w:r>
          </w:p>
        </w:tc>
        <w:tc>
          <w:tcPr>
            <w:tcW w:w="1194" w:type="dxa"/>
            <w:gridSpan w:val="3"/>
            <w:tcBorders>
              <w:left w:val="single" w:sz="4" w:space="0" w:color="auto"/>
              <w:bottom w:val="single" w:sz="8" w:space="0" w:color="000000"/>
            </w:tcBorders>
            <w:shd w:val="clear" w:color="000000" w:fill="FFFF99"/>
            <w:vAlign w:val="center"/>
            <w:hideMark/>
          </w:tcPr>
          <w:p w14:paraId="5D0E55AF"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tcBorders>
              <w:bottom w:val="single" w:sz="8" w:space="0" w:color="000000"/>
            </w:tcBorders>
            <w:shd w:val="clear" w:color="000000" w:fill="FFFF99"/>
            <w:hideMark/>
          </w:tcPr>
          <w:p w14:paraId="09FA1250"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599D4494"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5E50D293" w14:textId="489659ED"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tcBorders>
              <w:bottom w:val="single" w:sz="8" w:space="0" w:color="000000"/>
            </w:tcBorders>
            <w:shd w:val="clear" w:color="000000" w:fill="FFFF99"/>
            <w:vAlign w:val="center"/>
            <w:hideMark/>
          </w:tcPr>
          <w:p w14:paraId="5DAB2B77"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tcBorders>
              <w:bottom w:val="single" w:sz="8" w:space="0" w:color="000000"/>
            </w:tcBorders>
            <w:shd w:val="clear" w:color="000000" w:fill="FFFF99"/>
            <w:vAlign w:val="center"/>
            <w:hideMark/>
          </w:tcPr>
          <w:p w14:paraId="0AAF6646" w14:textId="2D686E4D"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tcBorders>
              <w:bottom w:val="single" w:sz="8" w:space="0" w:color="000000"/>
            </w:tcBorders>
            <w:shd w:val="clear" w:color="000000" w:fill="FFFF99"/>
            <w:vAlign w:val="center"/>
            <w:hideMark/>
          </w:tcPr>
          <w:p w14:paraId="05F35071" w14:textId="705FB722"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tc>
        <w:tc>
          <w:tcPr>
            <w:tcW w:w="1506" w:type="dxa"/>
            <w:gridSpan w:val="3"/>
            <w:tcBorders>
              <w:bottom w:val="single" w:sz="8" w:space="0" w:color="000000"/>
            </w:tcBorders>
            <w:shd w:val="clear" w:color="000000" w:fill="FFFF99"/>
            <w:vAlign w:val="center"/>
            <w:hideMark/>
          </w:tcPr>
          <w:p w14:paraId="6261BDB0" w14:textId="6FD93E39" w:rsidR="00010FFA" w:rsidRPr="008C761D" w:rsidRDefault="00010FFA" w:rsidP="00670CEC">
            <w:pPr>
              <w:spacing w:after="0" w:line="240" w:lineRule="auto"/>
              <w:jc w:val="center"/>
              <w:rPr>
                <w:rFonts w:ascii="Arial" w:eastAsia="Times New Roman" w:hAnsi="Arial" w:cs="Arial"/>
                <w:sz w:val="12"/>
                <w:szCs w:val="12"/>
                <w:lang w:val="en-US" w:eastAsia="mk-MK"/>
              </w:rPr>
            </w:pPr>
          </w:p>
        </w:tc>
      </w:tr>
      <w:tr w:rsidR="00010FFA" w:rsidRPr="008C761D" w14:paraId="5BE555CE" w14:textId="77777777" w:rsidTr="003F623B">
        <w:trPr>
          <w:gridBefore w:val="1"/>
          <w:gridAfter w:val="1"/>
          <w:wBefore w:w="17" w:type="dxa"/>
          <w:wAfter w:w="180" w:type="dxa"/>
          <w:trHeight w:val="700"/>
          <w:jc w:val="center"/>
        </w:trPr>
        <w:tc>
          <w:tcPr>
            <w:tcW w:w="2368" w:type="dxa"/>
            <w:gridSpan w:val="6"/>
            <w:tcBorders>
              <w:top w:val="nil"/>
              <w:left w:val="nil"/>
              <w:bottom w:val="nil"/>
              <w:right w:val="single" w:sz="4" w:space="0" w:color="auto"/>
            </w:tcBorders>
            <w:vAlign w:val="center"/>
          </w:tcPr>
          <w:p w14:paraId="3A0C0594"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7A3EDE72" w14:textId="6142C846" w:rsidR="00010FFA" w:rsidRPr="008C761D" w:rsidRDefault="00B35F2B"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 New Law on unpaid obligations of the municipalities</w:t>
            </w:r>
          </w:p>
        </w:tc>
        <w:tc>
          <w:tcPr>
            <w:tcW w:w="1194" w:type="dxa"/>
            <w:gridSpan w:val="3"/>
            <w:tcBorders>
              <w:left w:val="single" w:sz="4" w:space="0" w:color="auto"/>
              <w:bottom w:val="single" w:sz="8" w:space="0" w:color="000000"/>
            </w:tcBorders>
            <w:shd w:val="clear" w:color="000000" w:fill="FFFF99"/>
            <w:vAlign w:val="center"/>
          </w:tcPr>
          <w:p w14:paraId="58E8B9E4" w14:textId="1A5C57DE"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w:t>
            </w:r>
            <w:r w:rsidR="00EA6450" w:rsidRPr="008C761D">
              <w:rPr>
                <w:rFonts w:ascii="Arial" w:eastAsia="Times New Roman" w:hAnsi="Arial" w:cs="Arial"/>
                <w:sz w:val="12"/>
                <w:szCs w:val="12"/>
                <w:lang w:val="en-US" w:eastAsia="mk-MK"/>
              </w:rPr>
              <w:t>5</w:t>
            </w:r>
            <w:r w:rsidRPr="008C761D">
              <w:rPr>
                <w:rFonts w:ascii="Arial" w:eastAsia="Times New Roman" w:hAnsi="Arial" w:cs="Arial"/>
                <w:sz w:val="12"/>
                <w:szCs w:val="12"/>
                <w:lang w:val="en-US" w:eastAsia="mk-MK"/>
              </w:rPr>
              <w:t>-2027</w:t>
            </w:r>
          </w:p>
        </w:tc>
        <w:tc>
          <w:tcPr>
            <w:tcW w:w="1418" w:type="dxa"/>
            <w:gridSpan w:val="2"/>
            <w:tcBorders>
              <w:bottom w:val="single" w:sz="8" w:space="0" w:color="000000"/>
            </w:tcBorders>
            <w:shd w:val="clear" w:color="000000" w:fill="FFFF99"/>
          </w:tcPr>
          <w:p w14:paraId="7330510B"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1FA1FE72"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24AB212D"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155A7F37" w14:textId="3DF90E50"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tcBorders>
              <w:bottom w:val="single" w:sz="8" w:space="0" w:color="000000"/>
            </w:tcBorders>
            <w:shd w:val="clear" w:color="000000" w:fill="FFFF99"/>
            <w:vAlign w:val="center"/>
          </w:tcPr>
          <w:p w14:paraId="4BCF1787"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p w14:paraId="62C678DF"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7317F340"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USAID</w:t>
            </w:r>
          </w:p>
          <w:p w14:paraId="78DBE232"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2681936C"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xml:space="preserve">ZELS </w:t>
            </w:r>
          </w:p>
          <w:p w14:paraId="5401686E" w14:textId="77777777" w:rsidR="00010FFA" w:rsidRPr="008C761D" w:rsidRDefault="00010FFA" w:rsidP="00010FFA">
            <w:pPr>
              <w:spacing w:after="0" w:line="240" w:lineRule="auto"/>
              <w:rPr>
                <w:rFonts w:ascii="Arial" w:eastAsia="Times New Roman" w:hAnsi="Arial" w:cs="Arial"/>
                <w:sz w:val="12"/>
                <w:szCs w:val="12"/>
                <w:lang w:val="en-US" w:eastAsia="mk-MK"/>
              </w:rPr>
            </w:pPr>
          </w:p>
          <w:p w14:paraId="551027C4"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MLS</w:t>
            </w:r>
          </w:p>
        </w:tc>
        <w:tc>
          <w:tcPr>
            <w:tcW w:w="1758" w:type="dxa"/>
            <w:gridSpan w:val="2"/>
            <w:tcBorders>
              <w:bottom w:val="single" w:sz="8" w:space="0" w:color="000000"/>
            </w:tcBorders>
            <w:shd w:val="clear" w:color="000000" w:fill="FFFF99"/>
            <w:vAlign w:val="center"/>
          </w:tcPr>
          <w:p w14:paraId="67D261F1"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30.000</w:t>
            </w:r>
          </w:p>
        </w:tc>
        <w:tc>
          <w:tcPr>
            <w:tcW w:w="1842" w:type="dxa"/>
            <w:gridSpan w:val="3"/>
            <w:tcBorders>
              <w:bottom w:val="single" w:sz="8" w:space="0" w:color="000000"/>
            </w:tcBorders>
            <w:shd w:val="clear" w:color="000000" w:fill="FFFF99"/>
            <w:vAlign w:val="center"/>
          </w:tcPr>
          <w:p w14:paraId="0D044F4B" w14:textId="6CB25C1A"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National</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Budget</w:t>
            </w:r>
          </w:p>
          <w:p w14:paraId="7962A392"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p w14:paraId="582A0223"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USAID</w:t>
            </w:r>
          </w:p>
        </w:tc>
        <w:tc>
          <w:tcPr>
            <w:tcW w:w="1506" w:type="dxa"/>
            <w:gridSpan w:val="3"/>
            <w:tcBorders>
              <w:bottom w:val="single" w:sz="8" w:space="0" w:color="000000"/>
            </w:tcBorders>
            <w:shd w:val="clear" w:color="000000" w:fill="FFFF99"/>
            <w:vAlign w:val="center"/>
          </w:tcPr>
          <w:p w14:paraId="5EA0DA58" w14:textId="7C350A16" w:rsidR="00010FFA" w:rsidRPr="008C761D" w:rsidRDefault="00010FFA" w:rsidP="00670CEC">
            <w:pPr>
              <w:spacing w:after="0" w:line="240" w:lineRule="auto"/>
              <w:jc w:val="center"/>
              <w:rPr>
                <w:rFonts w:ascii="Arial" w:eastAsia="Times New Roman" w:hAnsi="Arial" w:cs="Arial"/>
                <w:sz w:val="12"/>
                <w:szCs w:val="12"/>
                <w:lang w:val="en-US" w:eastAsia="mk-MK"/>
              </w:rPr>
            </w:pPr>
          </w:p>
        </w:tc>
      </w:tr>
      <w:tr w:rsidR="00010FFA" w:rsidRPr="008C761D" w14:paraId="5DDADD76" w14:textId="77777777" w:rsidTr="003F623B">
        <w:trPr>
          <w:gridBefore w:val="1"/>
          <w:gridAfter w:val="1"/>
          <w:wBefore w:w="17" w:type="dxa"/>
          <w:wAfter w:w="180" w:type="dxa"/>
          <w:trHeight w:val="241"/>
          <w:jc w:val="center"/>
        </w:trPr>
        <w:tc>
          <w:tcPr>
            <w:tcW w:w="13501" w:type="dxa"/>
            <w:gridSpan w:val="25"/>
            <w:shd w:val="clear" w:color="000000" w:fill="9BD2ED"/>
            <w:vAlign w:val="center"/>
            <w:hideMark/>
          </w:tcPr>
          <w:p w14:paraId="0819B900" w14:textId="4A065499" w:rsidR="00010FFA" w:rsidRPr="008C761D" w:rsidRDefault="00010FFA" w:rsidP="00010FFA">
            <w:pPr>
              <w:spacing w:after="0" w:line="240" w:lineRule="auto"/>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M</w:t>
            </w:r>
            <w:r w:rsidR="005A1DDF">
              <w:rPr>
                <w:rFonts w:ascii="Arial" w:eastAsia="Times New Roman" w:hAnsi="Arial" w:cs="Arial"/>
                <w:b/>
                <w:bCs/>
                <w:sz w:val="12"/>
                <w:szCs w:val="12"/>
                <w:lang w:val="en-US" w:eastAsia="mk-MK"/>
              </w:rPr>
              <w:t>easure</w:t>
            </w:r>
            <w:r w:rsidRPr="008C761D">
              <w:rPr>
                <w:rFonts w:ascii="Arial" w:eastAsia="Times New Roman" w:hAnsi="Arial" w:cs="Arial"/>
                <w:b/>
                <w:bCs/>
                <w:sz w:val="12"/>
                <w:szCs w:val="12"/>
                <w:lang w:val="en-US" w:eastAsia="mk-MK"/>
              </w:rPr>
              <w:t xml:space="preserve"> 2</w:t>
            </w:r>
            <w:r w:rsidR="005A1DDF">
              <w:rPr>
                <w:rFonts w:ascii="Arial" w:eastAsia="Times New Roman" w:hAnsi="Arial" w:cs="Arial"/>
                <w:b/>
                <w:bCs/>
                <w:sz w:val="12"/>
                <w:szCs w:val="12"/>
                <w:lang w:val="en-US" w:eastAsia="mk-MK"/>
              </w:rPr>
              <w:t>.</w:t>
            </w:r>
            <w:r w:rsidRPr="008C761D">
              <w:rPr>
                <w:rFonts w:ascii="Arial" w:eastAsia="Times New Roman" w:hAnsi="Arial" w:cs="Arial"/>
                <w:b/>
                <w:bCs/>
                <w:sz w:val="12"/>
                <w:szCs w:val="12"/>
                <w:lang w:val="en-US" w:eastAsia="mk-MK"/>
              </w:rPr>
              <w:t xml:space="preserve"> Increasing</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transparency</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and</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accountability</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throughout</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operations</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the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municipalities</w:t>
            </w:r>
          </w:p>
        </w:tc>
      </w:tr>
      <w:tr w:rsidR="00010FFA" w:rsidRPr="008C761D" w14:paraId="441EB224" w14:textId="77777777" w:rsidTr="003F623B">
        <w:trPr>
          <w:gridBefore w:val="1"/>
          <w:gridAfter w:val="1"/>
          <w:wBefore w:w="17" w:type="dxa"/>
          <w:wAfter w:w="180" w:type="dxa"/>
          <w:trHeight w:val="105"/>
          <w:jc w:val="center"/>
        </w:trPr>
        <w:tc>
          <w:tcPr>
            <w:tcW w:w="2368" w:type="dxa"/>
            <w:gridSpan w:val="6"/>
            <w:vMerge w:val="restart"/>
            <w:tcBorders>
              <w:top w:val="nil"/>
              <w:left w:val="nil"/>
              <w:bottom w:val="nil"/>
              <w:right w:val="single" w:sz="8" w:space="0" w:color="000000"/>
            </w:tcBorders>
            <w:shd w:val="clear" w:color="auto" w:fill="auto"/>
            <w:noWrap/>
            <w:vAlign w:val="bottom"/>
            <w:hideMark/>
          </w:tcPr>
          <w:p w14:paraId="306ED501"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 </w:t>
            </w:r>
          </w:p>
        </w:tc>
        <w:tc>
          <w:tcPr>
            <w:tcW w:w="1771" w:type="dxa"/>
            <w:gridSpan w:val="3"/>
            <w:tcBorders>
              <w:left w:val="single" w:sz="8" w:space="0" w:color="000000"/>
            </w:tcBorders>
            <w:shd w:val="clear" w:color="000000" w:fill="9BD2ED"/>
            <w:vAlign w:val="center"/>
            <w:hideMark/>
          </w:tcPr>
          <w:p w14:paraId="26EE58BD" w14:textId="19714C12"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Performance</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indicators</w:t>
            </w:r>
          </w:p>
        </w:tc>
        <w:tc>
          <w:tcPr>
            <w:tcW w:w="1194" w:type="dxa"/>
            <w:gridSpan w:val="3"/>
            <w:shd w:val="clear" w:color="000000" w:fill="9BD2ED"/>
            <w:vAlign w:val="center"/>
            <w:hideMark/>
          </w:tcPr>
          <w:p w14:paraId="20CF082E" w14:textId="2A800F0E"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Data</w:t>
            </w:r>
            <w:r w:rsidR="00B35F2B"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source</w:t>
            </w:r>
          </w:p>
        </w:tc>
        <w:tc>
          <w:tcPr>
            <w:tcW w:w="1418" w:type="dxa"/>
            <w:gridSpan w:val="2"/>
            <w:shd w:val="clear" w:color="000000" w:fill="9BD2ED"/>
            <w:vAlign w:val="center"/>
            <w:hideMark/>
          </w:tcPr>
          <w:p w14:paraId="4179850F" w14:textId="63A39598"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Baseline FY22</w:t>
            </w:r>
          </w:p>
        </w:tc>
        <w:tc>
          <w:tcPr>
            <w:tcW w:w="1644" w:type="dxa"/>
            <w:gridSpan w:val="3"/>
            <w:shd w:val="clear" w:color="000000" w:fill="9BD2ED"/>
            <w:vAlign w:val="center"/>
            <w:hideMark/>
          </w:tcPr>
          <w:p w14:paraId="6DF25AB3" w14:textId="15AEE008"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FG24</w:t>
            </w:r>
          </w:p>
        </w:tc>
        <w:tc>
          <w:tcPr>
            <w:tcW w:w="1758" w:type="dxa"/>
            <w:gridSpan w:val="2"/>
            <w:shd w:val="clear" w:color="000000" w:fill="9BD2ED"/>
            <w:vAlign w:val="center"/>
            <w:hideMark/>
          </w:tcPr>
          <w:p w14:paraId="058E8575" w14:textId="70D55763"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FG25</w:t>
            </w:r>
          </w:p>
        </w:tc>
        <w:tc>
          <w:tcPr>
            <w:tcW w:w="1842" w:type="dxa"/>
            <w:gridSpan w:val="3"/>
            <w:shd w:val="clear" w:color="000000" w:fill="9BD2ED"/>
            <w:vAlign w:val="center"/>
            <w:hideMark/>
          </w:tcPr>
          <w:p w14:paraId="47A299DE" w14:textId="438671EB" w:rsidR="00010FFA" w:rsidRPr="008C761D" w:rsidRDefault="00010FFA" w:rsidP="00010FF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FG26</w:t>
            </w:r>
          </w:p>
        </w:tc>
        <w:tc>
          <w:tcPr>
            <w:tcW w:w="1506" w:type="dxa"/>
            <w:gridSpan w:val="3"/>
            <w:shd w:val="clear" w:color="000000" w:fill="9BD2ED"/>
            <w:vAlign w:val="center"/>
            <w:hideMark/>
          </w:tcPr>
          <w:p w14:paraId="43F5B49D" w14:textId="17CD0F14"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Target FG27</w:t>
            </w:r>
          </w:p>
        </w:tc>
      </w:tr>
      <w:tr w:rsidR="00010FFA" w:rsidRPr="008C761D" w14:paraId="7D6EBB9C" w14:textId="77777777" w:rsidTr="003F623B">
        <w:trPr>
          <w:gridBefore w:val="1"/>
          <w:gridAfter w:val="1"/>
          <w:wBefore w:w="17" w:type="dxa"/>
          <w:wAfter w:w="180" w:type="dxa"/>
          <w:trHeight w:val="736"/>
          <w:jc w:val="center"/>
        </w:trPr>
        <w:tc>
          <w:tcPr>
            <w:tcW w:w="2368" w:type="dxa"/>
            <w:gridSpan w:val="6"/>
            <w:vMerge/>
            <w:tcBorders>
              <w:top w:val="nil"/>
              <w:left w:val="nil"/>
              <w:bottom w:val="nil"/>
              <w:right w:val="single" w:sz="8" w:space="0" w:color="000000"/>
            </w:tcBorders>
            <w:vAlign w:val="center"/>
            <w:hideMark/>
          </w:tcPr>
          <w:p w14:paraId="68A4F760"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2E5EA211" w14:textId="77777777" w:rsidR="00FF1EE0" w:rsidRPr="00403F52" w:rsidRDefault="00FF1EE0" w:rsidP="00FF1EE0">
            <w:pPr>
              <w:spacing w:line="240" w:lineRule="auto"/>
              <w:rPr>
                <w:rFonts w:ascii="Arial" w:hAnsi="Arial" w:cs="Arial"/>
                <w:sz w:val="12"/>
                <w:szCs w:val="12"/>
                <w:lang w:val="en-GB" w:eastAsia="mk-MK"/>
              </w:rPr>
            </w:pPr>
            <w:r w:rsidRPr="00403F52">
              <w:rPr>
                <w:rFonts w:ascii="Arial" w:eastAsia="Times New Roman" w:hAnsi="Arial" w:cs="Arial"/>
                <w:sz w:val="12"/>
                <w:szCs w:val="12"/>
                <w:lang w:val="en-US" w:eastAsia="mk-MK"/>
              </w:rPr>
              <w:t xml:space="preserve">Number of </w:t>
            </w:r>
            <w:proofErr w:type="gramStart"/>
            <w:r w:rsidRPr="00403F52">
              <w:rPr>
                <w:rFonts w:ascii="Arial" w:eastAsia="Times New Roman" w:hAnsi="Arial" w:cs="Arial"/>
                <w:sz w:val="12"/>
                <w:szCs w:val="12"/>
                <w:lang w:val="en-US" w:eastAsia="mk-MK"/>
              </w:rPr>
              <w:t>oversight</w:t>
            </w:r>
            <w:proofErr w:type="gramEnd"/>
            <w:r w:rsidRPr="00403F52">
              <w:rPr>
                <w:rFonts w:ascii="Arial" w:eastAsia="Times New Roman" w:hAnsi="Arial" w:cs="Arial"/>
                <w:sz w:val="12"/>
                <w:szCs w:val="12"/>
                <w:lang w:val="en-US" w:eastAsia="mk-MK"/>
              </w:rPr>
              <w:t xml:space="preserve"> conducted by the </w:t>
            </w:r>
            <w:r w:rsidRPr="00403F52">
              <w:rPr>
                <w:rFonts w:ascii="Arial" w:eastAsia="Times New Roman" w:hAnsi="Arial" w:cs="Arial"/>
                <w:sz w:val="12"/>
                <w:szCs w:val="12"/>
                <w:lang w:val="en" w:eastAsia="mk-MK"/>
              </w:rPr>
              <w:t>all ministries that transfer funds from the RSM Budget</w:t>
            </w:r>
          </w:p>
          <w:p w14:paraId="1BB31816" w14:textId="16A6D54D" w:rsidR="00010FFA" w:rsidRPr="008C761D" w:rsidRDefault="00010FFA" w:rsidP="00010FFA">
            <w:pPr>
              <w:spacing w:after="0" w:line="240" w:lineRule="auto"/>
              <w:rPr>
                <w:rFonts w:ascii="Arial" w:eastAsia="Times New Roman" w:hAnsi="Arial" w:cs="Arial"/>
                <w:sz w:val="12"/>
                <w:szCs w:val="12"/>
                <w:lang w:val="en-US" w:eastAsia="mk-MK"/>
              </w:rPr>
            </w:pPr>
          </w:p>
        </w:tc>
        <w:tc>
          <w:tcPr>
            <w:tcW w:w="1194" w:type="dxa"/>
            <w:gridSpan w:val="3"/>
            <w:shd w:val="clear" w:color="000000" w:fill="FFFF99"/>
            <w:vAlign w:val="center"/>
            <w:hideMark/>
          </w:tcPr>
          <w:p w14:paraId="3196D753" w14:textId="265CD40B" w:rsidR="00010FFA" w:rsidRPr="008C761D" w:rsidRDefault="00FF1EE0" w:rsidP="00010FF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 w:eastAsia="mk-MK"/>
              </w:rPr>
              <w:t>A</w:t>
            </w:r>
            <w:r w:rsidRPr="00157A9C">
              <w:rPr>
                <w:rFonts w:ascii="Arial" w:eastAsia="Times New Roman" w:hAnsi="Arial" w:cs="Arial"/>
                <w:sz w:val="12"/>
                <w:szCs w:val="12"/>
                <w:lang w:val="en" w:eastAsia="mk-MK"/>
              </w:rPr>
              <w:t>ll ministries that transfer funds from the RSM Budget</w:t>
            </w:r>
            <w:r w:rsidRPr="00157A9C" w:rsidDel="00157A9C">
              <w:rPr>
                <w:rFonts w:ascii="Arial" w:eastAsia="Times New Roman" w:hAnsi="Arial" w:cs="Arial"/>
                <w:sz w:val="12"/>
                <w:szCs w:val="12"/>
                <w:lang w:val="en-US" w:eastAsia="mk-MK"/>
              </w:rPr>
              <w:t xml:space="preserve"> </w:t>
            </w:r>
          </w:p>
        </w:tc>
        <w:tc>
          <w:tcPr>
            <w:tcW w:w="1418" w:type="dxa"/>
            <w:gridSpan w:val="2"/>
            <w:shd w:val="clear" w:color="000000" w:fill="FFFF99"/>
            <w:vAlign w:val="center"/>
            <w:hideMark/>
          </w:tcPr>
          <w:p w14:paraId="02CF61C6" w14:textId="4CC7C23F" w:rsidR="00010FFA" w:rsidRPr="008C761D" w:rsidRDefault="00010FFA" w:rsidP="00010FFA">
            <w:pPr>
              <w:spacing w:after="0" w:line="240" w:lineRule="auto"/>
              <w:jc w:val="center"/>
              <w:rPr>
                <w:rFonts w:ascii="Arial" w:eastAsia="Times New Roman" w:hAnsi="Arial" w:cs="Arial"/>
                <w:sz w:val="12"/>
                <w:szCs w:val="12"/>
                <w:lang w:val="en-US" w:eastAsia="mk-MK"/>
              </w:rPr>
            </w:pPr>
          </w:p>
        </w:tc>
        <w:tc>
          <w:tcPr>
            <w:tcW w:w="1644" w:type="dxa"/>
            <w:gridSpan w:val="3"/>
            <w:shd w:val="clear" w:color="000000" w:fill="FFFF99"/>
            <w:vAlign w:val="center"/>
            <w:hideMark/>
          </w:tcPr>
          <w:p w14:paraId="68E69B81" w14:textId="2673C9E6" w:rsidR="00010FFA" w:rsidRPr="008C761D" w:rsidRDefault="00010FFA" w:rsidP="00010FFA">
            <w:pPr>
              <w:spacing w:after="0" w:line="240" w:lineRule="auto"/>
              <w:jc w:val="center"/>
              <w:rPr>
                <w:rFonts w:ascii="Arial" w:eastAsia="Times New Roman" w:hAnsi="Arial" w:cs="Arial"/>
                <w:sz w:val="12"/>
                <w:szCs w:val="12"/>
                <w:lang w:val="en-US" w:eastAsia="mk-MK"/>
              </w:rPr>
            </w:pPr>
          </w:p>
        </w:tc>
        <w:tc>
          <w:tcPr>
            <w:tcW w:w="1758" w:type="dxa"/>
            <w:gridSpan w:val="2"/>
            <w:shd w:val="clear" w:color="000000" w:fill="FFFF99"/>
            <w:vAlign w:val="center"/>
            <w:hideMark/>
          </w:tcPr>
          <w:p w14:paraId="71E89501" w14:textId="4DB202D1" w:rsidR="00010FFA" w:rsidRPr="008C761D" w:rsidRDefault="00FF1EE0" w:rsidP="00010FF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1</w:t>
            </w:r>
          </w:p>
        </w:tc>
        <w:tc>
          <w:tcPr>
            <w:tcW w:w="1842" w:type="dxa"/>
            <w:gridSpan w:val="3"/>
            <w:shd w:val="clear" w:color="000000" w:fill="FFFF99"/>
            <w:vAlign w:val="center"/>
            <w:hideMark/>
          </w:tcPr>
          <w:p w14:paraId="02A942D9" w14:textId="4122DFC5" w:rsidR="00010FFA" w:rsidRPr="008C761D" w:rsidRDefault="00FF1EE0" w:rsidP="00010FF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3</w:t>
            </w:r>
          </w:p>
        </w:tc>
        <w:tc>
          <w:tcPr>
            <w:tcW w:w="1506" w:type="dxa"/>
            <w:gridSpan w:val="3"/>
            <w:shd w:val="clear" w:color="000000" w:fill="FFFF99"/>
            <w:vAlign w:val="center"/>
            <w:hideMark/>
          </w:tcPr>
          <w:p w14:paraId="32763F7F" w14:textId="71EF6C38" w:rsidR="00010FFA" w:rsidRPr="008C761D" w:rsidRDefault="00FF1EE0" w:rsidP="00010FF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5</w:t>
            </w:r>
          </w:p>
        </w:tc>
      </w:tr>
      <w:tr w:rsidR="00010FFA" w:rsidRPr="008C761D" w14:paraId="7AFF238E" w14:textId="77777777" w:rsidTr="003F623B">
        <w:trPr>
          <w:gridBefore w:val="1"/>
          <w:gridAfter w:val="1"/>
          <w:wBefore w:w="17" w:type="dxa"/>
          <w:wAfter w:w="180" w:type="dxa"/>
          <w:trHeight w:val="682"/>
          <w:jc w:val="center"/>
        </w:trPr>
        <w:tc>
          <w:tcPr>
            <w:tcW w:w="2368" w:type="dxa"/>
            <w:gridSpan w:val="6"/>
            <w:vMerge/>
            <w:tcBorders>
              <w:top w:val="nil"/>
              <w:left w:val="nil"/>
              <w:bottom w:val="nil"/>
              <w:right w:val="single" w:sz="8" w:space="0" w:color="000000"/>
            </w:tcBorders>
            <w:vAlign w:val="center"/>
            <w:hideMark/>
          </w:tcPr>
          <w:p w14:paraId="1C2043AA"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hideMark/>
          </w:tcPr>
          <w:p w14:paraId="1CD08B21" w14:textId="0054808E" w:rsidR="00010FFA" w:rsidRPr="008C761D" w:rsidRDefault="00B35F2B"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municipalities that regularly publish financial reports</w:t>
            </w:r>
          </w:p>
        </w:tc>
        <w:tc>
          <w:tcPr>
            <w:tcW w:w="1194" w:type="dxa"/>
            <w:gridSpan w:val="3"/>
            <w:shd w:val="clear" w:color="000000" w:fill="FFFF99"/>
            <w:vAlign w:val="center"/>
            <w:hideMark/>
          </w:tcPr>
          <w:p w14:paraId="07763793" w14:textId="2390C85F"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5D3EB9EC" w14:textId="16322912" w:rsidR="00010FFA" w:rsidRPr="008C761D" w:rsidRDefault="00010FFA" w:rsidP="00010FFA">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hideMark/>
          </w:tcPr>
          <w:p w14:paraId="4A6F836D" w14:textId="1D5E5283"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60</w:t>
            </w:r>
          </w:p>
        </w:tc>
        <w:tc>
          <w:tcPr>
            <w:tcW w:w="1644" w:type="dxa"/>
            <w:gridSpan w:val="3"/>
            <w:shd w:val="clear" w:color="000000" w:fill="FFFF99"/>
            <w:vAlign w:val="center"/>
            <w:hideMark/>
          </w:tcPr>
          <w:p w14:paraId="3311CDA2" w14:textId="21BCC415"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r w:rsidR="00EB1186" w:rsidRPr="008C761D">
              <w:rPr>
                <w:rFonts w:ascii="Arial" w:eastAsia="Times New Roman" w:hAnsi="Arial" w:cs="Arial"/>
                <w:sz w:val="12"/>
                <w:szCs w:val="12"/>
                <w:lang w:val="en-US" w:eastAsia="mk-MK"/>
              </w:rPr>
              <w:t>5</w:t>
            </w:r>
          </w:p>
        </w:tc>
        <w:tc>
          <w:tcPr>
            <w:tcW w:w="1758" w:type="dxa"/>
            <w:gridSpan w:val="2"/>
            <w:shd w:val="clear" w:color="000000" w:fill="FFFF99"/>
            <w:vAlign w:val="center"/>
            <w:hideMark/>
          </w:tcPr>
          <w:p w14:paraId="4D0A7BF2" w14:textId="61BB26F4"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70</w:t>
            </w:r>
          </w:p>
        </w:tc>
        <w:tc>
          <w:tcPr>
            <w:tcW w:w="1842" w:type="dxa"/>
            <w:gridSpan w:val="3"/>
            <w:shd w:val="clear" w:color="000000" w:fill="FFFF99"/>
            <w:vAlign w:val="center"/>
            <w:hideMark/>
          </w:tcPr>
          <w:p w14:paraId="2641C051" w14:textId="63D249DC"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75</w:t>
            </w:r>
          </w:p>
        </w:tc>
        <w:tc>
          <w:tcPr>
            <w:tcW w:w="1506" w:type="dxa"/>
            <w:gridSpan w:val="3"/>
            <w:shd w:val="clear" w:color="000000" w:fill="FFFF99"/>
            <w:vAlign w:val="center"/>
            <w:hideMark/>
          </w:tcPr>
          <w:p w14:paraId="437BAF41" w14:textId="15687A5B"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81</w:t>
            </w:r>
          </w:p>
        </w:tc>
      </w:tr>
      <w:tr w:rsidR="00010FFA" w:rsidRPr="008C761D" w14:paraId="4309EFA6" w14:textId="77777777" w:rsidTr="003F623B">
        <w:trPr>
          <w:gridBefore w:val="1"/>
          <w:gridAfter w:val="1"/>
          <w:wBefore w:w="17" w:type="dxa"/>
          <w:wAfter w:w="180" w:type="dxa"/>
          <w:trHeight w:val="682"/>
          <w:jc w:val="center"/>
        </w:trPr>
        <w:tc>
          <w:tcPr>
            <w:tcW w:w="2368" w:type="dxa"/>
            <w:gridSpan w:val="6"/>
            <w:vMerge/>
            <w:tcBorders>
              <w:top w:val="nil"/>
              <w:left w:val="nil"/>
              <w:bottom w:val="nil"/>
              <w:right w:val="single" w:sz="8" w:space="0" w:color="000000"/>
            </w:tcBorders>
            <w:vAlign w:val="center"/>
          </w:tcPr>
          <w:p w14:paraId="290401B6"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19C2782A" w14:textId="35ED2EF9" w:rsidR="00010FFA" w:rsidRPr="008C761D" w:rsidRDefault="00B35F2B"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reports on the financial operations of the municipalities published on the web page of the Ministry of Finance</w:t>
            </w:r>
          </w:p>
        </w:tc>
        <w:tc>
          <w:tcPr>
            <w:tcW w:w="1194" w:type="dxa"/>
            <w:gridSpan w:val="3"/>
            <w:shd w:val="clear" w:color="000000" w:fill="FFFF99"/>
            <w:vAlign w:val="center"/>
          </w:tcPr>
          <w:p w14:paraId="54889CF4" w14:textId="7EB5F4F4"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17FA113D"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tcPr>
          <w:p w14:paraId="6F740768"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5</w:t>
            </w:r>
          </w:p>
        </w:tc>
        <w:tc>
          <w:tcPr>
            <w:tcW w:w="1644" w:type="dxa"/>
            <w:gridSpan w:val="3"/>
            <w:shd w:val="clear" w:color="000000" w:fill="FFFF99"/>
            <w:vAlign w:val="center"/>
          </w:tcPr>
          <w:p w14:paraId="514D0E1A"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6</w:t>
            </w:r>
          </w:p>
        </w:tc>
        <w:tc>
          <w:tcPr>
            <w:tcW w:w="1758" w:type="dxa"/>
            <w:gridSpan w:val="2"/>
            <w:shd w:val="clear" w:color="000000" w:fill="FFFF99"/>
            <w:vAlign w:val="center"/>
          </w:tcPr>
          <w:p w14:paraId="1422D5E3"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7</w:t>
            </w:r>
          </w:p>
        </w:tc>
        <w:tc>
          <w:tcPr>
            <w:tcW w:w="1842" w:type="dxa"/>
            <w:gridSpan w:val="3"/>
            <w:shd w:val="clear" w:color="000000" w:fill="FFFF99"/>
            <w:vAlign w:val="center"/>
          </w:tcPr>
          <w:p w14:paraId="17742229"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8</w:t>
            </w:r>
          </w:p>
        </w:tc>
        <w:tc>
          <w:tcPr>
            <w:tcW w:w="1506" w:type="dxa"/>
            <w:gridSpan w:val="3"/>
            <w:shd w:val="clear" w:color="000000" w:fill="FFFF99"/>
            <w:vAlign w:val="center"/>
          </w:tcPr>
          <w:p w14:paraId="5D4F3750"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9</w:t>
            </w:r>
          </w:p>
        </w:tc>
      </w:tr>
      <w:tr w:rsidR="00010FFA" w:rsidRPr="008C761D" w14:paraId="5771E03C" w14:textId="77777777" w:rsidTr="003F623B">
        <w:trPr>
          <w:gridBefore w:val="1"/>
          <w:gridAfter w:val="1"/>
          <w:wBefore w:w="17" w:type="dxa"/>
          <w:wAfter w:w="180" w:type="dxa"/>
          <w:trHeight w:val="682"/>
          <w:jc w:val="center"/>
        </w:trPr>
        <w:tc>
          <w:tcPr>
            <w:tcW w:w="2368" w:type="dxa"/>
            <w:gridSpan w:val="6"/>
            <w:vMerge/>
            <w:tcBorders>
              <w:top w:val="nil"/>
              <w:left w:val="nil"/>
              <w:bottom w:val="nil"/>
              <w:right w:val="single" w:sz="8" w:space="0" w:color="000000"/>
            </w:tcBorders>
            <w:vAlign w:val="center"/>
          </w:tcPr>
          <w:p w14:paraId="6F3B893F"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vAlign w:val="center"/>
          </w:tcPr>
          <w:p w14:paraId="5A0D1CD6" w14:textId="4C6A5F18" w:rsidR="00010FFA" w:rsidRPr="008C761D" w:rsidRDefault="00B35F2B"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Number of reports with data on due and unpaid liabilities from the ESPEO system of 81 the municipalities published on the web page of the Ministry of Finance</w:t>
            </w:r>
          </w:p>
        </w:tc>
        <w:tc>
          <w:tcPr>
            <w:tcW w:w="1194" w:type="dxa"/>
            <w:gridSpan w:val="3"/>
            <w:shd w:val="clear" w:color="000000" w:fill="FFFF99"/>
            <w:vAlign w:val="center"/>
          </w:tcPr>
          <w:p w14:paraId="44182DC3" w14:textId="35E55056"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Ministry</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of</w:t>
            </w:r>
            <w:r w:rsidR="00B35F2B" w:rsidRPr="008C761D">
              <w:rPr>
                <w:rFonts w:ascii="Arial" w:eastAsia="Times New Roman" w:hAnsi="Arial" w:cs="Arial"/>
                <w:sz w:val="12"/>
                <w:szCs w:val="12"/>
                <w:lang w:val="en-US" w:eastAsia="mk-MK"/>
              </w:rPr>
              <w:t xml:space="preserve"> </w:t>
            </w:r>
            <w:r w:rsidRPr="008C761D">
              <w:rPr>
                <w:rFonts w:ascii="Arial" w:eastAsia="Times New Roman" w:hAnsi="Arial" w:cs="Arial"/>
                <w:sz w:val="12"/>
                <w:szCs w:val="12"/>
                <w:lang w:val="en-US" w:eastAsia="mk-MK"/>
              </w:rPr>
              <w:t>Finance</w:t>
            </w:r>
          </w:p>
          <w:p w14:paraId="6EA05A85"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p>
        </w:tc>
        <w:tc>
          <w:tcPr>
            <w:tcW w:w="1418" w:type="dxa"/>
            <w:gridSpan w:val="2"/>
            <w:shd w:val="clear" w:color="000000" w:fill="FFFF99"/>
            <w:vAlign w:val="center"/>
          </w:tcPr>
          <w:p w14:paraId="18BD8180"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644" w:type="dxa"/>
            <w:gridSpan w:val="3"/>
            <w:shd w:val="clear" w:color="000000" w:fill="FFFF99"/>
            <w:vAlign w:val="center"/>
          </w:tcPr>
          <w:p w14:paraId="391DD59B"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758" w:type="dxa"/>
            <w:gridSpan w:val="2"/>
            <w:shd w:val="clear" w:color="000000" w:fill="FFFF99"/>
            <w:vAlign w:val="center"/>
          </w:tcPr>
          <w:p w14:paraId="4898676F"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842" w:type="dxa"/>
            <w:gridSpan w:val="3"/>
            <w:shd w:val="clear" w:color="000000" w:fill="FFFF99"/>
            <w:vAlign w:val="center"/>
          </w:tcPr>
          <w:p w14:paraId="19C4FC25"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c>
          <w:tcPr>
            <w:tcW w:w="1506" w:type="dxa"/>
            <w:gridSpan w:val="3"/>
            <w:shd w:val="clear" w:color="000000" w:fill="FFFF99"/>
            <w:vAlign w:val="center"/>
          </w:tcPr>
          <w:p w14:paraId="3509E3B8"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w:t>
            </w:r>
          </w:p>
        </w:tc>
      </w:tr>
      <w:tr w:rsidR="00010FFA" w:rsidRPr="008C761D" w14:paraId="1130AB42" w14:textId="77777777" w:rsidTr="003F623B">
        <w:trPr>
          <w:gridBefore w:val="1"/>
          <w:gridAfter w:val="1"/>
          <w:wBefore w:w="17" w:type="dxa"/>
          <w:wAfter w:w="180" w:type="dxa"/>
          <w:trHeight w:val="271"/>
          <w:jc w:val="center"/>
        </w:trPr>
        <w:tc>
          <w:tcPr>
            <w:tcW w:w="2368" w:type="dxa"/>
            <w:gridSpan w:val="6"/>
            <w:vMerge/>
            <w:tcBorders>
              <w:top w:val="nil"/>
              <w:left w:val="nil"/>
              <w:bottom w:val="nil"/>
              <w:right w:val="single" w:sz="8" w:space="0" w:color="000000"/>
            </w:tcBorders>
            <w:vAlign w:val="center"/>
            <w:hideMark/>
          </w:tcPr>
          <w:p w14:paraId="46B44832"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9BD2ED"/>
            <w:vAlign w:val="center"/>
            <w:hideMark/>
          </w:tcPr>
          <w:p w14:paraId="0D427D4F" w14:textId="77777777"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Activity</w:t>
            </w:r>
          </w:p>
        </w:tc>
        <w:tc>
          <w:tcPr>
            <w:tcW w:w="1194" w:type="dxa"/>
            <w:gridSpan w:val="3"/>
            <w:shd w:val="clear" w:color="000000" w:fill="9BD2ED"/>
            <w:vAlign w:val="center"/>
            <w:hideMark/>
          </w:tcPr>
          <w:p w14:paraId="4ACDFCB1" w14:textId="59C7D58A"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Period</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realization</w:t>
            </w:r>
          </w:p>
        </w:tc>
        <w:tc>
          <w:tcPr>
            <w:tcW w:w="1418" w:type="dxa"/>
            <w:gridSpan w:val="2"/>
            <w:shd w:val="clear" w:color="000000" w:fill="9BD2ED"/>
            <w:vAlign w:val="center"/>
            <w:hideMark/>
          </w:tcPr>
          <w:p w14:paraId="5B63E698" w14:textId="6257F482"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Responsible</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institution</w:t>
            </w:r>
          </w:p>
        </w:tc>
        <w:tc>
          <w:tcPr>
            <w:tcW w:w="1644" w:type="dxa"/>
            <w:gridSpan w:val="3"/>
            <w:shd w:val="clear" w:color="000000" w:fill="9BD2ED"/>
            <w:vAlign w:val="center"/>
            <w:hideMark/>
          </w:tcPr>
          <w:p w14:paraId="22923C52" w14:textId="634C1636"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Other</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partners</w:t>
            </w:r>
          </w:p>
        </w:tc>
        <w:tc>
          <w:tcPr>
            <w:tcW w:w="1758" w:type="dxa"/>
            <w:gridSpan w:val="2"/>
            <w:shd w:val="clear" w:color="000000" w:fill="9BD2ED"/>
            <w:vAlign w:val="center"/>
            <w:hideMark/>
          </w:tcPr>
          <w:p w14:paraId="5F20ED3B" w14:textId="77777777"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Costs</w:t>
            </w:r>
          </w:p>
        </w:tc>
        <w:tc>
          <w:tcPr>
            <w:tcW w:w="1842" w:type="dxa"/>
            <w:gridSpan w:val="3"/>
            <w:shd w:val="clear" w:color="000000" w:fill="9BD2ED"/>
            <w:vAlign w:val="center"/>
            <w:hideMark/>
          </w:tcPr>
          <w:p w14:paraId="0D39C94D" w14:textId="1D0A8FB1" w:rsidR="00010FFA" w:rsidRPr="008C761D" w:rsidRDefault="00010FFA" w:rsidP="00010FFA">
            <w:pPr>
              <w:spacing w:after="0" w:line="240" w:lineRule="auto"/>
              <w:jc w:val="both"/>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Source</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of</w:t>
            </w:r>
            <w:r w:rsidR="00B81C67" w:rsidRPr="008C761D">
              <w:rPr>
                <w:rFonts w:ascii="Arial" w:eastAsia="Times New Roman" w:hAnsi="Arial" w:cs="Arial"/>
                <w:b/>
                <w:bCs/>
                <w:sz w:val="12"/>
                <w:szCs w:val="12"/>
                <w:lang w:val="en-US" w:eastAsia="mk-MK"/>
              </w:rPr>
              <w:t xml:space="preserve"> </w:t>
            </w:r>
            <w:r w:rsidRPr="008C761D">
              <w:rPr>
                <w:rFonts w:ascii="Arial" w:eastAsia="Times New Roman" w:hAnsi="Arial" w:cs="Arial"/>
                <w:b/>
                <w:bCs/>
                <w:sz w:val="12"/>
                <w:szCs w:val="12"/>
                <w:lang w:val="en-US" w:eastAsia="mk-MK"/>
              </w:rPr>
              <w:t>financing</w:t>
            </w:r>
          </w:p>
        </w:tc>
        <w:tc>
          <w:tcPr>
            <w:tcW w:w="1506" w:type="dxa"/>
            <w:gridSpan w:val="3"/>
            <w:shd w:val="clear" w:color="000000" w:fill="9BD2ED"/>
            <w:vAlign w:val="center"/>
            <w:hideMark/>
          </w:tcPr>
          <w:p w14:paraId="7CEC52C8" w14:textId="77777777" w:rsidR="00010FFA" w:rsidRPr="008C761D" w:rsidRDefault="00010FFA" w:rsidP="00010FFA">
            <w:pPr>
              <w:spacing w:after="0" w:line="240" w:lineRule="auto"/>
              <w:jc w:val="center"/>
              <w:rPr>
                <w:rFonts w:ascii="Arial" w:eastAsia="Times New Roman" w:hAnsi="Arial" w:cs="Arial"/>
                <w:b/>
                <w:bCs/>
                <w:sz w:val="12"/>
                <w:szCs w:val="12"/>
                <w:lang w:val="en-US" w:eastAsia="mk-MK"/>
              </w:rPr>
            </w:pPr>
            <w:r w:rsidRPr="008C761D">
              <w:rPr>
                <w:rFonts w:ascii="Arial" w:eastAsia="Times New Roman" w:hAnsi="Arial" w:cs="Arial"/>
                <w:b/>
                <w:bCs/>
                <w:sz w:val="12"/>
                <w:szCs w:val="12"/>
                <w:lang w:val="en-US" w:eastAsia="mk-MK"/>
              </w:rPr>
              <w:t> </w:t>
            </w:r>
          </w:p>
        </w:tc>
      </w:tr>
      <w:tr w:rsidR="00010FFA" w:rsidRPr="008C761D" w14:paraId="6D0B8622" w14:textId="77777777" w:rsidTr="003F623B">
        <w:trPr>
          <w:gridBefore w:val="1"/>
          <w:gridAfter w:val="1"/>
          <w:wBefore w:w="17" w:type="dxa"/>
          <w:wAfter w:w="180" w:type="dxa"/>
          <w:trHeight w:val="548"/>
          <w:jc w:val="center"/>
        </w:trPr>
        <w:tc>
          <w:tcPr>
            <w:tcW w:w="2368" w:type="dxa"/>
            <w:gridSpan w:val="6"/>
            <w:vMerge/>
            <w:tcBorders>
              <w:top w:val="nil"/>
              <w:left w:val="nil"/>
              <w:bottom w:val="nil"/>
              <w:right w:val="single" w:sz="8" w:space="0" w:color="000000"/>
            </w:tcBorders>
            <w:vAlign w:val="center"/>
            <w:hideMark/>
          </w:tcPr>
          <w:p w14:paraId="1326CC56"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hideMark/>
          </w:tcPr>
          <w:p w14:paraId="5279AC0C" w14:textId="53F21D0B" w:rsidR="00010FFA" w:rsidRPr="008C761D" w:rsidRDefault="00010FFA"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1.Increasing supervision by the state and activities focused on suspicions of fraud and corruption</w:t>
            </w:r>
          </w:p>
        </w:tc>
        <w:tc>
          <w:tcPr>
            <w:tcW w:w="1194" w:type="dxa"/>
            <w:gridSpan w:val="3"/>
            <w:shd w:val="clear" w:color="000000" w:fill="FFFF99"/>
            <w:vAlign w:val="center"/>
            <w:hideMark/>
          </w:tcPr>
          <w:p w14:paraId="20CA3A07"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hideMark/>
          </w:tcPr>
          <w:p w14:paraId="4E4D9726" w14:textId="1310FFB2"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hideMark/>
          </w:tcPr>
          <w:p w14:paraId="11AC5F14"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shd w:val="clear" w:color="000000" w:fill="FFFF99"/>
            <w:vAlign w:val="center"/>
            <w:hideMark/>
          </w:tcPr>
          <w:p w14:paraId="1CC846AD" w14:textId="63BB352B"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hideMark/>
          </w:tcPr>
          <w:p w14:paraId="4A4C2E78" w14:textId="41730F26" w:rsidR="00010FFA" w:rsidRPr="008C761D" w:rsidRDefault="00547D12"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hideMark/>
          </w:tcPr>
          <w:p w14:paraId="679F8057" w14:textId="7BAC0AC9" w:rsidR="00010FFA" w:rsidRPr="008C761D" w:rsidRDefault="00010FFA" w:rsidP="00010FFA">
            <w:pPr>
              <w:spacing w:after="0" w:line="240" w:lineRule="auto"/>
              <w:jc w:val="center"/>
              <w:rPr>
                <w:rFonts w:ascii="Arial" w:eastAsia="Times New Roman" w:hAnsi="Arial" w:cs="Arial"/>
                <w:sz w:val="12"/>
                <w:szCs w:val="12"/>
                <w:lang w:val="en-US" w:eastAsia="mk-MK"/>
              </w:rPr>
            </w:pPr>
          </w:p>
        </w:tc>
      </w:tr>
      <w:tr w:rsidR="00010FFA" w:rsidRPr="008C761D" w14:paraId="3F4FAE87" w14:textId="77777777" w:rsidTr="003F623B">
        <w:trPr>
          <w:gridBefore w:val="1"/>
          <w:gridAfter w:val="1"/>
          <w:wBefore w:w="17" w:type="dxa"/>
          <w:wAfter w:w="180" w:type="dxa"/>
          <w:trHeight w:val="548"/>
          <w:jc w:val="center"/>
        </w:trPr>
        <w:tc>
          <w:tcPr>
            <w:tcW w:w="2368" w:type="dxa"/>
            <w:gridSpan w:val="6"/>
            <w:tcBorders>
              <w:top w:val="nil"/>
              <w:left w:val="nil"/>
              <w:bottom w:val="nil"/>
              <w:right w:val="single" w:sz="8" w:space="0" w:color="000000"/>
            </w:tcBorders>
            <w:vAlign w:val="center"/>
          </w:tcPr>
          <w:p w14:paraId="6E25C235"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tcPr>
          <w:p w14:paraId="39984ED6" w14:textId="77777777" w:rsidR="00010FFA" w:rsidRPr="008C761D" w:rsidRDefault="002C7DDC"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 Monitoring the transparency of the municipalities in order to timely inform the general public</w:t>
            </w:r>
          </w:p>
        </w:tc>
        <w:tc>
          <w:tcPr>
            <w:tcW w:w="1194" w:type="dxa"/>
            <w:gridSpan w:val="3"/>
            <w:shd w:val="clear" w:color="000000" w:fill="FFFF99"/>
            <w:vAlign w:val="center"/>
          </w:tcPr>
          <w:p w14:paraId="23152AA8"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19F07952" w14:textId="235F9E04"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tcPr>
          <w:p w14:paraId="396B0D8A"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shd w:val="clear" w:color="000000" w:fill="FFFF99"/>
            <w:vAlign w:val="center"/>
          </w:tcPr>
          <w:p w14:paraId="5AF33D4D"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40838877" w14:textId="394F61B5" w:rsidR="00010FFA" w:rsidRPr="008C761D" w:rsidRDefault="00547D12"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111720BD" w14:textId="1226C92B" w:rsidR="00010FFA" w:rsidRPr="008C761D" w:rsidRDefault="00010FFA" w:rsidP="00010FFA">
            <w:pPr>
              <w:spacing w:after="0" w:line="240" w:lineRule="auto"/>
              <w:jc w:val="center"/>
              <w:rPr>
                <w:rFonts w:ascii="Arial" w:eastAsia="Times New Roman" w:hAnsi="Arial" w:cs="Arial"/>
                <w:sz w:val="12"/>
                <w:szCs w:val="12"/>
                <w:lang w:val="en-US" w:eastAsia="mk-MK"/>
              </w:rPr>
            </w:pPr>
          </w:p>
        </w:tc>
      </w:tr>
      <w:tr w:rsidR="00010FFA" w:rsidRPr="008C761D" w14:paraId="0A5045CE" w14:textId="77777777" w:rsidTr="003F623B">
        <w:trPr>
          <w:gridBefore w:val="1"/>
          <w:gridAfter w:val="1"/>
          <w:wBefore w:w="17" w:type="dxa"/>
          <w:wAfter w:w="180" w:type="dxa"/>
          <w:trHeight w:val="548"/>
          <w:jc w:val="center"/>
        </w:trPr>
        <w:tc>
          <w:tcPr>
            <w:tcW w:w="2368" w:type="dxa"/>
            <w:gridSpan w:val="6"/>
            <w:tcBorders>
              <w:top w:val="nil"/>
              <w:left w:val="nil"/>
              <w:bottom w:val="nil"/>
              <w:right w:val="single" w:sz="8" w:space="0" w:color="000000"/>
            </w:tcBorders>
            <w:vAlign w:val="center"/>
          </w:tcPr>
          <w:p w14:paraId="6EE74FE6"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tcPr>
          <w:p w14:paraId="3AF1291C" w14:textId="77777777" w:rsidR="00010FFA" w:rsidRPr="008C761D" w:rsidRDefault="002C7DDC" w:rsidP="00010FFA">
            <w:pPr>
              <w:spacing w:after="0" w:line="240" w:lineRule="auto"/>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3.Increasing the transparency of the Ministry of Finance for the financial operations of the municipalities</w:t>
            </w:r>
          </w:p>
        </w:tc>
        <w:tc>
          <w:tcPr>
            <w:tcW w:w="1194" w:type="dxa"/>
            <w:gridSpan w:val="3"/>
            <w:shd w:val="clear" w:color="000000" w:fill="FFFF99"/>
            <w:vAlign w:val="center"/>
          </w:tcPr>
          <w:p w14:paraId="50C2E911"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61E826D1" w14:textId="09EC7433"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tcPr>
          <w:p w14:paraId="2226132B"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shd w:val="clear" w:color="000000" w:fill="FFFF99"/>
            <w:vAlign w:val="center"/>
          </w:tcPr>
          <w:p w14:paraId="29BA1A09"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638594B3" w14:textId="5F4785A2" w:rsidR="00010FFA" w:rsidRPr="008C761D" w:rsidRDefault="00547D12"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16A6712B" w14:textId="75002BBE" w:rsidR="00010FFA" w:rsidRPr="008C761D" w:rsidRDefault="00010FFA" w:rsidP="00010FFA">
            <w:pPr>
              <w:spacing w:after="0" w:line="240" w:lineRule="auto"/>
              <w:jc w:val="center"/>
              <w:rPr>
                <w:rFonts w:ascii="Arial" w:eastAsia="Times New Roman" w:hAnsi="Arial" w:cs="Arial"/>
                <w:sz w:val="12"/>
                <w:szCs w:val="12"/>
                <w:lang w:val="en-US" w:eastAsia="mk-MK"/>
              </w:rPr>
            </w:pPr>
          </w:p>
        </w:tc>
      </w:tr>
      <w:tr w:rsidR="00010FFA" w:rsidRPr="008C761D" w14:paraId="20AAA668" w14:textId="77777777" w:rsidTr="003F623B">
        <w:trPr>
          <w:gridBefore w:val="1"/>
          <w:gridAfter w:val="1"/>
          <w:wBefore w:w="17" w:type="dxa"/>
          <w:wAfter w:w="180" w:type="dxa"/>
          <w:trHeight w:val="548"/>
          <w:jc w:val="center"/>
        </w:trPr>
        <w:tc>
          <w:tcPr>
            <w:tcW w:w="2368" w:type="dxa"/>
            <w:gridSpan w:val="6"/>
            <w:tcBorders>
              <w:top w:val="nil"/>
              <w:left w:val="nil"/>
              <w:bottom w:val="nil"/>
              <w:right w:val="single" w:sz="8" w:space="0" w:color="000000"/>
            </w:tcBorders>
            <w:vAlign w:val="center"/>
          </w:tcPr>
          <w:p w14:paraId="4492B8BE" w14:textId="77777777" w:rsidR="00010FFA" w:rsidRPr="008C761D" w:rsidRDefault="00010FFA" w:rsidP="00010FFA">
            <w:pPr>
              <w:spacing w:after="0" w:line="240" w:lineRule="auto"/>
              <w:rPr>
                <w:rFonts w:ascii="Arial" w:eastAsia="Times New Roman" w:hAnsi="Arial" w:cs="Arial"/>
                <w:sz w:val="12"/>
                <w:szCs w:val="12"/>
                <w:lang w:val="en-US" w:eastAsia="mk-MK"/>
              </w:rPr>
            </w:pPr>
          </w:p>
        </w:tc>
        <w:tc>
          <w:tcPr>
            <w:tcW w:w="1771" w:type="dxa"/>
            <w:gridSpan w:val="3"/>
            <w:tcBorders>
              <w:left w:val="single" w:sz="8" w:space="0" w:color="000000"/>
            </w:tcBorders>
            <w:shd w:val="clear" w:color="000000" w:fill="FFFF99"/>
          </w:tcPr>
          <w:p w14:paraId="4BC620BF" w14:textId="77777777" w:rsidR="00010FFA" w:rsidRPr="008C761D" w:rsidRDefault="00010FFA" w:rsidP="00010FFA">
            <w:pPr>
              <w:spacing w:after="0" w:line="240" w:lineRule="auto"/>
              <w:rPr>
                <w:rFonts w:ascii="Arial" w:eastAsia="Times New Roman" w:hAnsi="Arial" w:cs="Arial"/>
                <w:sz w:val="12"/>
                <w:szCs w:val="12"/>
                <w:lang w:val="en-US" w:eastAsia="mk-MK"/>
              </w:rPr>
            </w:pPr>
          </w:p>
          <w:p w14:paraId="0AE3236B" w14:textId="77777777" w:rsidR="003C20E4" w:rsidRPr="008C761D" w:rsidRDefault="002C7DDC" w:rsidP="00CE2DF4">
            <w:pP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4.Participation of citizens in policy decision making and monitoring results</w:t>
            </w:r>
          </w:p>
        </w:tc>
        <w:tc>
          <w:tcPr>
            <w:tcW w:w="1194" w:type="dxa"/>
            <w:gridSpan w:val="3"/>
            <w:shd w:val="clear" w:color="000000" w:fill="FFFF99"/>
            <w:vAlign w:val="center"/>
          </w:tcPr>
          <w:p w14:paraId="46D28627"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2024-2027</w:t>
            </w:r>
          </w:p>
        </w:tc>
        <w:tc>
          <w:tcPr>
            <w:tcW w:w="1418" w:type="dxa"/>
            <w:gridSpan w:val="2"/>
            <w:shd w:val="clear" w:color="000000" w:fill="FFFF99"/>
            <w:vAlign w:val="center"/>
          </w:tcPr>
          <w:p w14:paraId="3BAAA54F" w14:textId="7894C373" w:rsidR="00010FFA" w:rsidRPr="008C761D" w:rsidRDefault="00927E89"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w:t>
            </w:r>
            <w:r>
              <w:rPr>
                <w:rFonts w:ascii="Arial" w:eastAsia="Times New Roman" w:hAnsi="Arial" w:cs="Arial"/>
                <w:sz w:val="12"/>
                <w:szCs w:val="12"/>
                <w:lang w:val="en-US" w:eastAsia="mk-MK"/>
              </w:rPr>
              <w:t>o</w:t>
            </w:r>
            <w:r w:rsidRPr="008C761D">
              <w:rPr>
                <w:rFonts w:ascii="Arial" w:eastAsia="Times New Roman" w:hAnsi="Arial" w:cs="Arial"/>
                <w:sz w:val="12"/>
                <w:szCs w:val="12"/>
                <w:lang w:val="en-US" w:eastAsia="mk-MK"/>
              </w:rPr>
              <w:t>F</w:t>
            </w:r>
          </w:p>
        </w:tc>
        <w:tc>
          <w:tcPr>
            <w:tcW w:w="1644" w:type="dxa"/>
            <w:gridSpan w:val="3"/>
            <w:shd w:val="clear" w:color="000000" w:fill="FFFF99"/>
            <w:vAlign w:val="center"/>
          </w:tcPr>
          <w:p w14:paraId="1C94A73C"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Municipalities</w:t>
            </w:r>
          </w:p>
        </w:tc>
        <w:tc>
          <w:tcPr>
            <w:tcW w:w="1758" w:type="dxa"/>
            <w:gridSpan w:val="2"/>
            <w:shd w:val="clear" w:color="000000" w:fill="FFFF99"/>
            <w:vAlign w:val="center"/>
          </w:tcPr>
          <w:p w14:paraId="0DE072FB" w14:textId="77777777" w:rsidR="00010FFA" w:rsidRPr="008C761D" w:rsidRDefault="00010FFA"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842" w:type="dxa"/>
            <w:gridSpan w:val="3"/>
            <w:shd w:val="clear" w:color="000000" w:fill="FFFF99"/>
            <w:vAlign w:val="center"/>
          </w:tcPr>
          <w:p w14:paraId="76A7B3EA" w14:textId="53155574" w:rsidR="00010FFA" w:rsidRPr="008C761D" w:rsidRDefault="00547D12" w:rsidP="00010FFA">
            <w:pPr>
              <w:spacing w:after="0" w:line="240" w:lineRule="auto"/>
              <w:jc w:val="center"/>
              <w:rPr>
                <w:rFonts w:ascii="Arial" w:eastAsia="Times New Roman" w:hAnsi="Arial" w:cs="Arial"/>
                <w:sz w:val="12"/>
                <w:szCs w:val="12"/>
                <w:lang w:val="en-US" w:eastAsia="mk-MK"/>
              </w:rPr>
            </w:pPr>
            <w:r w:rsidRPr="008C761D">
              <w:rPr>
                <w:rFonts w:ascii="Arial" w:eastAsia="Times New Roman" w:hAnsi="Arial" w:cs="Arial"/>
                <w:sz w:val="12"/>
                <w:szCs w:val="12"/>
                <w:lang w:val="en-US" w:eastAsia="mk-MK"/>
              </w:rPr>
              <w:t>/</w:t>
            </w:r>
          </w:p>
        </w:tc>
        <w:tc>
          <w:tcPr>
            <w:tcW w:w="1506" w:type="dxa"/>
            <w:gridSpan w:val="3"/>
            <w:shd w:val="clear" w:color="000000" w:fill="FFFF99"/>
            <w:vAlign w:val="center"/>
          </w:tcPr>
          <w:p w14:paraId="1AAE02B5" w14:textId="229B0FE9" w:rsidR="00010FFA" w:rsidRPr="008C761D" w:rsidRDefault="00010FFA" w:rsidP="00010FFA">
            <w:pPr>
              <w:spacing w:after="0" w:line="240" w:lineRule="auto"/>
              <w:jc w:val="center"/>
              <w:rPr>
                <w:rFonts w:ascii="Arial" w:eastAsia="Times New Roman" w:hAnsi="Arial" w:cs="Arial"/>
                <w:sz w:val="12"/>
                <w:szCs w:val="12"/>
                <w:lang w:val="en-US" w:eastAsia="mk-MK"/>
              </w:rPr>
            </w:pPr>
          </w:p>
        </w:tc>
      </w:tr>
    </w:tbl>
    <w:p w14:paraId="4DBEB6A7" w14:textId="77777777" w:rsidR="001D4926" w:rsidRPr="008C761D" w:rsidRDefault="001D4926" w:rsidP="001D4926">
      <w:pPr>
        <w:rPr>
          <w:lang w:val="en-US" w:eastAsia="zh-CN"/>
        </w:rPr>
      </w:pPr>
    </w:p>
    <w:p w14:paraId="2871FA76" w14:textId="77777777" w:rsidR="001D4926" w:rsidRPr="008C761D" w:rsidRDefault="001D4926" w:rsidP="001D4926">
      <w:pPr>
        <w:pStyle w:val="Heading1"/>
        <w:spacing w:line="240" w:lineRule="auto"/>
        <w:ind w:firstLine="720"/>
        <w:jc w:val="both"/>
        <w:rPr>
          <w:rFonts w:eastAsia="MS PGothic"/>
          <w:lang w:val="en-US" w:eastAsia="zh-CN"/>
        </w:rPr>
        <w:sectPr w:rsidR="001D4926" w:rsidRPr="008C761D" w:rsidSect="00BF1348">
          <w:pgSz w:w="16838" w:h="11906" w:orient="landscape"/>
          <w:pgMar w:top="1440" w:right="1440" w:bottom="1560" w:left="1440" w:header="708" w:footer="708" w:gutter="0"/>
          <w:cols w:space="708"/>
          <w:docGrid w:linePitch="360"/>
        </w:sectPr>
      </w:pPr>
    </w:p>
    <w:p w14:paraId="37A259E2" w14:textId="77777777" w:rsidR="00CE502F" w:rsidRPr="008C761D" w:rsidRDefault="00CE502F" w:rsidP="00E84CD0">
      <w:pPr>
        <w:pStyle w:val="Heading1"/>
        <w:spacing w:line="240" w:lineRule="auto"/>
        <w:jc w:val="both"/>
        <w:rPr>
          <w:rFonts w:ascii="Calibri" w:eastAsia="MS PGothic" w:hAnsi="Calibri" w:cs="Calibri"/>
          <w:color w:val="2F5496"/>
          <w:kern w:val="0"/>
          <w:lang w:val="en-US" w:eastAsia="zh-CN"/>
        </w:rPr>
      </w:pPr>
      <w:bookmarkStart w:id="97" w:name="_Toc160611840"/>
      <w:r w:rsidRPr="008C761D">
        <w:rPr>
          <w:rFonts w:ascii="Calibri" w:eastAsia="MS PGothic" w:hAnsi="Calibri" w:cs="Calibri"/>
          <w:color w:val="2F5496"/>
          <w:kern w:val="0"/>
          <w:lang w:val="en-US" w:eastAsia="zh-CN"/>
        </w:rPr>
        <w:lastRenderedPageBreak/>
        <w:t xml:space="preserve">Annex </w:t>
      </w:r>
      <w:r w:rsidR="00C830E2" w:rsidRPr="008C761D">
        <w:rPr>
          <w:rFonts w:ascii="Calibri" w:eastAsia="MS PGothic" w:hAnsi="Calibri" w:cs="Calibri"/>
          <w:color w:val="2F5496"/>
          <w:kern w:val="0"/>
          <w:lang w:val="en-US" w:eastAsia="zh-CN"/>
        </w:rPr>
        <w:t>III</w:t>
      </w:r>
      <w:r w:rsidRPr="008C761D">
        <w:rPr>
          <w:rFonts w:ascii="Calibri" w:eastAsia="MS PGothic" w:hAnsi="Calibri" w:cs="Calibri"/>
          <w:color w:val="2F5496"/>
          <w:kern w:val="0"/>
          <w:lang w:val="en-US" w:eastAsia="zh-CN"/>
        </w:rPr>
        <w:t xml:space="preserve"> - Risk Management</w:t>
      </w:r>
      <w:bookmarkEnd w:id="97"/>
    </w:p>
    <w:p w14:paraId="6A5F04D9" w14:textId="34F950D6" w:rsidR="00CE502F" w:rsidRPr="008C761D" w:rsidRDefault="00CE502F" w:rsidP="00E84CD0">
      <w:pPr>
        <w:spacing w:after="120" w:line="240" w:lineRule="auto"/>
        <w:jc w:val="both"/>
        <w:rPr>
          <w:rFonts w:cs="Calibri"/>
          <w:lang w:val="en-US"/>
        </w:rPr>
      </w:pPr>
      <w:r w:rsidRPr="008C761D">
        <w:rPr>
          <w:rFonts w:cs="Calibri"/>
          <w:lang w:val="en-US"/>
        </w:rPr>
        <w:t>Risk assessment regarding the implementation of reform measures envisaged in</w:t>
      </w:r>
      <w:r w:rsidR="00976389" w:rsidRPr="008C761D">
        <w:rPr>
          <w:rFonts w:cs="Calibri"/>
          <w:lang w:val="en-US"/>
        </w:rPr>
        <w:t xml:space="preserve"> the PFM Reform Programme 2024-2027</w:t>
      </w:r>
      <w:r w:rsidRPr="008C761D">
        <w:rPr>
          <w:rFonts w:cs="Calibri"/>
          <w:lang w:val="en-US"/>
        </w:rPr>
        <w:t xml:space="preserve"> will be based on PFM SWG - Priority Coordinators and PFM Council actively monitoring the implementation of the activities, as well as the le</w:t>
      </w:r>
      <w:r w:rsidR="00976389" w:rsidRPr="008C761D">
        <w:rPr>
          <w:rFonts w:cs="Calibri"/>
          <w:lang w:val="en-US"/>
        </w:rPr>
        <w:t>ssons learned in the period 2022-2023</w:t>
      </w:r>
      <w:r w:rsidRPr="008C761D">
        <w:rPr>
          <w:rFonts w:cs="Calibri"/>
          <w:lang w:val="en-US"/>
        </w:rPr>
        <w:t>.</w:t>
      </w:r>
      <w:r w:rsidR="00976389" w:rsidRPr="008C761D">
        <w:rPr>
          <w:rFonts w:cs="Calibri"/>
          <w:lang w:val="en-US"/>
        </w:rPr>
        <w:t xml:space="preserve"> </w:t>
      </w:r>
      <w:r w:rsidRPr="008C761D">
        <w:rPr>
          <w:rFonts w:cs="Calibri"/>
          <w:lang w:val="en-US"/>
        </w:rPr>
        <w:t>Like in the previous programme period, risk monitoring under the new Programme will be incorporated in the monitoring and reporting framework, i.e. it will be an integral part of the progress monitoring reports.</w:t>
      </w:r>
      <w:r w:rsidR="00134B6E">
        <w:rPr>
          <w:rFonts w:cs="Calibri"/>
          <w:lang w:val="en-US"/>
        </w:rPr>
        <w:t xml:space="preserve"> </w:t>
      </w:r>
      <w:r w:rsidRPr="008C761D">
        <w:rPr>
          <w:rFonts w:cs="Calibri"/>
          <w:lang w:val="en-US"/>
        </w:rPr>
        <w:t>Risk assessment will be updated yearly in the Risk Assessment Plan.</w:t>
      </w:r>
      <w:r w:rsidR="00134B6E">
        <w:rPr>
          <w:rFonts w:cs="Calibri"/>
          <w:lang w:val="en-US"/>
        </w:rPr>
        <w:t xml:space="preserve"> </w:t>
      </w:r>
      <w:r w:rsidRPr="008C761D">
        <w:rPr>
          <w:rFonts w:cs="Calibri"/>
          <w:lang w:val="en-US"/>
        </w:rPr>
        <w:t>Priority Coordinators will monitor the implementation of the Annual Action Plan on regular basis, assess the risk level and define adequate measures to mitigate them, which are to be undertaken by the competent institutions within the set deadlines.</w:t>
      </w:r>
      <w:r w:rsidR="00134B6E">
        <w:rPr>
          <w:rFonts w:cs="Calibri"/>
          <w:lang w:val="en-US"/>
        </w:rPr>
        <w:t xml:space="preserve"> </w:t>
      </w:r>
      <w:r w:rsidRPr="008C761D">
        <w:rPr>
          <w:rFonts w:cs="Calibri"/>
          <w:lang w:val="en-US"/>
        </w:rPr>
        <w:t>The assessment should be updated whenever a significant change in the risk exposure occurs or when a new decision on mitigating or reducing the risk is adopted by the person in charge.</w:t>
      </w:r>
    </w:p>
    <w:p w14:paraId="5A49D930" w14:textId="77777777" w:rsidR="00CE502F" w:rsidRPr="008C761D" w:rsidRDefault="00CE502F" w:rsidP="00E84CD0">
      <w:pPr>
        <w:spacing w:after="120" w:line="240" w:lineRule="auto"/>
        <w:jc w:val="both"/>
        <w:rPr>
          <w:rFonts w:cs="Calibri"/>
          <w:lang w:val="en-US"/>
        </w:rPr>
      </w:pPr>
      <w:r w:rsidRPr="008C761D">
        <w:rPr>
          <w:rFonts w:cs="Calibri"/>
          <w:lang w:val="en-US"/>
        </w:rPr>
        <w:t>PFM SWG and PFM Council manage the risks in order to monitor the implementation and the progress of the undertaken corrective activities</w:t>
      </w:r>
    </w:p>
    <w:p w14:paraId="5E1DF6E7" w14:textId="77777777" w:rsidR="00CE502F" w:rsidRPr="008C761D" w:rsidRDefault="00CE502F" w:rsidP="00E84CD0">
      <w:pPr>
        <w:spacing w:after="120" w:line="240" w:lineRule="auto"/>
        <w:jc w:val="both"/>
        <w:rPr>
          <w:rFonts w:cs="Calibri"/>
          <w:lang w:val="en-US"/>
        </w:rPr>
      </w:pPr>
      <w:r w:rsidRPr="008C761D">
        <w:rPr>
          <w:rFonts w:cs="Calibri"/>
          <w:lang w:val="en-US"/>
        </w:rPr>
        <w:t>Key risks to implementation of each measure under a given priority identified in the Programme preparatory stage are presented in Chapter II: Pillars, Priorities, Measures and Results.</w:t>
      </w:r>
    </w:p>
    <w:p w14:paraId="3E95EE69" w14:textId="77777777" w:rsidR="00CE502F" w:rsidRPr="008C761D" w:rsidRDefault="00CE502F" w:rsidP="00E84CD0">
      <w:pPr>
        <w:spacing w:after="120" w:line="240" w:lineRule="auto"/>
        <w:jc w:val="both"/>
        <w:rPr>
          <w:rFonts w:cs="Calibri"/>
          <w:lang w:val="en-US"/>
        </w:rPr>
      </w:pPr>
      <w:r w:rsidRPr="008C761D">
        <w:rPr>
          <w:rFonts w:cs="Calibri"/>
          <w:lang w:val="en-US"/>
        </w:rPr>
        <w:t>The Table below summarises the key risks identified in the preparatory stage, to be the basis for further risk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81"/>
        <w:gridCol w:w="3819"/>
        <w:gridCol w:w="2254"/>
      </w:tblGrid>
      <w:tr w:rsidR="00681A06" w:rsidRPr="008C761D" w14:paraId="1685B23A" w14:textId="77777777" w:rsidTr="00E935CF">
        <w:tc>
          <w:tcPr>
            <w:tcW w:w="9016" w:type="dxa"/>
            <w:gridSpan w:val="4"/>
            <w:shd w:val="clear" w:color="auto" w:fill="002060"/>
          </w:tcPr>
          <w:p w14:paraId="18E7FA9A" w14:textId="77777777" w:rsidR="00681A06" w:rsidRPr="008C761D" w:rsidRDefault="00681A06" w:rsidP="00E935CF">
            <w:pPr>
              <w:spacing w:after="0" w:line="240" w:lineRule="auto"/>
              <w:jc w:val="center"/>
              <w:rPr>
                <w:rFonts w:cs="Calibri"/>
                <w:b/>
                <w:sz w:val="18"/>
                <w:szCs w:val="18"/>
                <w:lang w:val="en-US"/>
              </w:rPr>
            </w:pPr>
            <w:r w:rsidRPr="008C761D">
              <w:rPr>
                <w:rFonts w:cs="Calibri"/>
                <w:b/>
                <w:sz w:val="18"/>
                <w:szCs w:val="18"/>
                <w:lang w:val="en-US"/>
              </w:rPr>
              <w:t>List of risks</w:t>
            </w:r>
          </w:p>
        </w:tc>
      </w:tr>
      <w:tr w:rsidR="00C57990" w:rsidRPr="008C761D" w14:paraId="2356D02C" w14:textId="77777777" w:rsidTr="00E935CF">
        <w:tc>
          <w:tcPr>
            <w:tcW w:w="562" w:type="dxa"/>
            <w:shd w:val="clear" w:color="auto" w:fill="D9E2F3"/>
          </w:tcPr>
          <w:p w14:paraId="22130B1A"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No.</w:t>
            </w:r>
          </w:p>
        </w:tc>
        <w:tc>
          <w:tcPr>
            <w:tcW w:w="2381" w:type="dxa"/>
            <w:shd w:val="clear" w:color="auto" w:fill="D9E2F3"/>
          </w:tcPr>
          <w:p w14:paraId="4F9DA87B"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Pillar/Priority</w:t>
            </w:r>
          </w:p>
        </w:tc>
        <w:tc>
          <w:tcPr>
            <w:tcW w:w="3819" w:type="dxa"/>
            <w:shd w:val="clear" w:color="auto" w:fill="D9E2F3"/>
          </w:tcPr>
          <w:p w14:paraId="6E554DD3" w14:textId="2A40AF74"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Risk</w:t>
            </w:r>
            <w:r w:rsidR="00E215BC" w:rsidRPr="008C761D">
              <w:rPr>
                <w:rFonts w:cs="Calibri"/>
                <w:b/>
                <w:sz w:val="18"/>
                <w:szCs w:val="18"/>
                <w:lang w:val="en-US"/>
              </w:rPr>
              <w:t xml:space="preserve"> </w:t>
            </w:r>
            <w:r w:rsidRPr="008C761D">
              <w:rPr>
                <w:rFonts w:cs="Calibri"/>
                <w:b/>
                <w:sz w:val="18"/>
                <w:szCs w:val="18"/>
                <w:lang w:val="en-US"/>
              </w:rPr>
              <w:t>trigger</w:t>
            </w:r>
            <w:r w:rsidR="00E215BC" w:rsidRPr="008C761D">
              <w:rPr>
                <w:rFonts w:cs="Calibri"/>
                <w:b/>
                <w:sz w:val="18"/>
                <w:szCs w:val="18"/>
                <w:lang w:val="en-US"/>
              </w:rPr>
              <w:t xml:space="preserve"> </w:t>
            </w:r>
            <w:r w:rsidRPr="008C761D">
              <w:rPr>
                <w:rFonts w:cs="Calibri"/>
                <w:b/>
                <w:sz w:val="18"/>
                <w:szCs w:val="18"/>
                <w:lang w:val="en-US"/>
              </w:rPr>
              <w:t>event, situation</w:t>
            </w:r>
            <w:r w:rsidR="00E215BC" w:rsidRPr="008C761D">
              <w:rPr>
                <w:rFonts w:cs="Calibri"/>
                <w:b/>
                <w:sz w:val="18"/>
                <w:szCs w:val="18"/>
                <w:lang w:val="en-US"/>
              </w:rPr>
              <w:t xml:space="preserve"> </w:t>
            </w:r>
            <w:r w:rsidRPr="008C761D">
              <w:rPr>
                <w:rFonts w:cs="Calibri"/>
                <w:b/>
                <w:sz w:val="18"/>
                <w:szCs w:val="18"/>
                <w:lang w:val="en-US"/>
              </w:rPr>
              <w:t>or</w:t>
            </w:r>
            <w:r w:rsidR="00E215BC" w:rsidRPr="008C761D">
              <w:rPr>
                <w:rFonts w:cs="Calibri"/>
                <w:b/>
                <w:sz w:val="18"/>
                <w:szCs w:val="18"/>
                <w:lang w:val="en-US"/>
              </w:rPr>
              <w:t xml:space="preserve"> </w:t>
            </w:r>
            <w:r w:rsidRPr="008C761D">
              <w:rPr>
                <w:rFonts w:cs="Calibri"/>
                <w:b/>
                <w:sz w:val="18"/>
                <w:szCs w:val="18"/>
                <w:lang w:val="en-US"/>
              </w:rPr>
              <w:t>factor</w:t>
            </w:r>
          </w:p>
        </w:tc>
        <w:tc>
          <w:tcPr>
            <w:tcW w:w="2254" w:type="dxa"/>
            <w:shd w:val="clear" w:color="auto" w:fill="D9E2F3"/>
          </w:tcPr>
          <w:p w14:paraId="59977B02"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Responsibility</w:t>
            </w:r>
          </w:p>
        </w:tc>
      </w:tr>
      <w:tr w:rsidR="00681A06" w:rsidRPr="008C761D" w14:paraId="590F8098" w14:textId="77777777" w:rsidTr="00E935CF">
        <w:trPr>
          <w:trHeight w:val="197"/>
        </w:trPr>
        <w:tc>
          <w:tcPr>
            <w:tcW w:w="9016" w:type="dxa"/>
            <w:gridSpan w:val="4"/>
            <w:shd w:val="clear" w:color="auto" w:fill="D9E2F3"/>
          </w:tcPr>
          <w:p w14:paraId="547CF6A8" w14:textId="11754301"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PILLAR I </w:t>
            </w:r>
            <w:r w:rsidR="00E215BC" w:rsidRPr="008C761D">
              <w:rPr>
                <w:rFonts w:cs="Calibri"/>
                <w:b/>
                <w:sz w:val="18"/>
                <w:szCs w:val="18"/>
                <w:lang w:val="en-US"/>
              </w:rPr>
              <w:t>–</w:t>
            </w:r>
            <w:r w:rsidRPr="008C761D">
              <w:rPr>
                <w:rFonts w:cs="Calibri"/>
                <w:b/>
                <w:sz w:val="18"/>
                <w:szCs w:val="18"/>
                <w:lang w:val="en-US"/>
              </w:rPr>
              <w:t xml:space="preserve"> Economic</w:t>
            </w:r>
            <w:r w:rsidR="00E215BC" w:rsidRPr="008C761D">
              <w:rPr>
                <w:rFonts w:cs="Calibri"/>
                <w:b/>
                <w:sz w:val="18"/>
                <w:szCs w:val="18"/>
                <w:lang w:val="en-US"/>
              </w:rPr>
              <w:t xml:space="preserve"> </w:t>
            </w:r>
            <w:r w:rsidRPr="008C761D">
              <w:rPr>
                <w:rFonts w:cs="Calibri"/>
                <w:b/>
                <w:sz w:val="18"/>
                <w:szCs w:val="18"/>
                <w:lang w:val="en-US"/>
              </w:rPr>
              <w:t>Analysis, Macroeconomic</w:t>
            </w:r>
            <w:r w:rsidR="00E215BC" w:rsidRPr="008C761D">
              <w:rPr>
                <w:rFonts w:cs="Calibri"/>
                <w:b/>
                <w:sz w:val="18"/>
                <w:szCs w:val="18"/>
                <w:lang w:val="en-US"/>
              </w:rPr>
              <w:t xml:space="preserve"> </w:t>
            </w:r>
            <w:r w:rsidRPr="008C761D">
              <w:rPr>
                <w:rFonts w:cs="Calibri"/>
                <w:b/>
                <w:sz w:val="18"/>
                <w:szCs w:val="18"/>
                <w:lang w:val="en-US"/>
              </w:rPr>
              <w:t>and</w:t>
            </w:r>
            <w:r w:rsidR="00E215BC" w:rsidRPr="008C761D">
              <w:rPr>
                <w:rFonts w:cs="Calibri"/>
                <w:b/>
                <w:sz w:val="18"/>
                <w:szCs w:val="18"/>
                <w:lang w:val="en-US"/>
              </w:rPr>
              <w:t xml:space="preserve"> </w:t>
            </w:r>
            <w:r w:rsidRPr="008C761D">
              <w:rPr>
                <w:rFonts w:cs="Calibri"/>
                <w:b/>
                <w:sz w:val="18"/>
                <w:szCs w:val="18"/>
                <w:lang w:val="en-US"/>
              </w:rPr>
              <w:t>Fiscal</w:t>
            </w:r>
            <w:r w:rsidR="00E215BC" w:rsidRPr="008C761D">
              <w:rPr>
                <w:rFonts w:cs="Calibri"/>
                <w:b/>
                <w:sz w:val="18"/>
                <w:szCs w:val="18"/>
                <w:lang w:val="en-US"/>
              </w:rPr>
              <w:t xml:space="preserve"> </w:t>
            </w:r>
            <w:r w:rsidRPr="008C761D">
              <w:rPr>
                <w:rFonts w:cs="Calibri"/>
                <w:b/>
                <w:sz w:val="18"/>
                <w:szCs w:val="18"/>
                <w:lang w:val="en-US"/>
              </w:rPr>
              <w:t>Framework</w:t>
            </w:r>
          </w:p>
        </w:tc>
      </w:tr>
      <w:tr w:rsidR="00681A06" w:rsidRPr="008C761D" w14:paraId="6024AB0B" w14:textId="77777777" w:rsidTr="00E935CF">
        <w:tc>
          <w:tcPr>
            <w:tcW w:w="562" w:type="dxa"/>
            <w:vMerge w:val="restart"/>
            <w:shd w:val="clear" w:color="auto" w:fill="auto"/>
          </w:tcPr>
          <w:p w14:paraId="42C520D5"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1</w:t>
            </w:r>
          </w:p>
        </w:tc>
        <w:tc>
          <w:tcPr>
            <w:tcW w:w="2381" w:type="dxa"/>
            <w:vMerge w:val="restart"/>
            <w:shd w:val="clear" w:color="auto" w:fill="auto"/>
          </w:tcPr>
          <w:p w14:paraId="1F896E83"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Priority 1: </w:t>
            </w:r>
          </w:p>
          <w:p w14:paraId="766156FA" w14:textId="6105083B" w:rsidR="00681A06" w:rsidRPr="008C761D" w:rsidRDefault="00681A06" w:rsidP="00E935CF">
            <w:pPr>
              <w:spacing w:after="0" w:line="240" w:lineRule="auto"/>
              <w:rPr>
                <w:rFonts w:cs="Calibri"/>
                <w:sz w:val="18"/>
                <w:szCs w:val="18"/>
                <w:lang w:val="en-US"/>
              </w:rPr>
            </w:pPr>
            <w:r w:rsidRPr="008C761D">
              <w:rPr>
                <w:rFonts w:cs="Calibri"/>
                <w:sz w:val="18"/>
                <w:szCs w:val="18"/>
                <w:lang w:val="en-US"/>
              </w:rPr>
              <w:t>Revenue</w:t>
            </w:r>
            <w:r w:rsidR="00E215BC" w:rsidRPr="008C761D">
              <w:rPr>
                <w:rFonts w:cs="Calibri"/>
                <w:sz w:val="18"/>
                <w:szCs w:val="18"/>
                <w:lang w:val="en-US"/>
              </w:rPr>
              <w:t xml:space="preserve"> </w:t>
            </w:r>
            <w:r w:rsidRPr="008C761D">
              <w:rPr>
                <w:rFonts w:cs="Calibri"/>
                <w:sz w:val="18"/>
                <w:szCs w:val="18"/>
                <w:lang w:val="en-US"/>
              </w:rPr>
              <w:t>Forecasting</w:t>
            </w:r>
            <w:r w:rsidR="00E215BC" w:rsidRPr="008C761D">
              <w:rPr>
                <w:rFonts w:cs="Calibri"/>
                <w:sz w:val="18"/>
                <w:szCs w:val="18"/>
                <w:lang w:val="en-US"/>
              </w:rPr>
              <w:t xml:space="preserve"> </w:t>
            </w:r>
            <w:r w:rsidRPr="008C761D">
              <w:rPr>
                <w:rFonts w:cs="Calibri"/>
                <w:sz w:val="18"/>
                <w:szCs w:val="18"/>
                <w:lang w:val="en-US"/>
              </w:rPr>
              <w:t>and</w:t>
            </w:r>
            <w:r w:rsidR="00E215BC" w:rsidRPr="008C761D">
              <w:rPr>
                <w:rFonts w:cs="Calibri"/>
                <w:sz w:val="18"/>
                <w:szCs w:val="18"/>
                <w:lang w:val="en-US"/>
              </w:rPr>
              <w:t xml:space="preserve"> </w:t>
            </w:r>
            <w:r w:rsidRPr="008C761D">
              <w:rPr>
                <w:rFonts w:cs="Calibri"/>
                <w:sz w:val="18"/>
                <w:szCs w:val="18"/>
                <w:lang w:val="en-US"/>
              </w:rPr>
              <w:t>Reporting</w:t>
            </w:r>
          </w:p>
        </w:tc>
        <w:tc>
          <w:tcPr>
            <w:tcW w:w="3819" w:type="dxa"/>
            <w:shd w:val="clear" w:color="auto" w:fill="auto"/>
          </w:tcPr>
          <w:p w14:paraId="0F52A84A" w14:textId="38FC037C" w:rsidR="00681A06" w:rsidRPr="008C761D" w:rsidRDefault="00E215BC" w:rsidP="00E935CF">
            <w:pPr>
              <w:spacing w:after="0" w:line="240" w:lineRule="auto"/>
              <w:rPr>
                <w:rFonts w:cs="Calibri"/>
                <w:sz w:val="18"/>
                <w:szCs w:val="18"/>
                <w:lang w:val="en-US"/>
              </w:rPr>
            </w:pPr>
            <w:r w:rsidRPr="008C761D">
              <w:rPr>
                <w:rFonts w:cs="Calibri"/>
                <w:sz w:val="18"/>
                <w:szCs w:val="18"/>
                <w:lang w:val="en-US"/>
              </w:rPr>
              <w:t>Lack of awareness and commitment from high-level officials</w:t>
            </w:r>
          </w:p>
        </w:tc>
        <w:tc>
          <w:tcPr>
            <w:tcW w:w="2254" w:type="dxa"/>
            <w:vMerge w:val="restart"/>
            <w:shd w:val="clear" w:color="auto" w:fill="auto"/>
          </w:tcPr>
          <w:p w14:paraId="710ECEE9" w14:textId="77777777" w:rsidR="00681A06" w:rsidRPr="008C761D" w:rsidRDefault="007F65F1" w:rsidP="00E935CF">
            <w:pPr>
              <w:spacing w:after="0" w:line="240" w:lineRule="auto"/>
              <w:rPr>
                <w:rFonts w:cs="Calibri"/>
                <w:sz w:val="18"/>
                <w:szCs w:val="18"/>
                <w:lang w:val="en-US"/>
              </w:rPr>
            </w:pPr>
            <w:r w:rsidRPr="008C761D">
              <w:rPr>
                <w:rFonts w:cs="Calibri"/>
                <w:sz w:val="18"/>
                <w:szCs w:val="18"/>
                <w:lang w:val="en-US"/>
              </w:rPr>
              <w:t>Ministry of F</w:t>
            </w:r>
            <w:r w:rsidR="00681A06" w:rsidRPr="008C761D">
              <w:rPr>
                <w:rFonts w:cs="Calibri"/>
                <w:sz w:val="18"/>
                <w:szCs w:val="18"/>
                <w:lang w:val="en-US"/>
              </w:rPr>
              <w:t>inance and PRO</w:t>
            </w:r>
          </w:p>
        </w:tc>
      </w:tr>
      <w:tr w:rsidR="00F36337" w:rsidRPr="008C761D" w14:paraId="19CE9FE9" w14:textId="77777777" w:rsidTr="00E935CF">
        <w:tc>
          <w:tcPr>
            <w:tcW w:w="562" w:type="dxa"/>
            <w:vMerge/>
            <w:shd w:val="clear" w:color="auto" w:fill="auto"/>
          </w:tcPr>
          <w:p w14:paraId="79C29C22" w14:textId="77777777" w:rsidR="00F36337" w:rsidRPr="008C761D" w:rsidRDefault="00F36337" w:rsidP="00E935CF">
            <w:pPr>
              <w:spacing w:after="0" w:line="240" w:lineRule="auto"/>
              <w:rPr>
                <w:rFonts w:cs="Calibri"/>
                <w:sz w:val="18"/>
                <w:szCs w:val="18"/>
                <w:lang w:val="en-US"/>
              </w:rPr>
            </w:pPr>
          </w:p>
        </w:tc>
        <w:tc>
          <w:tcPr>
            <w:tcW w:w="2381" w:type="dxa"/>
            <w:vMerge/>
            <w:shd w:val="clear" w:color="auto" w:fill="auto"/>
          </w:tcPr>
          <w:p w14:paraId="39ECCE12" w14:textId="77777777" w:rsidR="00F36337" w:rsidRPr="008C761D" w:rsidRDefault="00F36337" w:rsidP="00E935CF">
            <w:pPr>
              <w:spacing w:after="0" w:line="240" w:lineRule="auto"/>
              <w:rPr>
                <w:rFonts w:cs="Calibri"/>
                <w:b/>
                <w:sz w:val="18"/>
                <w:szCs w:val="18"/>
                <w:lang w:val="en-US"/>
              </w:rPr>
            </w:pPr>
          </w:p>
        </w:tc>
        <w:tc>
          <w:tcPr>
            <w:tcW w:w="3819" w:type="dxa"/>
            <w:shd w:val="clear" w:color="auto" w:fill="auto"/>
          </w:tcPr>
          <w:p w14:paraId="4CAA5CFC" w14:textId="0AE7BD39" w:rsidR="00F36337" w:rsidRPr="008C761D" w:rsidRDefault="00E215BC" w:rsidP="00E935CF">
            <w:pPr>
              <w:spacing w:after="0" w:line="240" w:lineRule="auto"/>
              <w:rPr>
                <w:rFonts w:cs="Calibri"/>
                <w:sz w:val="18"/>
                <w:szCs w:val="18"/>
                <w:lang w:val="en-US"/>
              </w:rPr>
            </w:pPr>
            <w:r w:rsidRPr="008C761D">
              <w:rPr>
                <w:rFonts w:cs="Calibri"/>
                <w:sz w:val="18"/>
                <w:szCs w:val="18"/>
                <w:lang w:val="en-US"/>
              </w:rPr>
              <w:t>Lack of data availability</w:t>
            </w:r>
          </w:p>
        </w:tc>
        <w:tc>
          <w:tcPr>
            <w:tcW w:w="2254" w:type="dxa"/>
            <w:vMerge/>
            <w:shd w:val="clear" w:color="auto" w:fill="auto"/>
          </w:tcPr>
          <w:p w14:paraId="3EBDFE39" w14:textId="77777777" w:rsidR="00F36337" w:rsidRPr="008C761D" w:rsidRDefault="00F36337" w:rsidP="00E935CF">
            <w:pPr>
              <w:spacing w:after="0" w:line="240" w:lineRule="auto"/>
              <w:rPr>
                <w:rFonts w:cs="Calibri"/>
                <w:sz w:val="18"/>
                <w:szCs w:val="18"/>
                <w:lang w:val="en-US"/>
              </w:rPr>
            </w:pPr>
          </w:p>
        </w:tc>
      </w:tr>
      <w:tr w:rsidR="00A824CE" w:rsidRPr="008C761D" w14:paraId="2D1843B2" w14:textId="77777777" w:rsidTr="00E935CF">
        <w:tc>
          <w:tcPr>
            <w:tcW w:w="562" w:type="dxa"/>
            <w:vMerge/>
            <w:shd w:val="clear" w:color="auto" w:fill="auto"/>
          </w:tcPr>
          <w:p w14:paraId="5D59ADC4" w14:textId="77777777" w:rsidR="00A824CE" w:rsidRPr="008C761D" w:rsidRDefault="00A824CE" w:rsidP="00E935CF">
            <w:pPr>
              <w:spacing w:after="0" w:line="240" w:lineRule="auto"/>
              <w:rPr>
                <w:rFonts w:cs="Calibri"/>
                <w:sz w:val="18"/>
                <w:szCs w:val="18"/>
                <w:lang w:val="en-US"/>
              </w:rPr>
            </w:pPr>
          </w:p>
        </w:tc>
        <w:tc>
          <w:tcPr>
            <w:tcW w:w="2381" w:type="dxa"/>
            <w:vMerge/>
            <w:shd w:val="clear" w:color="auto" w:fill="auto"/>
          </w:tcPr>
          <w:p w14:paraId="546C1437" w14:textId="77777777" w:rsidR="00A824CE" w:rsidRPr="008C761D" w:rsidRDefault="00A824CE" w:rsidP="00E935CF">
            <w:pPr>
              <w:spacing w:after="0" w:line="240" w:lineRule="auto"/>
              <w:rPr>
                <w:rFonts w:cs="Calibri"/>
                <w:b/>
                <w:sz w:val="18"/>
                <w:szCs w:val="18"/>
                <w:lang w:val="en-US"/>
              </w:rPr>
            </w:pPr>
          </w:p>
        </w:tc>
        <w:tc>
          <w:tcPr>
            <w:tcW w:w="3819" w:type="dxa"/>
            <w:shd w:val="clear" w:color="auto" w:fill="auto"/>
          </w:tcPr>
          <w:p w14:paraId="51505DEB" w14:textId="1100002B" w:rsidR="00A824CE" w:rsidRPr="006C2FDD" w:rsidRDefault="00E215BC" w:rsidP="00E935CF">
            <w:pPr>
              <w:spacing w:after="0" w:line="240" w:lineRule="auto"/>
              <w:rPr>
                <w:rFonts w:eastAsia="MS PGothic" w:cs="Calibri"/>
                <w:sz w:val="18"/>
                <w:szCs w:val="18"/>
                <w:lang w:val="en-US" w:eastAsia="zh-CN"/>
              </w:rPr>
            </w:pPr>
            <w:r w:rsidRPr="006C2FDD">
              <w:rPr>
                <w:rFonts w:eastAsia="MS PGothic" w:cs="Calibri"/>
                <w:sz w:val="18"/>
                <w:szCs w:val="18"/>
                <w:lang w:val="en-US" w:eastAsia="zh-CN"/>
              </w:rPr>
              <w:t>Excessive staff turnover</w:t>
            </w:r>
          </w:p>
        </w:tc>
        <w:tc>
          <w:tcPr>
            <w:tcW w:w="2254" w:type="dxa"/>
            <w:vMerge/>
            <w:shd w:val="clear" w:color="auto" w:fill="auto"/>
          </w:tcPr>
          <w:p w14:paraId="132FD558" w14:textId="77777777" w:rsidR="00A824CE" w:rsidRPr="008C761D" w:rsidRDefault="00A824CE" w:rsidP="00E935CF">
            <w:pPr>
              <w:spacing w:after="0" w:line="240" w:lineRule="auto"/>
              <w:rPr>
                <w:rFonts w:cs="Calibri"/>
                <w:sz w:val="18"/>
                <w:szCs w:val="18"/>
                <w:lang w:val="en-US"/>
              </w:rPr>
            </w:pPr>
          </w:p>
        </w:tc>
      </w:tr>
      <w:tr w:rsidR="00A824CE" w:rsidRPr="008C761D" w14:paraId="12946D7B" w14:textId="77777777" w:rsidTr="00E935CF">
        <w:tc>
          <w:tcPr>
            <w:tcW w:w="562" w:type="dxa"/>
            <w:vMerge/>
            <w:shd w:val="clear" w:color="auto" w:fill="auto"/>
          </w:tcPr>
          <w:p w14:paraId="16E9DC62" w14:textId="77777777" w:rsidR="00A824CE" w:rsidRPr="008C761D" w:rsidRDefault="00A824CE" w:rsidP="00E935CF">
            <w:pPr>
              <w:spacing w:after="0" w:line="240" w:lineRule="auto"/>
              <w:rPr>
                <w:rFonts w:cs="Calibri"/>
                <w:sz w:val="18"/>
                <w:szCs w:val="18"/>
                <w:lang w:val="en-US"/>
              </w:rPr>
            </w:pPr>
          </w:p>
        </w:tc>
        <w:tc>
          <w:tcPr>
            <w:tcW w:w="2381" w:type="dxa"/>
            <w:vMerge/>
            <w:shd w:val="clear" w:color="auto" w:fill="auto"/>
          </w:tcPr>
          <w:p w14:paraId="24B8517A" w14:textId="77777777" w:rsidR="00A824CE" w:rsidRPr="008C761D" w:rsidRDefault="00A824CE" w:rsidP="00E935CF">
            <w:pPr>
              <w:spacing w:after="0" w:line="240" w:lineRule="auto"/>
              <w:rPr>
                <w:rFonts w:cs="Calibri"/>
                <w:b/>
                <w:sz w:val="18"/>
                <w:szCs w:val="18"/>
                <w:lang w:val="en-US"/>
              </w:rPr>
            </w:pPr>
          </w:p>
        </w:tc>
        <w:tc>
          <w:tcPr>
            <w:tcW w:w="3819" w:type="dxa"/>
            <w:shd w:val="clear" w:color="auto" w:fill="auto"/>
          </w:tcPr>
          <w:p w14:paraId="4E1A7FCC" w14:textId="3F73B0FF" w:rsidR="00A824CE" w:rsidRPr="006C2FDD" w:rsidRDefault="00E215BC" w:rsidP="00E935CF">
            <w:pPr>
              <w:spacing w:after="0" w:line="240" w:lineRule="auto"/>
              <w:rPr>
                <w:rFonts w:eastAsia="MS PGothic" w:cs="Calibri"/>
                <w:sz w:val="18"/>
                <w:szCs w:val="18"/>
                <w:lang w:val="en-US" w:eastAsia="zh-CN"/>
              </w:rPr>
            </w:pPr>
            <w:r w:rsidRPr="006C2FDD">
              <w:rPr>
                <w:rFonts w:eastAsia="MS PGothic" w:cs="Calibri"/>
                <w:sz w:val="18"/>
                <w:szCs w:val="18"/>
                <w:lang w:val="en-US" w:eastAsia="zh-CN"/>
              </w:rPr>
              <w:t>Due to the complexity of the model, it is not fully operational</w:t>
            </w:r>
          </w:p>
        </w:tc>
        <w:tc>
          <w:tcPr>
            <w:tcW w:w="2254" w:type="dxa"/>
            <w:vMerge/>
            <w:shd w:val="clear" w:color="auto" w:fill="auto"/>
          </w:tcPr>
          <w:p w14:paraId="69A5A413" w14:textId="77777777" w:rsidR="00A824CE" w:rsidRPr="008C761D" w:rsidRDefault="00A824CE" w:rsidP="00E935CF">
            <w:pPr>
              <w:spacing w:after="0" w:line="240" w:lineRule="auto"/>
              <w:rPr>
                <w:rFonts w:cs="Calibri"/>
                <w:sz w:val="18"/>
                <w:szCs w:val="18"/>
                <w:lang w:val="en-US"/>
              </w:rPr>
            </w:pPr>
          </w:p>
        </w:tc>
      </w:tr>
      <w:tr w:rsidR="00A824CE" w:rsidRPr="008C761D" w14:paraId="3EB60959" w14:textId="77777777" w:rsidTr="00E935CF">
        <w:tc>
          <w:tcPr>
            <w:tcW w:w="562" w:type="dxa"/>
            <w:vMerge/>
            <w:shd w:val="clear" w:color="auto" w:fill="auto"/>
          </w:tcPr>
          <w:p w14:paraId="2F6660A8" w14:textId="77777777" w:rsidR="00A824CE" w:rsidRPr="008C761D" w:rsidRDefault="00A824CE" w:rsidP="00E935CF">
            <w:pPr>
              <w:spacing w:after="0" w:line="240" w:lineRule="auto"/>
              <w:rPr>
                <w:rFonts w:cs="Calibri"/>
                <w:sz w:val="18"/>
                <w:szCs w:val="18"/>
                <w:lang w:val="en-US"/>
              </w:rPr>
            </w:pPr>
          </w:p>
        </w:tc>
        <w:tc>
          <w:tcPr>
            <w:tcW w:w="2381" w:type="dxa"/>
            <w:vMerge/>
            <w:shd w:val="clear" w:color="auto" w:fill="auto"/>
          </w:tcPr>
          <w:p w14:paraId="0596D664" w14:textId="77777777" w:rsidR="00A824CE" w:rsidRPr="008C761D" w:rsidRDefault="00A824CE" w:rsidP="00E935CF">
            <w:pPr>
              <w:spacing w:after="0" w:line="240" w:lineRule="auto"/>
              <w:rPr>
                <w:rFonts w:cs="Calibri"/>
                <w:b/>
                <w:sz w:val="18"/>
                <w:szCs w:val="18"/>
                <w:lang w:val="en-US"/>
              </w:rPr>
            </w:pPr>
          </w:p>
        </w:tc>
        <w:tc>
          <w:tcPr>
            <w:tcW w:w="3819" w:type="dxa"/>
            <w:shd w:val="clear" w:color="auto" w:fill="auto"/>
          </w:tcPr>
          <w:p w14:paraId="06AB6724" w14:textId="227DE1A6" w:rsidR="00A824CE" w:rsidRPr="006C2FDD" w:rsidRDefault="00F36337" w:rsidP="00E935CF">
            <w:pPr>
              <w:spacing w:after="0" w:line="240" w:lineRule="auto"/>
              <w:rPr>
                <w:rFonts w:eastAsia="MS PGothic" w:cs="Calibri"/>
                <w:sz w:val="18"/>
                <w:szCs w:val="18"/>
                <w:lang w:val="en-US" w:eastAsia="zh-CN"/>
              </w:rPr>
            </w:pPr>
            <w:r w:rsidRPr="006C2FDD">
              <w:rPr>
                <w:rFonts w:eastAsia="MS PGothic" w:cs="Calibri"/>
                <w:sz w:val="18"/>
                <w:szCs w:val="18"/>
                <w:lang w:val="en-US" w:eastAsia="zh-CN"/>
              </w:rPr>
              <w:t>Lack</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of</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data</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availability</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for</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regular</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updating</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of</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the</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models</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with</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latest</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tax</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data</w:t>
            </w:r>
          </w:p>
        </w:tc>
        <w:tc>
          <w:tcPr>
            <w:tcW w:w="2254" w:type="dxa"/>
            <w:vMerge/>
            <w:shd w:val="clear" w:color="auto" w:fill="auto"/>
          </w:tcPr>
          <w:p w14:paraId="78A07504" w14:textId="77777777" w:rsidR="00A824CE" w:rsidRPr="008C761D" w:rsidRDefault="00A824CE" w:rsidP="00E935CF">
            <w:pPr>
              <w:spacing w:after="0" w:line="240" w:lineRule="auto"/>
              <w:rPr>
                <w:rFonts w:cs="Calibri"/>
                <w:sz w:val="18"/>
                <w:szCs w:val="18"/>
                <w:lang w:val="en-US"/>
              </w:rPr>
            </w:pPr>
          </w:p>
        </w:tc>
      </w:tr>
      <w:tr w:rsidR="00681A06" w:rsidRPr="008C761D" w14:paraId="196FA327" w14:textId="77777777" w:rsidTr="00E935CF">
        <w:tc>
          <w:tcPr>
            <w:tcW w:w="562" w:type="dxa"/>
            <w:vMerge/>
            <w:shd w:val="clear" w:color="auto" w:fill="auto"/>
          </w:tcPr>
          <w:p w14:paraId="68916E93"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2E4BF60A" w14:textId="77777777" w:rsidR="00681A06" w:rsidRPr="008C761D" w:rsidRDefault="00681A06" w:rsidP="00E935CF">
            <w:pPr>
              <w:spacing w:after="0" w:line="240" w:lineRule="auto"/>
              <w:rPr>
                <w:rFonts w:cs="Calibri"/>
                <w:b/>
                <w:sz w:val="18"/>
                <w:szCs w:val="18"/>
                <w:lang w:val="en-US"/>
              </w:rPr>
            </w:pPr>
          </w:p>
        </w:tc>
        <w:tc>
          <w:tcPr>
            <w:tcW w:w="3819" w:type="dxa"/>
            <w:shd w:val="clear" w:color="auto" w:fill="auto"/>
          </w:tcPr>
          <w:p w14:paraId="332AA20B" w14:textId="54A477CF" w:rsidR="00681A06" w:rsidRPr="006C2FDD" w:rsidRDefault="00F36337" w:rsidP="00E935CF">
            <w:pPr>
              <w:spacing w:after="0" w:line="240" w:lineRule="auto"/>
              <w:rPr>
                <w:rFonts w:eastAsia="MS PGothic" w:cs="Calibri"/>
                <w:sz w:val="18"/>
                <w:szCs w:val="18"/>
                <w:lang w:val="en-US" w:eastAsia="zh-CN"/>
              </w:rPr>
            </w:pPr>
            <w:r w:rsidRPr="006C2FDD">
              <w:rPr>
                <w:rFonts w:eastAsia="MS PGothic" w:cs="Calibri"/>
                <w:sz w:val="18"/>
                <w:szCs w:val="18"/>
                <w:lang w:val="en-US" w:eastAsia="zh-CN"/>
              </w:rPr>
              <w:t>Insufficient</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training</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of</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the</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staff</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in</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fully</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utilizing</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the</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tax</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models</w:t>
            </w:r>
          </w:p>
        </w:tc>
        <w:tc>
          <w:tcPr>
            <w:tcW w:w="2254" w:type="dxa"/>
            <w:vMerge/>
            <w:shd w:val="clear" w:color="auto" w:fill="auto"/>
          </w:tcPr>
          <w:p w14:paraId="0597539F" w14:textId="77777777" w:rsidR="00681A06" w:rsidRPr="008C761D" w:rsidRDefault="00681A06" w:rsidP="00E935CF">
            <w:pPr>
              <w:spacing w:after="0" w:line="240" w:lineRule="auto"/>
              <w:rPr>
                <w:rFonts w:cs="Calibri"/>
                <w:sz w:val="18"/>
                <w:szCs w:val="18"/>
                <w:lang w:val="en-US"/>
              </w:rPr>
            </w:pPr>
          </w:p>
        </w:tc>
      </w:tr>
      <w:tr w:rsidR="00F36337" w:rsidRPr="008C761D" w14:paraId="14BF4DFD" w14:textId="77777777" w:rsidTr="006C2FDD">
        <w:trPr>
          <w:trHeight w:val="169"/>
        </w:trPr>
        <w:tc>
          <w:tcPr>
            <w:tcW w:w="562" w:type="dxa"/>
            <w:vMerge/>
            <w:shd w:val="clear" w:color="auto" w:fill="auto"/>
          </w:tcPr>
          <w:p w14:paraId="624AD58B" w14:textId="77777777" w:rsidR="00F36337" w:rsidRPr="008C761D" w:rsidRDefault="00F36337" w:rsidP="00E935CF">
            <w:pPr>
              <w:spacing w:after="0" w:line="240" w:lineRule="auto"/>
              <w:rPr>
                <w:rFonts w:cs="Calibri"/>
                <w:sz w:val="18"/>
                <w:szCs w:val="18"/>
                <w:lang w:val="en-US"/>
              </w:rPr>
            </w:pPr>
          </w:p>
        </w:tc>
        <w:tc>
          <w:tcPr>
            <w:tcW w:w="2381" w:type="dxa"/>
            <w:vMerge/>
            <w:shd w:val="clear" w:color="auto" w:fill="auto"/>
          </w:tcPr>
          <w:p w14:paraId="6BEF2A4F" w14:textId="77777777" w:rsidR="00F36337" w:rsidRPr="008C761D" w:rsidRDefault="00F36337" w:rsidP="00E935CF">
            <w:pPr>
              <w:spacing w:after="0" w:line="240" w:lineRule="auto"/>
              <w:rPr>
                <w:rFonts w:cs="Calibri"/>
                <w:sz w:val="18"/>
                <w:szCs w:val="18"/>
                <w:lang w:val="en-US"/>
              </w:rPr>
            </w:pPr>
          </w:p>
        </w:tc>
        <w:tc>
          <w:tcPr>
            <w:tcW w:w="3819" w:type="dxa"/>
            <w:shd w:val="clear" w:color="auto" w:fill="auto"/>
          </w:tcPr>
          <w:p w14:paraId="42271E87" w14:textId="25908A71" w:rsidR="00F36337" w:rsidRPr="006C2FDD" w:rsidRDefault="00F36337" w:rsidP="00E935CF">
            <w:pPr>
              <w:spacing w:after="0" w:line="240" w:lineRule="auto"/>
              <w:rPr>
                <w:rFonts w:eastAsia="MS PGothic" w:cs="Calibri"/>
                <w:sz w:val="18"/>
                <w:szCs w:val="18"/>
                <w:lang w:val="en-US" w:eastAsia="zh-CN"/>
              </w:rPr>
            </w:pPr>
            <w:r w:rsidRPr="006C2FDD">
              <w:rPr>
                <w:rFonts w:eastAsia="MS PGothic" w:cs="Calibri"/>
                <w:sz w:val="18"/>
                <w:szCs w:val="18"/>
                <w:lang w:val="en-US" w:eastAsia="zh-CN"/>
              </w:rPr>
              <w:t>Internal</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resistance</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to</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reform</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processes</w:t>
            </w:r>
          </w:p>
        </w:tc>
        <w:tc>
          <w:tcPr>
            <w:tcW w:w="2254" w:type="dxa"/>
            <w:vMerge/>
            <w:shd w:val="clear" w:color="auto" w:fill="auto"/>
          </w:tcPr>
          <w:p w14:paraId="71CB0658" w14:textId="77777777" w:rsidR="00F36337" w:rsidRPr="008C761D" w:rsidRDefault="00F36337" w:rsidP="00E935CF">
            <w:pPr>
              <w:spacing w:after="0" w:line="240" w:lineRule="auto"/>
              <w:rPr>
                <w:rFonts w:cs="Calibri"/>
                <w:sz w:val="18"/>
                <w:szCs w:val="18"/>
                <w:lang w:val="en-US"/>
              </w:rPr>
            </w:pPr>
          </w:p>
        </w:tc>
      </w:tr>
      <w:tr w:rsidR="00BE579B" w:rsidRPr="008C761D" w14:paraId="66D9A3FB" w14:textId="77777777" w:rsidTr="00E935CF">
        <w:tc>
          <w:tcPr>
            <w:tcW w:w="562" w:type="dxa"/>
            <w:vMerge w:val="restart"/>
            <w:shd w:val="clear" w:color="auto" w:fill="auto"/>
          </w:tcPr>
          <w:p w14:paraId="0A1FABAB" w14:textId="77777777" w:rsidR="00BE579B" w:rsidRPr="008C761D" w:rsidRDefault="00BE579B" w:rsidP="00E935CF">
            <w:pPr>
              <w:spacing w:after="0" w:line="240" w:lineRule="auto"/>
              <w:rPr>
                <w:rFonts w:cs="Calibri"/>
                <w:sz w:val="18"/>
                <w:szCs w:val="18"/>
                <w:lang w:val="en-US"/>
              </w:rPr>
            </w:pPr>
            <w:r w:rsidRPr="008C761D">
              <w:rPr>
                <w:rFonts w:cs="Calibri"/>
                <w:sz w:val="18"/>
                <w:szCs w:val="18"/>
                <w:lang w:val="en-US"/>
              </w:rPr>
              <w:t>2</w:t>
            </w:r>
          </w:p>
        </w:tc>
        <w:tc>
          <w:tcPr>
            <w:tcW w:w="2381" w:type="dxa"/>
            <w:vMerge w:val="restart"/>
            <w:shd w:val="clear" w:color="auto" w:fill="auto"/>
          </w:tcPr>
          <w:p w14:paraId="7C0980E8" w14:textId="77777777" w:rsidR="00BE579B" w:rsidRPr="008C761D" w:rsidRDefault="00BE579B" w:rsidP="00E935CF">
            <w:pPr>
              <w:spacing w:after="0" w:line="240" w:lineRule="auto"/>
              <w:rPr>
                <w:rFonts w:cs="Calibri"/>
                <w:b/>
                <w:sz w:val="18"/>
                <w:szCs w:val="18"/>
                <w:lang w:val="en-US"/>
              </w:rPr>
            </w:pPr>
            <w:r w:rsidRPr="008C761D">
              <w:rPr>
                <w:rFonts w:cs="Calibri"/>
                <w:b/>
                <w:sz w:val="18"/>
                <w:szCs w:val="18"/>
                <w:lang w:val="en-US"/>
              </w:rPr>
              <w:t xml:space="preserve">Priority 2: </w:t>
            </w:r>
          </w:p>
          <w:p w14:paraId="13A3308E" w14:textId="41E10F2D" w:rsidR="00BE579B" w:rsidRPr="008C761D" w:rsidRDefault="00BE579B" w:rsidP="00E935CF">
            <w:pPr>
              <w:spacing w:after="0" w:line="240" w:lineRule="auto"/>
              <w:rPr>
                <w:rFonts w:cs="Calibri"/>
                <w:sz w:val="18"/>
                <w:szCs w:val="18"/>
                <w:lang w:val="en-US"/>
              </w:rPr>
            </w:pPr>
            <w:r w:rsidRPr="008C761D">
              <w:rPr>
                <w:rFonts w:cs="Calibri"/>
                <w:sz w:val="18"/>
                <w:szCs w:val="18"/>
                <w:lang w:val="en-US"/>
              </w:rPr>
              <w:t>Economic</w:t>
            </w:r>
            <w:r w:rsidR="00E215BC" w:rsidRPr="008C761D">
              <w:rPr>
                <w:rFonts w:cs="Calibri"/>
                <w:sz w:val="18"/>
                <w:szCs w:val="18"/>
                <w:lang w:val="en-US"/>
              </w:rPr>
              <w:t xml:space="preserve"> </w:t>
            </w:r>
            <w:r w:rsidRPr="008C761D">
              <w:rPr>
                <w:rFonts w:cs="Calibri"/>
                <w:sz w:val="18"/>
                <w:szCs w:val="18"/>
                <w:lang w:val="en-US"/>
              </w:rPr>
              <w:t>Analysis</w:t>
            </w:r>
            <w:r w:rsidR="00E215BC" w:rsidRPr="008C761D">
              <w:rPr>
                <w:rFonts w:cs="Calibri"/>
                <w:sz w:val="18"/>
                <w:szCs w:val="18"/>
                <w:lang w:val="en-US"/>
              </w:rPr>
              <w:t xml:space="preserve"> </w:t>
            </w:r>
            <w:r w:rsidRPr="008C761D">
              <w:rPr>
                <w:rFonts w:cs="Calibri"/>
                <w:sz w:val="18"/>
                <w:szCs w:val="18"/>
                <w:lang w:val="en-US"/>
              </w:rPr>
              <w:t>and</w:t>
            </w:r>
            <w:r w:rsidR="00E215BC" w:rsidRPr="008C761D">
              <w:rPr>
                <w:rFonts w:cs="Calibri"/>
                <w:sz w:val="18"/>
                <w:szCs w:val="18"/>
                <w:lang w:val="en-US"/>
              </w:rPr>
              <w:t xml:space="preserve"> </w:t>
            </w:r>
            <w:r w:rsidRPr="008C761D">
              <w:rPr>
                <w:rFonts w:cs="Calibri"/>
                <w:sz w:val="18"/>
                <w:szCs w:val="18"/>
                <w:lang w:val="en-US"/>
              </w:rPr>
              <w:t>Macroeconomic</w:t>
            </w:r>
            <w:r w:rsidR="00E215BC" w:rsidRPr="008C761D">
              <w:rPr>
                <w:rFonts w:cs="Calibri"/>
                <w:sz w:val="18"/>
                <w:szCs w:val="18"/>
                <w:lang w:val="en-US"/>
              </w:rPr>
              <w:t xml:space="preserve"> </w:t>
            </w:r>
            <w:r w:rsidRPr="008C761D">
              <w:rPr>
                <w:rFonts w:cs="Calibri"/>
                <w:sz w:val="18"/>
                <w:szCs w:val="18"/>
                <w:lang w:val="en-US"/>
              </w:rPr>
              <w:t>Forecasting</w:t>
            </w:r>
          </w:p>
        </w:tc>
        <w:tc>
          <w:tcPr>
            <w:tcW w:w="3819" w:type="dxa"/>
            <w:shd w:val="clear" w:color="auto" w:fill="auto"/>
          </w:tcPr>
          <w:p w14:paraId="768A7D31" w14:textId="10E91E19" w:rsidR="00BE579B" w:rsidRPr="008C761D" w:rsidRDefault="00BE579B" w:rsidP="006C2FDD">
            <w:pPr>
              <w:spacing w:after="0" w:line="240" w:lineRule="auto"/>
              <w:rPr>
                <w:rFonts w:eastAsia="MS PGothic" w:cs="Calibri"/>
                <w:sz w:val="18"/>
                <w:szCs w:val="18"/>
                <w:lang w:val="en-US" w:eastAsia="zh-CN"/>
              </w:rPr>
            </w:pPr>
            <w:r w:rsidRPr="006C2FDD">
              <w:rPr>
                <w:rFonts w:eastAsia="MS PGothic" w:cs="Calibri"/>
                <w:sz w:val="18"/>
                <w:szCs w:val="18"/>
                <w:lang w:val="en-US" w:eastAsia="zh-CN"/>
              </w:rPr>
              <w:t>Over</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optimistic</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growth</w:t>
            </w:r>
            <w:r w:rsidR="00E215BC" w:rsidRPr="006C2FDD">
              <w:rPr>
                <w:rFonts w:eastAsia="MS PGothic" w:cs="Calibri"/>
                <w:sz w:val="18"/>
                <w:szCs w:val="18"/>
                <w:lang w:val="en-US" w:eastAsia="zh-CN"/>
              </w:rPr>
              <w:t xml:space="preserve"> </w:t>
            </w:r>
            <w:r w:rsidRPr="006C2FDD">
              <w:rPr>
                <w:rFonts w:eastAsia="MS PGothic" w:cs="Calibri"/>
                <w:sz w:val="18"/>
                <w:szCs w:val="18"/>
                <w:lang w:val="en-US" w:eastAsia="zh-CN"/>
              </w:rPr>
              <w:t>forecasts</w:t>
            </w:r>
          </w:p>
        </w:tc>
        <w:tc>
          <w:tcPr>
            <w:tcW w:w="2254" w:type="dxa"/>
            <w:vMerge w:val="restart"/>
            <w:shd w:val="clear" w:color="auto" w:fill="auto"/>
          </w:tcPr>
          <w:p w14:paraId="39F1B730" w14:textId="77777777" w:rsidR="00BE579B" w:rsidRPr="008C761D" w:rsidRDefault="00BE579B" w:rsidP="00E935CF">
            <w:pPr>
              <w:spacing w:after="0" w:line="240" w:lineRule="auto"/>
              <w:rPr>
                <w:rFonts w:cs="Calibri"/>
                <w:sz w:val="18"/>
                <w:szCs w:val="18"/>
                <w:lang w:val="en-US"/>
              </w:rPr>
            </w:pPr>
            <w:r w:rsidRPr="008C761D">
              <w:rPr>
                <w:rFonts w:cs="Calibri"/>
                <w:sz w:val="18"/>
                <w:szCs w:val="18"/>
                <w:lang w:val="en-US"/>
              </w:rPr>
              <w:t>Ministry of Finance</w:t>
            </w:r>
          </w:p>
          <w:p w14:paraId="090D85FB" w14:textId="2A9C44D1" w:rsidR="00BE579B" w:rsidRPr="008C761D" w:rsidRDefault="00BE579B" w:rsidP="00E935CF">
            <w:pPr>
              <w:spacing w:after="0" w:line="240" w:lineRule="auto"/>
              <w:rPr>
                <w:rFonts w:cs="Calibri"/>
                <w:sz w:val="18"/>
                <w:szCs w:val="18"/>
                <w:lang w:val="en-US"/>
              </w:rPr>
            </w:pPr>
          </w:p>
        </w:tc>
      </w:tr>
      <w:tr w:rsidR="00BE579B" w:rsidRPr="008C761D" w14:paraId="75CED4B5" w14:textId="77777777" w:rsidTr="00E935CF">
        <w:tc>
          <w:tcPr>
            <w:tcW w:w="562" w:type="dxa"/>
            <w:vMerge/>
            <w:shd w:val="clear" w:color="auto" w:fill="auto"/>
          </w:tcPr>
          <w:p w14:paraId="4674BE0F"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07AC122E"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6F42222F" w14:textId="15862A83" w:rsidR="00BE579B" w:rsidRPr="006C2FDD" w:rsidRDefault="00BE579B"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High staff turnover</w:t>
            </w:r>
          </w:p>
        </w:tc>
        <w:tc>
          <w:tcPr>
            <w:tcW w:w="2254" w:type="dxa"/>
            <w:vMerge/>
            <w:shd w:val="clear" w:color="auto" w:fill="auto"/>
          </w:tcPr>
          <w:p w14:paraId="57265D1C" w14:textId="77777777" w:rsidR="00BE579B" w:rsidRPr="008C761D" w:rsidRDefault="00BE579B" w:rsidP="00E935CF">
            <w:pPr>
              <w:spacing w:after="0" w:line="240" w:lineRule="auto"/>
              <w:rPr>
                <w:rFonts w:cs="Calibri"/>
                <w:sz w:val="18"/>
                <w:szCs w:val="18"/>
                <w:lang w:val="en-US"/>
              </w:rPr>
            </w:pPr>
          </w:p>
        </w:tc>
      </w:tr>
      <w:tr w:rsidR="00BE579B" w:rsidRPr="008C761D" w14:paraId="424EF190" w14:textId="77777777" w:rsidTr="00E935CF">
        <w:trPr>
          <w:trHeight w:val="247"/>
        </w:trPr>
        <w:tc>
          <w:tcPr>
            <w:tcW w:w="562" w:type="dxa"/>
            <w:vMerge/>
            <w:shd w:val="clear" w:color="auto" w:fill="auto"/>
          </w:tcPr>
          <w:p w14:paraId="1AC32648"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4BA05BD1"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61EF3B96" w14:textId="57198EE6" w:rsidR="00BE579B" w:rsidRPr="008C761D" w:rsidRDefault="00BE579B" w:rsidP="006C2FDD">
            <w:pPr>
              <w:spacing w:after="0" w:line="240" w:lineRule="auto"/>
              <w:rPr>
                <w:rFonts w:eastAsia="MS PGothic" w:cs="Calibri"/>
                <w:sz w:val="18"/>
                <w:szCs w:val="18"/>
                <w:lang w:val="en-US" w:eastAsia="zh-CN"/>
              </w:rPr>
            </w:pPr>
            <w:r w:rsidRPr="008C761D">
              <w:rPr>
                <w:rFonts w:eastAsia="MS PGothic" w:cs="Calibri"/>
                <w:sz w:val="18"/>
                <w:szCs w:val="18"/>
                <w:lang w:val="en-US" w:eastAsia="zh-CN"/>
              </w:rPr>
              <w:t>Failure to procure appropriate software</w:t>
            </w:r>
          </w:p>
        </w:tc>
        <w:tc>
          <w:tcPr>
            <w:tcW w:w="2254" w:type="dxa"/>
            <w:vMerge/>
            <w:shd w:val="clear" w:color="auto" w:fill="auto"/>
          </w:tcPr>
          <w:p w14:paraId="31CDE174" w14:textId="77777777" w:rsidR="00BE579B" w:rsidRPr="008C761D" w:rsidRDefault="00BE579B" w:rsidP="00E935CF">
            <w:pPr>
              <w:spacing w:after="0" w:line="240" w:lineRule="auto"/>
              <w:rPr>
                <w:rFonts w:cs="Calibri"/>
                <w:sz w:val="18"/>
                <w:szCs w:val="18"/>
                <w:lang w:val="en-US"/>
              </w:rPr>
            </w:pPr>
          </w:p>
        </w:tc>
      </w:tr>
      <w:tr w:rsidR="00BE579B" w:rsidRPr="008C761D" w14:paraId="355EE9A4" w14:textId="77777777" w:rsidTr="00E935CF">
        <w:tc>
          <w:tcPr>
            <w:tcW w:w="562" w:type="dxa"/>
            <w:vMerge/>
            <w:shd w:val="clear" w:color="auto" w:fill="auto"/>
          </w:tcPr>
          <w:p w14:paraId="6995F3A8"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38B165C6"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089A2C6F" w14:textId="0A8BE6F3" w:rsidR="00BE579B" w:rsidRPr="008C761D" w:rsidRDefault="00BE579B"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Externalities, as in the case with the energy crisis, inflation pressures and war in Ukraine disrupting the quality of economic forecasting</w:t>
            </w:r>
          </w:p>
        </w:tc>
        <w:tc>
          <w:tcPr>
            <w:tcW w:w="2254" w:type="dxa"/>
            <w:vMerge/>
            <w:shd w:val="clear" w:color="auto" w:fill="auto"/>
          </w:tcPr>
          <w:p w14:paraId="1DA74716" w14:textId="77777777" w:rsidR="00BE579B" w:rsidRPr="008C761D" w:rsidRDefault="00BE579B" w:rsidP="00E935CF">
            <w:pPr>
              <w:spacing w:after="0" w:line="240" w:lineRule="auto"/>
              <w:rPr>
                <w:rFonts w:cs="Calibri"/>
                <w:sz w:val="18"/>
                <w:szCs w:val="18"/>
                <w:lang w:val="en-US"/>
              </w:rPr>
            </w:pPr>
          </w:p>
        </w:tc>
      </w:tr>
      <w:tr w:rsidR="00BE579B" w:rsidRPr="008C761D" w14:paraId="1E8A3F2E" w14:textId="77777777" w:rsidTr="00E935CF">
        <w:tc>
          <w:tcPr>
            <w:tcW w:w="562" w:type="dxa"/>
            <w:vMerge/>
            <w:shd w:val="clear" w:color="auto" w:fill="auto"/>
          </w:tcPr>
          <w:p w14:paraId="1535F978"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52B02F9C"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4C1F444B" w14:textId="3235C456" w:rsidR="00BE579B" w:rsidRPr="008C761D" w:rsidRDefault="00BE579B" w:rsidP="00E935CF">
            <w:pPr>
              <w:spacing w:after="0" w:line="240" w:lineRule="auto"/>
              <w:rPr>
                <w:rFonts w:cs="Calibri"/>
                <w:sz w:val="18"/>
                <w:szCs w:val="18"/>
                <w:lang w:val="en-US"/>
              </w:rPr>
            </w:pPr>
            <w:r w:rsidRPr="008C761D">
              <w:rPr>
                <w:rFonts w:cs="Calibri"/>
                <w:sz w:val="18"/>
                <w:szCs w:val="18"/>
                <w:lang w:val="en-US"/>
              </w:rPr>
              <w:t>Availability</w:t>
            </w:r>
            <w:r w:rsidR="00E215BC" w:rsidRPr="008C761D">
              <w:rPr>
                <w:rFonts w:cs="Calibri"/>
                <w:sz w:val="18"/>
                <w:szCs w:val="18"/>
                <w:lang w:val="en-US"/>
              </w:rPr>
              <w:t xml:space="preserve"> </w:t>
            </w:r>
            <w:r w:rsidRPr="008C761D">
              <w:rPr>
                <w:rFonts w:cs="Calibri"/>
                <w:sz w:val="18"/>
                <w:szCs w:val="18"/>
                <w:lang w:val="en-US"/>
              </w:rPr>
              <w:t>of</w:t>
            </w:r>
            <w:r w:rsidR="00E215BC" w:rsidRPr="008C761D">
              <w:rPr>
                <w:rFonts w:cs="Calibri"/>
                <w:sz w:val="18"/>
                <w:szCs w:val="18"/>
                <w:lang w:val="en-US"/>
              </w:rPr>
              <w:t xml:space="preserve"> </w:t>
            </w:r>
            <w:r w:rsidRPr="008C761D">
              <w:rPr>
                <w:rFonts w:cs="Calibri"/>
                <w:sz w:val="18"/>
                <w:szCs w:val="18"/>
                <w:lang w:val="en-US"/>
              </w:rPr>
              <w:t>official</w:t>
            </w:r>
            <w:r w:rsidR="00E215BC" w:rsidRPr="008C761D">
              <w:rPr>
                <w:rFonts w:cs="Calibri"/>
                <w:sz w:val="18"/>
                <w:szCs w:val="18"/>
                <w:lang w:val="en-US"/>
              </w:rPr>
              <w:t xml:space="preserve"> </w:t>
            </w:r>
            <w:r w:rsidRPr="008C761D">
              <w:rPr>
                <w:rFonts w:cs="Calibri"/>
                <w:sz w:val="18"/>
                <w:szCs w:val="18"/>
                <w:lang w:val="en-US"/>
              </w:rPr>
              <w:t>national</w:t>
            </w:r>
            <w:r w:rsidR="00E215BC" w:rsidRPr="008C761D">
              <w:rPr>
                <w:rFonts w:cs="Calibri"/>
                <w:sz w:val="18"/>
                <w:szCs w:val="18"/>
                <w:lang w:val="en-US"/>
              </w:rPr>
              <w:t xml:space="preserve"> </w:t>
            </w:r>
            <w:r w:rsidRPr="008C761D">
              <w:rPr>
                <w:rFonts w:cs="Calibri"/>
                <w:sz w:val="18"/>
                <w:szCs w:val="18"/>
                <w:lang w:val="en-US"/>
              </w:rPr>
              <w:t>statistical</w:t>
            </w:r>
            <w:r w:rsidR="00E215BC" w:rsidRPr="008C761D">
              <w:rPr>
                <w:rFonts w:cs="Calibri"/>
                <w:sz w:val="18"/>
                <w:szCs w:val="18"/>
                <w:lang w:val="en-US"/>
              </w:rPr>
              <w:t xml:space="preserve"> </w:t>
            </w:r>
            <w:r w:rsidRPr="008C761D">
              <w:rPr>
                <w:rFonts w:cs="Calibri"/>
                <w:sz w:val="18"/>
                <w:szCs w:val="18"/>
                <w:lang w:val="en-US"/>
              </w:rPr>
              <w:t>data</w:t>
            </w:r>
            <w:r w:rsidR="00E215BC" w:rsidRPr="008C761D">
              <w:rPr>
                <w:rFonts w:cs="Calibri"/>
                <w:sz w:val="18"/>
                <w:szCs w:val="18"/>
                <w:lang w:val="en-US"/>
              </w:rPr>
              <w:t xml:space="preserve"> </w:t>
            </w:r>
            <w:r w:rsidRPr="008C761D">
              <w:rPr>
                <w:rFonts w:cs="Calibri"/>
                <w:sz w:val="18"/>
                <w:szCs w:val="18"/>
                <w:lang w:val="en-US"/>
              </w:rPr>
              <w:t>as</w:t>
            </w:r>
            <w:r w:rsidR="00E215BC" w:rsidRPr="008C761D">
              <w:rPr>
                <w:rFonts w:cs="Calibri"/>
                <w:sz w:val="18"/>
                <w:szCs w:val="18"/>
                <w:lang w:val="en-US"/>
              </w:rPr>
              <w:t xml:space="preserve"> </w:t>
            </w:r>
            <w:r w:rsidRPr="008C761D">
              <w:rPr>
                <w:rFonts w:cs="Calibri"/>
                <w:sz w:val="18"/>
                <w:szCs w:val="18"/>
                <w:lang w:val="en-US"/>
              </w:rPr>
              <w:t>input</w:t>
            </w:r>
            <w:r w:rsidR="00E215BC" w:rsidRPr="008C761D">
              <w:rPr>
                <w:rFonts w:cs="Calibri"/>
                <w:sz w:val="18"/>
                <w:szCs w:val="18"/>
                <w:lang w:val="en-US"/>
              </w:rPr>
              <w:t xml:space="preserve"> </w:t>
            </w:r>
            <w:r w:rsidRPr="008C761D">
              <w:rPr>
                <w:rFonts w:cs="Calibri"/>
                <w:sz w:val="18"/>
                <w:szCs w:val="18"/>
                <w:lang w:val="en-US"/>
              </w:rPr>
              <w:t>for</w:t>
            </w:r>
            <w:r w:rsidR="00E215BC" w:rsidRPr="008C761D">
              <w:rPr>
                <w:rFonts w:cs="Calibri"/>
                <w:sz w:val="18"/>
                <w:szCs w:val="18"/>
                <w:lang w:val="en-US"/>
              </w:rPr>
              <w:t xml:space="preserve"> </w:t>
            </w:r>
            <w:r w:rsidRPr="008C761D">
              <w:rPr>
                <w:rFonts w:cs="Calibri"/>
                <w:sz w:val="18"/>
                <w:szCs w:val="18"/>
                <w:lang w:val="en-US"/>
              </w:rPr>
              <w:t>economic</w:t>
            </w:r>
            <w:r w:rsidR="00E215BC" w:rsidRPr="008C761D">
              <w:rPr>
                <w:rFonts w:cs="Calibri"/>
                <w:sz w:val="18"/>
                <w:szCs w:val="18"/>
                <w:lang w:val="en-US"/>
              </w:rPr>
              <w:t xml:space="preserve"> </w:t>
            </w:r>
            <w:r w:rsidRPr="008C761D">
              <w:rPr>
                <w:rFonts w:cs="Calibri"/>
                <w:sz w:val="18"/>
                <w:szCs w:val="18"/>
                <w:lang w:val="en-US"/>
              </w:rPr>
              <w:t>analysis</w:t>
            </w:r>
          </w:p>
        </w:tc>
        <w:tc>
          <w:tcPr>
            <w:tcW w:w="2254" w:type="dxa"/>
            <w:vMerge/>
            <w:shd w:val="clear" w:color="auto" w:fill="auto"/>
          </w:tcPr>
          <w:p w14:paraId="668BDC2B" w14:textId="77777777" w:rsidR="00BE579B" w:rsidRPr="008C761D" w:rsidRDefault="00BE579B" w:rsidP="00E935CF">
            <w:pPr>
              <w:spacing w:after="0" w:line="240" w:lineRule="auto"/>
              <w:rPr>
                <w:rFonts w:cs="Calibri"/>
                <w:sz w:val="18"/>
                <w:szCs w:val="18"/>
                <w:lang w:val="en-US"/>
              </w:rPr>
            </w:pPr>
          </w:p>
        </w:tc>
      </w:tr>
      <w:tr w:rsidR="00BE579B" w:rsidRPr="008C761D" w14:paraId="3B170216" w14:textId="77777777" w:rsidTr="00E935CF">
        <w:tc>
          <w:tcPr>
            <w:tcW w:w="562" w:type="dxa"/>
            <w:vMerge/>
            <w:shd w:val="clear" w:color="auto" w:fill="auto"/>
          </w:tcPr>
          <w:p w14:paraId="38A68E38"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68AAD142"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7C2AC5C9" w14:textId="2F54F480" w:rsidR="00BE579B" w:rsidRPr="008C761D" w:rsidRDefault="00BE579B"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Certain</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sectors</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may</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not</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be</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able</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to</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provide</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data</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and</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analysis</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relevant</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to</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the</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preparation</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of</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the</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Fiscal</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Risk</w:t>
            </w:r>
            <w:r w:rsidR="00E215BC" w:rsidRPr="008C761D">
              <w:rPr>
                <w:rFonts w:eastAsia="MS PGothic" w:cs="Calibri"/>
                <w:sz w:val="18"/>
                <w:szCs w:val="18"/>
                <w:lang w:val="en-US" w:eastAsia="zh-CN"/>
              </w:rPr>
              <w:t xml:space="preserve"> </w:t>
            </w:r>
            <w:r w:rsidRPr="008C761D">
              <w:rPr>
                <w:rFonts w:eastAsia="MS PGothic" w:cs="Calibri"/>
                <w:sz w:val="18"/>
                <w:szCs w:val="18"/>
                <w:lang w:val="en-US" w:eastAsia="zh-CN"/>
              </w:rPr>
              <w:t>Statement</w:t>
            </w:r>
          </w:p>
        </w:tc>
        <w:tc>
          <w:tcPr>
            <w:tcW w:w="2254" w:type="dxa"/>
            <w:vMerge w:val="restart"/>
            <w:shd w:val="clear" w:color="auto" w:fill="auto"/>
          </w:tcPr>
          <w:p w14:paraId="0FF2B70B" w14:textId="4749FCF8" w:rsidR="00BE579B" w:rsidRPr="008C761D" w:rsidRDefault="00BE579B" w:rsidP="00E935CF">
            <w:pPr>
              <w:spacing w:after="0" w:line="240" w:lineRule="auto"/>
              <w:rPr>
                <w:rFonts w:cs="Calibri"/>
                <w:sz w:val="18"/>
                <w:szCs w:val="18"/>
                <w:lang w:val="en-US"/>
              </w:rPr>
            </w:pPr>
            <w:r w:rsidRPr="008C761D">
              <w:rPr>
                <w:rFonts w:cs="Calibri"/>
                <w:sz w:val="18"/>
                <w:szCs w:val="18"/>
                <w:lang w:val="en-US"/>
              </w:rPr>
              <w:t>Ministry</w:t>
            </w:r>
            <w:r w:rsidR="00E215BC" w:rsidRPr="008C761D">
              <w:rPr>
                <w:rFonts w:cs="Calibri"/>
                <w:sz w:val="18"/>
                <w:szCs w:val="18"/>
                <w:lang w:val="en-US"/>
              </w:rPr>
              <w:t xml:space="preserve"> </w:t>
            </w:r>
            <w:r w:rsidRPr="008C761D">
              <w:rPr>
                <w:rFonts w:cs="Calibri"/>
                <w:sz w:val="18"/>
                <w:szCs w:val="18"/>
                <w:lang w:val="en-US"/>
              </w:rPr>
              <w:t>of</w:t>
            </w:r>
            <w:r w:rsidR="00E215BC" w:rsidRPr="008C761D">
              <w:rPr>
                <w:rFonts w:cs="Calibri"/>
                <w:sz w:val="18"/>
                <w:szCs w:val="18"/>
                <w:lang w:val="en-US"/>
              </w:rPr>
              <w:t xml:space="preserve"> </w:t>
            </w:r>
            <w:r w:rsidRPr="008C761D">
              <w:rPr>
                <w:rFonts w:cs="Calibri"/>
                <w:sz w:val="18"/>
                <w:szCs w:val="18"/>
                <w:lang w:val="en-US"/>
              </w:rPr>
              <w:t>Finance</w:t>
            </w:r>
            <w:r w:rsidR="00E215BC" w:rsidRPr="008C761D">
              <w:rPr>
                <w:rFonts w:cs="Calibri"/>
                <w:sz w:val="18"/>
                <w:szCs w:val="18"/>
                <w:lang w:val="en-US"/>
              </w:rPr>
              <w:t xml:space="preserve"> </w:t>
            </w:r>
            <w:r w:rsidRPr="008C761D">
              <w:rPr>
                <w:rFonts w:cs="Calibri"/>
                <w:sz w:val="18"/>
                <w:szCs w:val="18"/>
                <w:lang w:val="en-US"/>
              </w:rPr>
              <w:t>and</w:t>
            </w:r>
            <w:r w:rsidR="00E215BC" w:rsidRPr="008C761D">
              <w:rPr>
                <w:rFonts w:cs="Calibri"/>
                <w:sz w:val="18"/>
                <w:szCs w:val="18"/>
                <w:lang w:val="en-US"/>
              </w:rPr>
              <w:t xml:space="preserve"> </w:t>
            </w:r>
            <w:r w:rsidRPr="008C761D">
              <w:rPr>
                <w:rFonts w:cs="Calibri"/>
                <w:sz w:val="18"/>
                <w:szCs w:val="18"/>
                <w:lang w:val="en-US"/>
              </w:rPr>
              <w:t>other</w:t>
            </w:r>
            <w:r w:rsidR="00E215BC" w:rsidRPr="008C761D">
              <w:rPr>
                <w:rFonts w:cs="Calibri"/>
                <w:sz w:val="18"/>
                <w:szCs w:val="18"/>
                <w:lang w:val="en-US"/>
              </w:rPr>
              <w:t xml:space="preserve"> </w:t>
            </w:r>
            <w:r w:rsidRPr="008C761D">
              <w:rPr>
                <w:rFonts w:cs="Calibri"/>
                <w:sz w:val="18"/>
                <w:szCs w:val="18"/>
                <w:lang w:val="en-US"/>
              </w:rPr>
              <w:t>relevant</w:t>
            </w:r>
            <w:r w:rsidR="00E215BC" w:rsidRPr="008C761D">
              <w:rPr>
                <w:rFonts w:cs="Calibri"/>
                <w:sz w:val="18"/>
                <w:szCs w:val="18"/>
                <w:lang w:val="en-US"/>
              </w:rPr>
              <w:t xml:space="preserve"> </w:t>
            </w:r>
            <w:r w:rsidRPr="008C761D">
              <w:rPr>
                <w:rFonts w:cs="Calibri"/>
                <w:sz w:val="18"/>
                <w:szCs w:val="18"/>
                <w:lang w:val="en-US"/>
              </w:rPr>
              <w:t>institutions</w:t>
            </w:r>
            <w:r w:rsidR="00E215BC" w:rsidRPr="008C761D">
              <w:rPr>
                <w:rFonts w:cs="Calibri"/>
                <w:sz w:val="18"/>
                <w:szCs w:val="18"/>
                <w:lang w:val="en-US"/>
              </w:rPr>
              <w:t xml:space="preserve"> </w:t>
            </w:r>
            <w:r w:rsidRPr="008C761D">
              <w:rPr>
                <w:rFonts w:cs="Calibri"/>
                <w:sz w:val="18"/>
                <w:szCs w:val="18"/>
                <w:lang w:val="en-US"/>
              </w:rPr>
              <w:t>and</w:t>
            </w:r>
            <w:r w:rsidR="00E215BC" w:rsidRPr="008C761D">
              <w:rPr>
                <w:rFonts w:cs="Calibri"/>
                <w:sz w:val="18"/>
                <w:szCs w:val="18"/>
                <w:lang w:val="en-US"/>
              </w:rPr>
              <w:t xml:space="preserve"> </w:t>
            </w:r>
            <w:r w:rsidRPr="008C761D">
              <w:rPr>
                <w:rFonts w:cs="Calibri"/>
                <w:sz w:val="18"/>
                <w:szCs w:val="18"/>
                <w:lang w:val="en-US"/>
              </w:rPr>
              <w:t>entities</w:t>
            </w:r>
          </w:p>
          <w:p w14:paraId="6D64E0C2" w14:textId="6F3750D4" w:rsidR="00BE579B" w:rsidRPr="008C761D" w:rsidRDefault="00BE579B" w:rsidP="00E935CF">
            <w:pPr>
              <w:spacing w:after="0" w:line="240" w:lineRule="auto"/>
              <w:rPr>
                <w:rFonts w:cs="Calibri"/>
                <w:sz w:val="18"/>
                <w:szCs w:val="18"/>
                <w:lang w:val="en-US"/>
              </w:rPr>
            </w:pPr>
          </w:p>
          <w:p w14:paraId="520F626B" w14:textId="77777777" w:rsidR="00BE579B" w:rsidRPr="008C761D" w:rsidRDefault="00BE579B" w:rsidP="00E935CF">
            <w:pPr>
              <w:spacing w:after="0" w:line="240" w:lineRule="auto"/>
              <w:rPr>
                <w:rFonts w:cs="Calibri"/>
                <w:sz w:val="18"/>
                <w:szCs w:val="18"/>
                <w:lang w:val="en-US"/>
              </w:rPr>
            </w:pPr>
          </w:p>
          <w:p w14:paraId="333F8B19" w14:textId="77777777" w:rsidR="00BE579B" w:rsidRPr="008C761D" w:rsidRDefault="00BE579B" w:rsidP="00E935CF">
            <w:pPr>
              <w:spacing w:after="0" w:line="240" w:lineRule="auto"/>
              <w:rPr>
                <w:rFonts w:cs="Calibri"/>
                <w:sz w:val="18"/>
                <w:szCs w:val="18"/>
                <w:lang w:val="en-US"/>
              </w:rPr>
            </w:pPr>
          </w:p>
          <w:p w14:paraId="27C80AF6" w14:textId="3B0EDADE" w:rsidR="00BE579B" w:rsidRPr="008C761D" w:rsidRDefault="007C7E32" w:rsidP="00E935CF">
            <w:pPr>
              <w:spacing w:after="0" w:line="240" w:lineRule="auto"/>
              <w:rPr>
                <w:rFonts w:cs="Calibri"/>
                <w:sz w:val="18"/>
                <w:szCs w:val="18"/>
                <w:lang w:val="en-US"/>
              </w:rPr>
            </w:pPr>
            <w:r w:rsidRPr="008C761D">
              <w:rPr>
                <w:rFonts w:cs="Calibri"/>
                <w:sz w:val="18"/>
                <w:szCs w:val="18"/>
                <w:lang w:val="en-US"/>
              </w:rPr>
              <w:t>Fiscal</w:t>
            </w:r>
            <w:r w:rsidR="00E215BC" w:rsidRPr="008C761D">
              <w:rPr>
                <w:rFonts w:cs="Calibri"/>
                <w:sz w:val="18"/>
                <w:szCs w:val="18"/>
                <w:lang w:val="en-US"/>
              </w:rPr>
              <w:t xml:space="preserve"> </w:t>
            </w:r>
            <w:r w:rsidRPr="008C761D">
              <w:rPr>
                <w:rFonts w:cs="Calibri"/>
                <w:sz w:val="18"/>
                <w:szCs w:val="18"/>
                <w:lang w:val="en-US"/>
              </w:rPr>
              <w:t>Council, Ministry</w:t>
            </w:r>
            <w:r w:rsidR="00E215BC" w:rsidRPr="008C761D">
              <w:rPr>
                <w:rFonts w:cs="Calibri"/>
                <w:sz w:val="18"/>
                <w:szCs w:val="18"/>
                <w:lang w:val="en-US"/>
              </w:rPr>
              <w:t xml:space="preserve"> </w:t>
            </w:r>
            <w:r w:rsidRPr="008C761D">
              <w:rPr>
                <w:rFonts w:cs="Calibri"/>
                <w:sz w:val="18"/>
                <w:szCs w:val="18"/>
                <w:lang w:val="en-US"/>
              </w:rPr>
              <w:t>of</w:t>
            </w:r>
            <w:r w:rsidR="00E215BC" w:rsidRPr="008C761D">
              <w:rPr>
                <w:rFonts w:cs="Calibri"/>
                <w:sz w:val="18"/>
                <w:szCs w:val="18"/>
                <w:lang w:val="en-US"/>
              </w:rPr>
              <w:t xml:space="preserve"> </w:t>
            </w:r>
            <w:r w:rsidRPr="008C761D">
              <w:rPr>
                <w:rFonts w:cs="Calibri"/>
                <w:sz w:val="18"/>
                <w:szCs w:val="18"/>
                <w:lang w:val="en-US"/>
              </w:rPr>
              <w:t>Finance, Assembly</w:t>
            </w:r>
            <w:r w:rsidR="00E215BC" w:rsidRPr="008C761D">
              <w:rPr>
                <w:rFonts w:cs="Calibri"/>
                <w:sz w:val="18"/>
                <w:szCs w:val="18"/>
                <w:lang w:val="en-US"/>
              </w:rPr>
              <w:t xml:space="preserve"> </w:t>
            </w:r>
            <w:r w:rsidRPr="008C761D">
              <w:rPr>
                <w:rFonts w:cs="Calibri"/>
                <w:sz w:val="18"/>
                <w:szCs w:val="18"/>
                <w:lang w:val="en-US"/>
              </w:rPr>
              <w:t>of</w:t>
            </w:r>
            <w:r w:rsidR="00E215BC" w:rsidRPr="008C761D">
              <w:rPr>
                <w:rFonts w:cs="Calibri"/>
                <w:sz w:val="18"/>
                <w:szCs w:val="18"/>
                <w:lang w:val="en-US"/>
              </w:rPr>
              <w:t xml:space="preserve"> </w:t>
            </w:r>
            <w:r w:rsidRPr="008C761D">
              <w:rPr>
                <w:rFonts w:cs="Calibri"/>
                <w:sz w:val="18"/>
                <w:szCs w:val="18"/>
                <w:lang w:val="en-US"/>
              </w:rPr>
              <w:t>the</w:t>
            </w:r>
            <w:r w:rsidR="00E215BC" w:rsidRPr="008C761D">
              <w:rPr>
                <w:rFonts w:cs="Calibri"/>
                <w:sz w:val="18"/>
                <w:szCs w:val="18"/>
                <w:lang w:val="en-US"/>
              </w:rPr>
              <w:t xml:space="preserve"> </w:t>
            </w:r>
            <w:r w:rsidRPr="008C761D">
              <w:rPr>
                <w:rFonts w:cs="Calibri"/>
                <w:sz w:val="18"/>
                <w:szCs w:val="18"/>
                <w:lang w:val="en-US"/>
              </w:rPr>
              <w:t>Republic</w:t>
            </w:r>
            <w:r w:rsidR="00E215BC" w:rsidRPr="008C761D">
              <w:rPr>
                <w:rFonts w:cs="Calibri"/>
                <w:sz w:val="18"/>
                <w:szCs w:val="18"/>
                <w:lang w:val="en-US"/>
              </w:rPr>
              <w:t xml:space="preserve"> </w:t>
            </w:r>
            <w:r w:rsidRPr="008C761D">
              <w:rPr>
                <w:rFonts w:cs="Calibri"/>
                <w:sz w:val="18"/>
                <w:szCs w:val="18"/>
                <w:lang w:val="en-US"/>
              </w:rPr>
              <w:t>of</w:t>
            </w:r>
            <w:r w:rsidR="00E215BC" w:rsidRPr="008C761D">
              <w:rPr>
                <w:rFonts w:cs="Calibri"/>
                <w:sz w:val="18"/>
                <w:szCs w:val="18"/>
                <w:lang w:val="en-US"/>
              </w:rPr>
              <w:t xml:space="preserve"> </w:t>
            </w:r>
            <w:r w:rsidRPr="008C761D">
              <w:rPr>
                <w:rFonts w:cs="Calibri"/>
                <w:sz w:val="18"/>
                <w:szCs w:val="18"/>
                <w:lang w:val="en-US"/>
              </w:rPr>
              <w:t>North</w:t>
            </w:r>
            <w:r w:rsidR="00E215BC" w:rsidRPr="008C761D">
              <w:rPr>
                <w:rFonts w:cs="Calibri"/>
                <w:sz w:val="18"/>
                <w:szCs w:val="18"/>
                <w:lang w:val="en-US"/>
              </w:rPr>
              <w:t xml:space="preserve"> </w:t>
            </w:r>
            <w:r w:rsidRPr="008C761D">
              <w:rPr>
                <w:rFonts w:cs="Calibri"/>
                <w:sz w:val="18"/>
                <w:szCs w:val="18"/>
                <w:lang w:val="en-US"/>
              </w:rPr>
              <w:t>Macedonia</w:t>
            </w:r>
          </w:p>
          <w:p w14:paraId="405940C8" w14:textId="77777777" w:rsidR="00BE579B" w:rsidRPr="008C761D" w:rsidRDefault="00BE579B" w:rsidP="00E935CF">
            <w:pPr>
              <w:spacing w:after="0" w:line="240" w:lineRule="auto"/>
              <w:rPr>
                <w:rFonts w:cs="Calibri"/>
                <w:sz w:val="18"/>
                <w:szCs w:val="18"/>
                <w:lang w:val="en-US"/>
              </w:rPr>
            </w:pPr>
          </w:p>
        </w:tc>
      </w:tr>
      <w:tr w:rsidR="00BE579B" w:rsidRPr="008C761D" w14:paraId="41B0EFDA" w14:textId="77777777" w:rsidTr="00E935CF">
        <w:tc>
          <w:tcPr>
            <w:tcW w:w="562" w:type="dxa"/>
            <w:vMerge/>
            <w:shd w:val="clear" w:color="auto" w:fill="auto"/>
          </w:tcPr>
          <w:p w14:paraId="7CB7E021"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351E3F89"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647833D3" w14:textId="6933D47C" w:rsidR="00BE579B" w:rsidRPr="008C761D" w:rsidRDefault="00E215BC" w:rsidP="00E935CF">
            <w:pPr>
              <w:spacing w:after="0" w:line="240" w:lineRule="auto"/>
              <w:rPr>
                <w:rFonts w:cs="Calibri"/>
                <w:sz w:val="18"/>
                <w:szCs w:val="18"/>
                <w:lang w:val="en-US"/>
              </w:rPr>
            </w:pPr>
            <w:r w:rsidRPr="008C761D">
              <w:rPr>
                <w:rFonts w:eastAsia="MS PGothic" w:cs="Calibri"/>
                <w:sz w:val="18"/>
                <w:szCs w:val="18"/>
                <w:lang w:val="en-US" w:eastAsia="zh-CN"/>
              </w:rPr>
              <w:t xml:space="preserve">Lack of adequate capacity in the Ministry of Finance to implement the activities for implementation of the fiscal </w:t>
            </w:r>
            <w:proofErr w:type="gramStart"/>
            <w:r w:rsidRPr="008C761D">
              <w:rPr>
                <w:rFonts w:eastAsia="MS PGothic" w:cs="Calibri"/>
                <w:sz w:val="18"/>
                <w:szCs w:val="18"/>
                <w:lang w:val="en-US" w:eastAsia="zh-CN"/>
              </w:rPr>
              <w:t>risks</w:t>
            </w:r>
            <w:proofErr w:type="gramEnd"/>
            <w:r w:rsidRPr="008C761D">
              <w:rPr>
                <w:rFonts w:eastAsia="MS PGothic" w:cs="Calibri"/>
                <w:sz w:val="18"/>
                <w:szCs w:val="18"/>
                <w:lang w:val="en-US" w:eastAsia="zh-CN"/>
              </w:rPr>
              <w:t xml:space="preserve"> analyses</w:t>
            </w:r>
          </w:p>
        </w:tc>
        <w:tc>
          <w:tcPr>
            <w:tcW w:w="2254" w:type="dxa"/>
            <w:vMerge/>
            <w:shd w:val="clear" w:color="auto" w:fill="auto"/>
          </w:tcPr>
          <w:p w14:paraId="7269034F" w14:textId="77777777" w:rsidR="00BE579B" w:rsidRPr="008C761D" w:rsidRDefault="00BE579B" w:rsidP="00E935CF">
            <w:pPr>
              <w:spacing w:after="0" w:line="240" w:lineRule="auto"/>
              <w:rPr>
                <w:rFonts w:cs="Calibri"/>
                <w:sz w:val="18"/>
                <w:szCs w:val="18"/>
                <w:lang w:val="en-US"/>
              </w:rPr>
            </w:pPr>
          </w:p>
        </w:tc>
      </w:tr>
      <w:tr w:rsidR="00BE579B" w:rsidRPr="008C761D" w14:paraId="57E37ACC" w14:textId="77777777" w:rsidTr="00E935CF">
        <w:tc>
          <w:tcPr>
            <w:tcW w:w="562" w:type="dxa"/>
            <w:vMerge/>
            <w:shd w:val="clear" w:color="auto" w:fill="auto"/>
          </w:tcPr>
          <w:p w14:paraId="3BEE454E"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3EE58346"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05E9E847" w14:textId="587D7B6A" w:rsidR="00BE579B" w:rsidRPr="008C761D" w:rsidRDefault="00E215BC"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Inadequate and incomplete trainings of employees in relation to fiscal risks analyses in MoF</w:t>
            </w:r>
          </w:p>
        </w:tc>
        <w:tc>
          <w:tcPr>
            <w:tcW w:w="2254" w:type="dxa"/>
            <w:vMerge/>
            <w:shd w:val="clear" w:color="auto" w:fill="auto"/>
          </w:tcPr>
          <w:p w14:paraId="7980A915" w14:textId="77777777" w:rsidR="00BE579B" w:rsidRPr="008C761D" w:rsidDel="00BE579B" w:rsidRDefault="00BE579B" w:rsidP="00E935CF">
            <w:pPr>
              <w:spacing w:after="0" w:line="240" w:lineRule="auto"/>
              <w:rPr>
                <w:rFonts w:cs="Calibri"/>
                <w:sz w:val="18"/>
                <w:szCs w:val="18"/>
                <w:lang w:val="en-US"/>
              </w:rPr>
            </w:pPr>
          </w:p>
        </w:tc>
      </w:tr>
      <w:tr w:rsidR="00BE579B" w:rsidRPr="008C761D" w14:paraId="47E2D196" w14:textId="77777777" w:rsidTr="00E935CF">
        <w:tc>
          <w:tcPr>
            <w:tcW w:w="562" w:type="dxa"/>
            <w:vMerge/>
            <w:shd w:val="clear" w:color="auto" w:fill="auto"/>
          </w:tcPr>
          <w:p w14:paraId="4CEABACD"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640D2A61"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681FB842" w14:textId="2608D044" w:rsidR="00BE579B" w:rsidRPr="008C761D" w:rsidRDefault="00E215BC"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Difficulties in recruiting suitable staff who will be able to participate in the work of the Fiscal Council</w:t>
            </w:r>
          </w:p>
        </w:tc>
        <w:tc>
          <w:tcPr>
            <w:tcW w:w="2254" w:type="dxa"/>
            <w:vMerge/>
            <w:shd w:val="clear" w:color="auto" w:fill="auto"/>
          </w:tcPr>
          <w:p w14:paraId="23ECA0D5" w14:textId="77777777" w:rsidR="00BE579B" w:rsidRPr="008C761D" w:rsidRDefault="00BE579B" w:rsidP="00E935CF">
            <w:pPr>
              <w:spacing w:after="0" w:line="240" w:lineRule="auto"/>
              <w:rPr>
                <w:rFonts w:cs="Calibri"/>
                <w:sz w:val="18"/>
                <w:szCs w:val="18"/>
                <w:lang w:val="en-US"/>
              </w:rPr>
            </w:pPr>
          </w:p>
        </w:tc>
      </w:tr>
      <w:tr w:rsidR="00BE579B" w:rsidRPr="008C761D" w14:paraId="7626D05C" w14:textId="77777777" w:rsidTr="00E935CF">
        <w:tc>
          <w:tcPr>
            <w:tcW w:w="562" w:type="dxa"/>
            <w:vMerge/>
            <w:shd w:val="clear" w:color="auto" w:fill="auto"/>
          </w:tcPr>
          <w:p w14:paraId="638F48E6" w14:textId="77777777" w:rsidR="00BE579B" w:rsidRPr="008C761D" w:rsidRDefault="00BE579B" w:rsidP="00E935CF">
            <w:pPr>
              <w:spacing w:after="0" w:line="240" w:lineRule="auto"/>
              <w:rPr>
                <w:rFonts w:cs="Calibri"/>
                <w:sz w:val="18"/>
                <w:szCs w:val="18"/>
                <w:lang w:val="en-US"/>
              </w:rPr>
            </w:pPr>
          </w:p>
        </w:tc>
        <w:tc>
          <w:tcPr>
            <w:tcW w:w="2381" w:type="dxa"/>
            <w:vMerge/>
            <w:shd w:val="clear" w:color="auto" w:fill="auto"/>
          </w:tcPr>
          <w:p w14:paraId="0AEC7E7E" w14:textId="77777777" w:rsidR="00BE579B" w:rsidRPr="008C761D" w:rsidRDefault="00BE579B" w:rsidP="00E935CF">
            <w:pPr>
              <w:spacing w:after="0" w:line="240" w:lineRule="auto"/>
              <w:rPr>
                <w:rFonts w:cs="Calibri"/>
                <w:sz w:val="18"/>
                <w:szCs w:val="18"/>
                <w:lang w:val="en-US"/>
              </w:rPr>
            </w:pPr>
          </w:p>
        </w:tc>
        <w:tc>
          <w:tcPr>
            <w:tcW w:w="3819" w:type="dxa"/>
            <w:shd w:val="clear" w:color="auto" w:fill="auto"/>
          </w:tcPr>
          <w:p w14:paraId="2DBD6092" w14:textId="1C8935B1" w:rsidR="00BE579B" w:rsidRPr="008C761D" w:rsidRDefault="00E215BC"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 xml:space="preserve">Lack of adequate capacity in the Ministry of Finance and the Fiscal Council to implement the </w:t>
            </w:r>
            <w:r w:rsidRPr="008C761D">
              <w:rPr>
                <w:rFonts w:eastAsia="MS PGothic" w:cs="Calibri"/>
                <w:sz w:val="18"/>
                <w:szCs w:val="18"/>
                <w:lang w:val="en-US" w:eastAsia="zh-CN"/>
              </w:rPr>
              <w:lastRenderedPageBreak/>
              <w:t>activities for implementation of the fiscal rules provided by the Law</w:t>
            </w:r>
          </w:p>
        </w:tc>
        <w:tc>
          <w:tcPr>
            <w:tcW w:w="2254" w:type="dxa"/>
            <w:vMerge/>
            <w:shd w:val="clear" w:color="auto" w:fill="auto"/>
          </w:tcPr>
          <w:p w14:paraId="552E8EBD" w14:textId="77777777" w:rsidR="00BE579B" w:rsidRPr="008C761D" w:rsidRDefault="00BE579B" w:rsidP="00E935CF">
            <w:pPr>
              <w:spacing w:after="0" w:line="240" w:lineRule="auto"/>
              <w:rPr>
                <w:rFonts w:cs="Calibri"/>
                <w:sz w:val="18"/>
                <w:szCs w:val="18"/>
                <w:lang w:val="en-US"/>
              </w:rPr>
            </w:pPr>
          </w:p>
        </w:tc>
      </w:tr>
      <w:tr w:rsidR="00605115" w:rsidRPr="008C761D" w14:paraId="38C3BAB1" w14:textId="77777777" w:rsidTr="006C2FDD">
        <w:trPr>
          <w:trHeight w:val="677"/>
        </w:trPr>
        <w:tc>
          <w:tcPr>
            <w:tcW w:w="562" w:type="dxa"/>
            <w:vMerge/>
            <w:shd w:val="clear" w:color="auto" w:fill="auto"/>
          </w:tcPr>
          <w:p w14:paraId="4A14423F" w14:textId="77777777" w:rsidR="00605115" w:rsidRPr="008C761D" w:rsidRDefault="00605115" w:rsidP="00E935CF">
            <w:pPr>
              <w:spacing w:after="0" w:line="240" w:lineRule="auto"/>
              <w:rPr>
                <w:rFonts w:cs="Calibri"/>
                <w:sz w:val="18"/>
                <w:szCs w:val="18"/>
                <w:lang w:val="en-US"/>
              </w:rPr>
            </w:pPr>
          </w:p>
        </w:tc>
        <w:tc>
          <w:tcPr>
            <w:tcW w:w="2381" w:type="dxa"/>
            <w:vMerge/>
            <w:shd w:val="clear" w:color="auto" w:fill="auto"/>
          </w:tcPr>
          <w:p w14:paraId="063E493A" w14:textId="77777777" w:rsidR="00605115" w:rsidRPr="008C761D" w:rsidRDefault="00605115" w:rsidP="00E935CF">
            <w:pPr>
              <w:spacing w:after="0" w:line="240" w:lineRule="auto"/>
              <w:rPr>
                <w:rFonts w:cs="Calibri"/>
                <w:sz w:val="18"/>
                <w:szCs w:val="18"/>
                <w:lang w:val="en-US"/>
              </w:rPr>
            </w:pPr>
          </w:p>
        </w:tc>
        <w:tc>
          <w:tcPr>
            <w:tcW w:w="3819" w:type="dxa"/>
            <w:shd w:val="clear" w:color="auto" w:fill="auto"/>
          </w:tcPr>
          <w:p w14:paraId="711B6860" w14:textId="77777777" w:rsidR="00E215BC" w:rsidRPr="006C2FDD" w:rsidRDefault="00E215BC" w:rsidP="00E215BC">
            <w:pPr>
              <w:spacing w:after="0" w:line="240" w:lineRule="auto"/>
              <w:rPr>
                <w:rFonts w:eastAsia="MS PGothic" w:cs="Calibri"/>
                <w:sz w:val="18"/>
                <w:szCs w:val="18"/>
                <w:lang w:val="en-US" w:eastAsia="zh-CN"/>
              </w:rPr>
            </w:pPr>
            <w:r w:rsidRPr="008C761D">
              <w:rPr>
                <w:rFonts w:eastAsia="MS PGothic" w:cs="Calibri"/>
                <w:sz w:val="18"/>
                <w:szCs w:val="18"/>
                <w:lang w:val="en-US" w:eastAsia="zh-CN"/>
              </w:rPr>
              <w:t>Inadequate and incomplete training of employees in the MoF and Fiscal Council in relation to fiscal rules implementation</w:t>
            </w:r>
            <w:r w:rsidRPr="008C761D" w:rsidDel="001A65AD">
              <w:rPr>
                <w:rFonts w:eastAsia="MS PGothic" w:cs="Calibri"/>
                <w:sz w:val="18"/>
                <w:szCs w:val="18"/>
                <w:lang w:val="en-US" w:eastAsia="zh-CN"/>
              </w:rPr>
              <w:t xml:space="preserve"> </w:t>
            </w:r>
          </w:p>
          <w:p w14:paraId="76BCA65A" w14:textId="2027A45C" w:rsidR="00605115" w:rsidRPr="006C2FDD" w:rsidRDefault="00605115" w:rsidP="00E935CF">
            <w:pPr>
              <w:spacing w:after="0" w:line="240" w:lineRule="auto"/>
              <w:rPr>
                <w:rFonts w:eastAsia="MS PGothic" w:cs="Calibri"/>
                <w:sz w:val="18"/>
                <w:szCs w:val="18"/>
                <w:lang w:val="en-US" w:eastAsia="zh-CN"/>
              </w:rPr>
            </w:pPr>
          </w:p>
        </w:tc>
        <w:tc>
          <w:tcPr>
            <w:tcW w:w="2254" w:type="dxa"/>
            <w:vMerge/>
            <w:shd w:val="clear" w:color="auto" w:fill="auto"/>
          </w:tcPr>
          <w:p w14:paraId="3E46AF66" w14:textId="77777777" w:rsidR="00605115" w:rsidRPr="008C761D" w:rsidRDefault="00605115" w:rsidP="00E935CF">
            <w:pPr>
              <w:spacing w:after="0" w:line="240" w:lineRule="auto"/>
              <w:rPr>
                <w:rFonts w:cs="Calibri"/>
                <w:sz w:val="18"/>
                <w:szCs w:val="18"/>
                <w:lang w:val="en-US"/>
              </w:rPr>
            </w:pPr>
          </w:p>
        </w:tc>
      </w:tr>
      <w:tr w:rsidR="00681A06" w:rsidRPr="008C761D" w14:paraId="7BE2E57E" w14:textId="77777777" w:rsidTr="00E935CF">
        <w:tc>
          <w:tcPr>
            <w:tcW w:w="562" w:type="dxa"/>
            <w:vMerge w:val="restart"/>
            <w:shd w:val="clear" w:color="auto" w:fill="auto"/>
          </w:tcPr>
          <w:p w14:paraId="47DDDB96"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3</w:t>
            </w:r>
          </w:p>
        </w:tc>
        <w:tc>
          <w:tcPr>
            <w:tcW w:w="2381" w:type="dxa"/>
            <w:vMerge w:val="restart"/>
            <w:shd w:val="clear" w:color="auto" w:fill="auto"/>
          </w:tcPr>
          <w:p w14:paraId="253DE7AE"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Priority 3: </w:t>
            </w:r>
          </w:p>
          <w:p w14:paraId="52EDBE0D" w14:textId="43EF4F37" w:rsidR="00681A06" w:rsidRPr="008C761D" w:rsidRDefault="00681A06" w:rsidP="00E935CF">
            <w:pPr>
              <w:spacing w:after="0" w:line="240" w:lineRule="auto"/>
              <w:rPr>
                <w:rFonts w:cs="Calibri"/>
                <w:sz w:val="18"/>
                <w:szCs w:val="18"/>
                <w:lang w:val="en-US"/>
              </w:rPr>
            </w:pPr>
            <w:r w:rsidRPr="008C761D">
              <w:rPr>
                <w:rFonts w:cs="Calibri"/>
                <w:sz w:val="18"/>
                <w:szCs w:val="18"/>
                <w:lang w:val="en-US"/>
              </w:rPr>
              <w:t>Debt</w:t>
            </w:r>
            <w:r w:rsidR="00E215BC" w:rsidRPr="008C761D">
              <w:rPr>
                <w:rFonts w:cs="Calibri"/>
                <w:sz w:val="18"/>
                <w:szCs w:val="18"/>
                <w:lang w:val="en-US"/>
              </w:rPr>
              <w:t xml:space="preserve"> </w:t>
            </w:r>
            <w:r w:rsidRPr="008C761D">
              <w:rPr>
                <w:rFonts w:cs="Calibri"/>
                <w:sz w:val="18"/>
                <w:szCs w:val="18"/>
                <w:lang w:val="en-US"/>
              </w:rPr>
              <w:t>Management</w:t>
            </w:r>
          </w:p>
        </w:tc>
        <w:tc>
          <w:tcPr>
            <w:tcW w:w="3819" w:type="dxa"/>
            <w:shd w:val="clear" w:color="auto" w:fill="auto"/>
          </w:tcPr>
          <w:p w14:paraId="05A0C946" w14:textId="44A59AD3" w:rsidR="00681A06" w:rsidRPr="008C761D" w:rsidRDefault="00E83911"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Externalities which can cause a deterioration of the international standing of the Government’s debt</w:t>
            </w:r>
          </w:p>
        </w:tc>
        <w:tc>
          <w:tcPr>
            <w:tcW w:w="2254" w:type="dxa"/>
            <w:vMerge w:val="restart"/>
            <w:shd w:val="clear" w:color="auto" w:fill="auto"/>
          </w:tcPr>
          <w:p w14:paraId="04564006" w14:textId="77777777" w:rsidR="00681A06" w:rsidRPr="008C761D" w:rsidRDefault="007F65F1" w:rsidP="00E935CF">
            <w:pPr>
              <w:spacing w:after="0" w:line="240" w:lineRule="auto"/>
              <w:rPr>
                <w:rFonts w:cs="Calibri"/>
                <w:sz w:val="18"/>
                <w:szCs w:val="18"/>
                <w:lang w:val="en-US"/>
              </w:rPr>
            </w:pPr>
            <w:r w:rsidRPr="008C761D">
              <w:rPr>
                <w:rFonts w:cs="Calibri"/>
                <w:sz w:val="18"/>
                <w:szCs w:val="18"/>
                <w:lang w:val="en-US"/>
              </w:rPr>
              <w:t>Ministry of F</w:t>
            </w:r>
            <w:r w:rsidR="00681A06" w:rsidRPr="008C761D">
              <w:rPr>
                <w:rFonts w:cs="Calibri"/>
                <w:sz w:val="18"/>
                <w:szCs w:val="18"/>
                <w:lang w:val="en-US"/>
              </w:rPr>
              <w:t>inance</w:t>
            </w:r>
          </w:p>
        </w:tc>
      </w:tr>
      <w:tr w:rsidR="00681A06" w:rsidRPr="008C761D" w14:paraId="6D8420C0" w14:textId="77777777" w:rsidTr="00E935CF">
        <w:tc>
          <w:tcPr>
            <w:tcW w:w="562" w:type="dxa"/>
            <w:vMerge/>
            <w:shd w:val="clear" w:color="auto" w:fill="auto"/>
          </w:tcPr>
          <w:p w14:paraId="4A8AFF45"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516FD481" w14:textId="77777777" w:rsidR="00681A06" w:rsidRPr="008C761D" w:rsidRDefault="00681A06" w:rsidP="00E935CF">
            <w:pPr>
              <w:spacing w:after="0" w:line="240" w:lineRule="auto"/>
              <w:rPr>
                <w:rFonts w:cs="Calibri"/>
                <w:b/>
                <w:sz w:val="18"/>
                <w:szCs w:val="18"/>
                <w:lang w:val="en-US"/>
              </w:rPr>
            </w:pPr>
          </w:p>
        </w:tc>
        <w:tc>
          <w:tcPr>
            <w:tcW w:w="3819" w:type="dxa"/>
            <w:shd w:val="clear" w:color="auto" w:fill="auto"/>
          </w:tcPr>
          <w:p w14:paraId="4A383BEB" w14:textId="082865E6" w:rsidR="00681A06" w:rsidRPr="008C761D" w:rsidRDefault="00134B6E"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Insufficient</w:t>
            </w:r>
            <w:r w:rsidR="00E83911" w:rsidRPr="008C761D">
              <w:rPr>
                <w:rFonts w:eastAsia="MS PGothic" w:cs="Calibri"/>
                <w:sz w:val="18"/>
                <w:szCs w:val="18"/>
                <w:lang w:val="en-US" w:eastAsia="zh-CN"/>
              </w:rPr>
              <w:t xml:space="preserve"> human capacity to carry out the activity</w:t>
            </w:r>
          </w:p>
        </w:tc>
        <w:tc>
          <w:tcPr>
            <w:tcW w:w="2254" w:type="dxa"/>
            <w:vMerge/>
            <w:shd w:val="clear" w:color="auto" w:fill="auto"/>
          </w:tcPr>
          <w:p w14:paraId="6A5F8527" w14:textId="77777777" w:rsidR="00681A06" w:rsidRPr="008C761D" w:rsidRDefault="00681A06" w:rsidP="00E935CF">
            <w:pPr>
              <w:spacing w:after="0" w:line="240" w:lineRule="auto"/>
              <w:rPr>
                <w:rFonts w:cs="Calibri"/>
                <w:sz w:val="18"/>
                <w:szCs w:val="18"/>
                <w:lang w:val="en-US"/>
              </w:rPr>
            </w:pPr>
          </w:p>
        </w:tc>
      </w:tr>
      <w:tr w:rsidR="00681A06" w:rsidRPr="008C761D" w14:paraId="0BBF841B" w14:textId="77777777" w:rsidTr="00E935CF">
        <w:trPr>
          <w:trHeight w:val="171"/>
        </w:trPr>
        <w:tc>
          <w:tcPr>
            <w:tcW w:w="562" w:type="dxa"/>
            <w:vMerge/>
            <w:shd w:val="clear" w:color="auto" w:fill="auto"/>
          </w:tcPr>
          <w:p w14:paraId="00E9620F"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14639A1E" w14:textId="77777777" w:rsidR="00681A06" w:rsidRPr="008C761D" w:rsidRDefault="00681A06" w:rsidP="00E935CF">
            <w:pPr>
              <w:spacing w:after="0" w:line="240" w:lineRule="auto"/>
              <w:rPr>
                <w:rFonts w:cs="Calibri"/>
                <w:b/>
                <w:sz w:val="18"/>
                <w:szCs w:val="18"/>
                <w:lang w:val="en-US"/>
              </w:rPr>
            </w:pPr>
          </w:p>
        </w:tc>
        <w:tc>
          <w:tcPr>
            <w:tcW w:w="3819" w:type="dxa"/>
            <w:tcBorders>
              <w:bottom w:val="single" w:sz="4" w:space="0" w:color="auto"/>
            </w:tcBorders>
            <w:shd w:val="clear" w:color="auto" w:fill="auto"/>
          </w:tcPr>
          <w:p w14:paraId="4C1C1B02" w14:textId="01044009" w:rsidR="00681A06" w:rsidRPr="008C761D" w:rsidRDefault="00681A06" w:rsidP="00E935CF">
            <w:pPr>
              <w:spacing w:after="0" w:line="240" w:lineRule="auto"/>
              <w:rPr>
                <w:rFonts w:eastAsia="MS PGothic" w:cs="Calibri"/>
                <w:sz w:val="18"/>
                <w:szCs w:val="18"/>
                <w:lang w:val="en-US" w:eastAsia="zh-CN"/>
              </w:rPr>
            </w:pPr>
            <w:r w:rsidRPr="008C761D">
              <w:rPr>
                <w:rFonts w:eastAsia="MS PGothic" w:cs="Calibri"/>
                <w:sz w:val="18"/>
                <w:szCs w:val="18"/>
                <w:lang w:val="en-US" w:eastAsia="zh-CN"/>
              </w:rPr>
              <w:t>Outflow</w:t>
            </w:r>
            <w:r w:rsidR="00E83911" w:rsidRPr="008C761D">
              <w:rPr>
                <w:rFonts w:eastAsia="MS PGothic" w:cs="Calibri"/>
                <w:sz w:val="18"/>
                <w:szCs w:val="18"/>
                <w:lang w:val="en-US" w:eastAsia="zh-CN"/>
              </w:rPr>
              <w:t xml:space="preserve"> </w:t>
            </w:r>
            <w:r w:rsidRPr="008C761D">
              <w:rPr>
                <w:rFonts w:eastAsia="MS PGothic" w:cs="Calibri"/>
                <w:sz w:val="18"/>
                <w:szCs w:val="18"/>
                <w:lang w:val="en-US" w:eastAsia="zh-CN"/>
              </w:rPr>
              <w:t>of</w:t>
            </w:r>
            <w:r w:rsidR="00E83911" w:rsidRPr="008C761D">
              <w:rPr>
                <w:rFonts w:eastAsia="MS PGothic" w:cs="Calibri"/>
                <w:sz w:val="18"/>
                <w:szCs w:val="18"/>
                <w:lang w:val="en-US" w:eastAsia="zh-CN"/>
              </w:rPr>
              <w:t xml:space="preserve"> </w:t>
            </w:r>
            <w:r w:rsidRPr="008C761D">
              <w:rPr>
                <w:rFonts w:eastAsia="MS PGothic" w:cs="Calibri"/>
                <w:sz w:val="18"/>
                <w:szCs w:val="18"/>
                <w:lang w:val="en-US" w:eastAsia="zh-CN"/>
              </w:rPr>
              <w:t>educated</w:t>
            </w:r>
            <w:r w:rsidR="00E83911" w:rsidRPr="008C761D">
              <w:rPr>
                <w:rFonts w:eastAsia="MS PGothic" w:cs="Calibri"/>
                <w:sz w:val="18"/>
                <w:szCs w:val="18"/>
                <w:lang w:val="en-US" w:eastAsia="zh-CN"/>
              </w:rPr>
              <w:t xml:space="preserve"> </w:t>
            </w:r>
            <w:r w:rsidRPr="008C761D">
              <w:rPr>
                <w:rFonts w:eastAsia="MS PGothic" w:cs="Calibri"/>
                <w:sz w:val="18"/>
                <w:szCs w:val="18"/>
                <w:lang w:val="en-US" w:eastAsia="zh-CN"/>
              </w:rPr>
              <w:t>staff</w:t>
            </w:r>
          </w:p>
        </w:tc>
        <w:tc>
          <w:tcPr>
            <w:tcW w:w="2254" w:type="dxa"/>
            <w:vMerge/>
            <w:shd w:val="clear" w:color="auto" w:fill="auto"/>
          </w:tcPr>
          <w:p w14:paraId="6D450436" w14:textId="77777777" w:rsidR="00681A06" w:rsidRPr="008C761D" w:rsidRDefault="00681A06" w:rsidP="00E935CF">
            <w:pPr>
              <w:spacing w:after="0" w:line="240" w:lineRule="auto"/>
              <w:rPr>
                <w:rFonts w:cs="Calibri"/>
                <w:sz w:val="18"/>
                <w:szCs w:val="18"/>
                <w:lang w:val="en-US"/>
              </w:rPr>
            </w:pPr>
          </w:p>
        </w:tc>
      </w:tr>
      <w:tr w:rsidR="00681A06" w:rsidRPr="008C761D" w14:paraId="21F5B30F" w14:textId="77777777" w:rsidTr="00E935CF">
        <w:trPr>
          <w:trHeight w:val="558"/>
        </w:trPr>
        <w:tc>
          <w:tcPr>
            <w:tcW w:w="562" w:type="dxa"/>
            <w:vMerge/>
            <w:shd w:val="clear" w:color="auto" w:fill="auto"/>
          </w:tcPr>
          <w:p w14:paraId="4D3BB648"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06CCC406" w14:textId="77777777" w:rsidR="00681A06" w:rsidRPr="008C761D" w:rsidRDefault="00681A06" w:rsidP="00E935CF">
            <w:pPr>
              <w:spacing w:after="0" w:line="240" w:lineRule="auto"/>
              <w:rPr>
                <w:rFonts w:cs="Calibri"/>
                <w:b/>
                <w:sz w:val="18"/>
                <w:szCs w:val="18"/>
                <w:lang w:val="en-US"/>
              </w:rPr>
            </w:pPr>
          </w:p>
        </w:tc>
        <w:tc>
          <w:tcPr>
            <w:tcW w:w="3819" w:type="dxa"/>
            <w:tcBorders>
              <w:bottom w:val="single" w:sz="4" w:space="0" w:color="auto"/>
            </w:tcBorders>
            <w:shd w:val="clear" w:color="auto" w:fill="auto"/>
          </w:tcPr>
          <w:p w14:paraId="7888C1D0" w14:textId="446B25A3" w:rsidR="00681A06" w:rsidRPr="008C761D" w:rsidRDefault="00E83911" w:rsidP="00E935CF">
            <w:pPr>
              <w:spacing w:after="0" w:line="240" w:lineRule="auto"/>
              <w:rPr>
                <w:rFonts w:eastAsia="MS PGothic" w:cs="Calibri"/>
                <w:sz w:val="18"/>
                <w:szCs w:val="18"/>
                <w:lang w:val="en-US" w:eastAsia="zh-CN"/>
              </w:rPr>
            </w:pPr>
            <w:r w:rsidRPr="008C761D">
              <w:rPr>
                <w:rFonts w:eastAsia="Times New Roman" w:cs="Calibri"/>
                <w:color w:val="202124"/>
                <w:sz w:val="18"/>
                <w:szCs w:val="18"/>
                <w:lang w:val="en-US"/>
              </w:rPr>
              <w:t>Political factors, as by amending government debt definition, general government debt stock will be increased</w:t>
            </w:r>
          </w:p>
        </w:tc>
        <w:tc>
          <w:tcPr>
            <w:tcW w:w="2254" w:type="dxa"/>
            <w:vMerge/>
            <w:shd w:val="clear" w:color="auto" w:fill="auto"/>
          </w:tcPr>
          <w:p w14:paraId="31804C23" w14:textId="77777777" w:rsidR="00681A06" w:rsidRPr="008C761D" w:rsidRDefault="00681A06" w:rsidP="00E935CF">
            <w:pPr>
              <w:spacing w:after="0" w:line="240" w:lineRule="auto"/>
              <w:rPr>
                <w:rFonts w:cs="Calibri"/>
                <w:sz w:val="18"/>
                <w:szCs w:val="18"/>
                <w:lang w:val="en-US"/>
              </w:rPr>
            </w:pPr>
          </w:p>
        </w:tc>
      </w:tr>
      <w:tr w:rsidR="00681A06" w:rsidRPr="008C761D" w14:paraId="5CF32A56" w14:textId="77777777" w:rsidTr="00E935CF">
        <w:trPr>
          <w:trHeight w:val="194"/>
        </w:trPr>
        <w:tc>
          <w:tcPr>
            <w:tcW w:w="562" w:type="dxa"/>
            <w:vMerge/>
            <w:tcBorders>
              <w:bottom w:val="single" w:sz="4" w:space="0" w:color="auto"/>
            </w:tcBorders>
            <w:shd w:val="clear" w:color="auto" w:fill="auto"/>
          </w:tcPr>
          <w:p w14:paraId="69E2FFD8" w14:textId="77777777" w:rsidR="00681A06" w:rsidRPr="008C761D" w:rsidRDefault="00681A06" w:rsidP="00E935CF">
            <w:pPr>
              <w:spacing w:after="0" w:line="240" w:lineRule="auto"/>
              <w:rPr>
                <w:rFonts w:cs="Calibri"/>
                <w:sz w:val="18"/>
                <w:szCs w:val="18"/>
                <w:lang w:val="en-US"/>
              </w:rPr>
            </w:pPr>
          </w:p>
        </w:tc>
        <w:tc>
          <w:tcPr>
            <w:tcW w:w="2381" w:type="dxa"/>
            <w:vMerge/>
            <w:tcBorders>
              <w:bottom w:val="single" w:sz="4" w:space="0" w:color="auto"/>
            </w:tcBorders>
            <w:shd w:val="clear" w:color="auto" w:fill="auto"/>
          </w:tcPr>
          <w:p w14:paraId="447DE08E" w14:textId="77777777" w:rsidR="00681A06" w:rsidRPr="008C761D" w:rsidRDefault="00681A06" w:rsidP="00E935CF">
            <w:pPr>
              <w:spacing w:after="0" w:line="240" w:lineRule="auto"/>
              <w:rPr>
                <w:rFonts w:cs="Calibri"/>
                <w:b/>
                <w:sz w:val="18"/>
                <w:szCs w:val="18"/>
                <w:lang w:val="en-US"/>
              </w:rPr>
            </w:pPr>
          </w:p>
        </w:tc>
        <w:tc>
          <w:tcPr>
            <w:tcW w:w="3819" w:type="dxa"/>
            <w:tcBorders>
              <w:bottom w:val="single" w:sz="4" w:space="0" w:color="auto"/>
            </w:tcBorders>
            <w:shd w:val="clear" w:color="auto" w:fill="auto"/>
          </w:tcPr>
          <w:p w14:paraId="2C1C6E52" w14:textId="3077CA76" w:rsidR="00681A06" w:rsidRPr="008C761D" w:rsidRDefault="00E83911" w:rsidP="00E935C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Limited demand for the new instruments</w:t>
            </w:r>
          </w:p>
        </w:tc>
        <w:tc>
          <w:tcPr>
            <w:tcW w:w="2254" w:type="dxa"/>
            <w:vMerge/>
            <w:tcBorders>
              <w:bottom w:val="single" w:sz="4" w:space="0" w:color="auto"/>
            </w:tcBorders>
            <w:shd w:val="clear" w:color="auto" w:fill="auto"/>
          </w:tcPr>
          <w:p w14:paraId="59C1053F" w14:textId="77777777" w:rsidR="00681A06" w:rsidRPr="008C761D" w:rsidRDefault="00681A06" w:rsidP="00E935CF">
            <w:pPr>
              <w:spacing w:after="0" w:line="240" w:lineRule="auto"/>
              <w:rPr>
                <w:rFonts w:cs="Calibri"/>
                <w:sz w:val="18"/>
                <w:szCs w:val="18"/>
                <w:lang w:val="en-US"/>
              </w:rPr>
            </w:pPr>
          </w:p>
        </w:tc>
      </w:tr>
      <w:tr w:rsidR="00681A06" w:rsidRPr="008C761D" w14:paraId="1D964C98" w14:textId="77777777" w:rsidTr="00E935CF">
        <w:tc>
          <w:tcPr>
            <w:tcW w:w="9016" w:type="dxa"/>
            <w:gridSpan w:val="4"/>
            <w:shd w:val="clear" w:color="auto" w:fill="D9E2F3"/>
          </w:tcPr>
          <w:p w14:paraId="77AC0705" w14:textId="0F5B2DF2"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PILLAR II </w:t>
            </w:r>
            <w:r w:rsidR="00E83911" w:rsidRPr="008C761D">
              <w:rPr>
                <w:rFonts w:cs="Calibri"/>
                <w:b/>
                <w:sz w:val="18"/>
                <w:szCs w:val="18"/>
                <w:lang w:val="en-US"/>
              </w:rPr>
              <w:t>–</w:t>
            </w:r>
            <w:r w:rsidRPr="008C761D">
              <w:rPr>
                <w:rFonts w:cs="Calibri"/>
                <w:b/>
                <w:sz w:val="18"/>
                <w:szCs w:val="18"/>
                <w:lang w:val="en-US"/>
              </w:rPr>
              <w:t xml:space="preserve"> Revenue</w:t>
            </w:r>
            <w:r w:rsidR="00E83911" w:rsidRPr="008C761D">
              <w:rPr>
                <w:rFonts w:cs="Calibri"/>
                <w:b/>
                <w:sz w:val="18"/>
                <w:szCs w:val="18"/>
                <w:lang w:val="en-US"/>
              </w:rPr>
              <w:t xml:space="preserve"> </w:t>
            </w:r>
            <w:r w:rsidRPr="008C761D">
              <w:rPr>
                <w:rFonts w:cs="Calibri"/>
                <w:b/>
                <w:sz w:val="18"/>
                <w:szCs w:val="18"/>
                <w:lang w:val="en-US"/>
              </w:rPr>
              <w:t>mobilization</w:t>
            </w:r>
          </w:p>
        </w:tc>
      </w:tr>
      <w:tr w:rsidR="00681A06" w:rsidRPr="008C761D" w14:paraId="3AC12EFA" w14:textId="77777777" w:rsidTr="00E935CF">
        <w:tc>
          <w:tcPr>
            <w:tcW w:w="562" w:type="dxa"/>
            <w:vMerge w:val="restart"/>
            <w:shd w:val="clear" w:color="auto" w:fill="auto"/>
          </w:tcPr>
          <w:p w14:paraId="2A052DC6"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4</w:t>
            </w:r>
          </w:p>
        </w:tc>
        <w:tc>
          <w:tcPr>
            <w:tcW w:w="2381" w:type="dxa"/>
            <w:vMerge w:val="restart"/>
            <w:shd w:val="clear" w:color="auto" w:fill="auto"/>
          </w:tcPr>
          <w:p w14:paraId="23B9D481"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Priority 1:</w:t>
            </w:r>
          </w:p>
          <w:p w14:paraId="2B1A2EF5" w14:textId="16491A2F" w:rsidR="00681A06" w:rsidRPr="008C761D" w:rsidRDefault="00681A06" w:rsidP="00E935CF">
            <w:pPr>
              <w:spacing w:after="0" w:line="240" w:lineRule="auto"/>
              <w:rPr>
                <w:rFonts w:cs="Calibri"/>
                <w:sz w:val="18"/>
                <w:szCs w:val="18"/>
                <w:lang w:val="en-US"/>
              </w:rPr>
            </w:pPr>
            <w:r w:rsidRPr="008C761D">
              <w:rPr>
                <w:rFonts w:cs="Calibri"/>
                <w:sz w:val="18"/>
                <w:szCs w:val="18"/>
                <w:lang w:val="en-US"/>
              </w:rPr>
              <w:t>Tax</w:t>
            </w:r>
            <w:r w:rsidR="00E83911" w:rsidRPr="008C761D">
              <w:rPr>
                <w:rFonts w:cs="Calibri"/>
                <w:sz w:val="18"/>
                <w:szCs w:val="18"/>
                <w:lang w:val="en-US"/>
              </w:rPr>
              <w:t xml:space="preserve"> </w:t>
            </w:r>
            <w:r w:rsidRPr="008C761D">
              <w:rPr>
                <w:rFonts w:cs="Calibri"/>
                <w:sz w:val="18"/>
                <w:szCs w:val="18"/>
                <w:lang w:val="en-US"/>
              </w:rPr>
              <w:t>and</w:t>
            </w:r>
            <w:r w:rsidR="00E83911" w:rsidRPr="008C761D">
              <w:rPr>
                <w:rFonts w:cs="Calibri"/>
                <w:sz w:val="18"/>
                <w:szCs w:val="18"/>
                <w:lang w:val="en-US"/>
              </w:rPr>
              <w:t xml:space="preserve"> </w:t>
            </w:r>
            <w:r w:rsidRPr="008C761D">
              <w:rPr>
                <w:rFonts w:cs="Calibri"/>
                <w:sz w:val="18"/>
                <w:szCs w:val="18"/>
                <w:lang w:val="en-US"/>
              </w:rPr>
              <w:t>Customs</w:t>
            </w:r>
            <w:r w:rsidR="00E83911" w:rsidRPr="008C761D">
              <w:rPr>
                <w:rFonts w:cs="Calibri"/>
                <w:sz w:val="18"/>
                <w:szCs w:val="18"/>
                <w:lang w:val="en-US"/>
              </w:rPr>
              <w:t xml:space="preserve"> </w:t>
            </w:r>
            <w:r w:rsidRPr="008C761D">
              <w:rPr>
                <w:rFonts w:cs="Calibri"/>
                <w:sz w:val="18"/>
                <w:szCs w:val="18"/>
                <w:lang w:val="en-US"/>
              </w:rPr>
              <w:t>Policy</w:t>
            </w:r>
          </w:p>
        </w:tc>
        <w:tc>
          <w:tcPr>
            <w:tcW w:w="3819" w:type="dxa"/>
            <w:shd w:val="clear" w:color="auto" w:fill="auto"/>
          </w:tcPr>
          <w:p w14:paraId="26883B88" w14:textId="2BD92B46" w:rsidR="00681A06" w:rsidRPr="008C761D" w:rsidRDefault="0025469A" w:rsidP="00E935CF">
            <w:pPr>
              <w:spacing w:after="0" w:line="240" w:lineRule="auto"/>
              <w:rPr>
                <w:rFonts w:cs="Calibri"/>
                <w:sz w:val="18"/>
                <w:szCs w:val="18"/>
                <w:lang w:val="en-US"/>
              </w:rPr>
            </w:pPr>
            <w:r w:rsidRPr="008C761D">
              <w:rPr>
                <w:rFonts w:cs="Calibri"/>
                <w:sz w:val="18"/>
                <w:szCs w:val="18"/>
                <w:lang w:val="en-US"/>
              </w:rPr>
              <w:t>Human resources limitation</w:t>
            </w:r>
          </w:p>
        </w:tc>
        <w:tc>
          <w:tcPr>
            <w:tcW w:w="2254" w:type="dxa"/>
            <w:vMerge w:val="restart"/>
            <w:shd w:val="clear" w:color="auto" w:fill="auto"/>
          </w:tcPr>
          <w:p w14:paraId="536091AB" w14:textId="77777777" w:rsidR="00681A06" w:rsidRPr="008C761D" w:rsidRDefault="007F65F1" w:rsidP="00E935CF">
            <w:pPr>
              <w:spacing w:after="0" w:line="240" w:lineRule="auto"/>
              <w:rPr>
                <w:rFonts w:cs="Calibri"/>
                <w:sz w:val="18"/>
                <w:szCs w:val="18"/>
                <w:lang w:val="en-US"/>
              </w:rPr>
            </w:pPr>
            <w:r w:rsidRPr="008C761D">
              <w:rPr>
                <w:rFonts w:cs="Calibri"/>
                <w:sz w:val="18"/>
                <w:szCs w:val="18"/>
                <w:lang w:val="en-US"/>
              </w:rPr>
              <w:t>Ministry of F</w:t>
            </w:r>
            <w:r w:rsidR="00681A06" w:rsidRPr="008C761D">
              <w:rPr>
                <w:rFonts w:cs="Calibri"/>
                <w:sz w:val="18"/>
                <w:szCs w:val="18"/>
                <w:lang w:val="en-US"/>
              </w:rPr>
              <w:t>inance</w:t>
            </w:r>
          </w:p>
        </w:tc>
      </w:tr>
      <w:tr w:rsidR="0025469A" w:rsidRPr="008C761D" w14:paraId="4EBBA5BC" w14:textId="77777777" w:rsidTr="00E935CF">
        <w:tc>
          <w:tcPr>
            <w:tcW w:w="562" w:type="dxa"/>
            <w:vMerge/>
            <w:shd w:val="clear" w:color="auto" w:fill="auto"/>
          </w:tcPr>
          <w:p w14:paraId="20340F34" w14:textId="77777777" w:rsidR="0025469A" w:rsidRPr="008C761D" w:rsidRDefault="0025469A" w:rsidP="00E935CF">
            <w:pPr>
              <w:spacing w:after="0" w:line="240" w:lineRule="auto"/>
              <w:rPr>
                <w:rFonts w:cs="Calibri"/>
                <w:sz w:val="18"/>
                <w:szCs w:val="18"/>
                <w:lang w:val="en-US"/>
              </w:rPr>
            </w:pPr>
          </w:p>
        </w:tc>
        <w:tc>
          <w:tcPr>
            <w:tcW w:w="2381" w:type="dxa"/>
            <w:vMerge/>
            <w:shd w:val="clear" w:color="auto" w:fill="auto"/>
          </w:tcPr>
          <w:p w14:paraId="08380454" w14:textId="77777777" w:rsidR="0025469A" w:rsidRPr="008C761D" w:rsidRDefault="0025469A" w:rsidP="00E935CF">
            <w:pPr>
              <w:spacing w:after="0" w:line="240" w:lineRule="auto"/>
              <w:rPr>
                <w:rFonts w:cs="Calibri"/>
                <w:b/>
                <w:sz w:val="18"/>
                <w:szCs w:val="18"/>
                <w:lang w:val="en-US"/>
              </w:rPr>
            </w:pPr>
          </w:p>
        </w:tc>
        <w:tc>
          <w:tcPr>
            <w:tcW w:w="3819" w:type="dxa"/>
            <w:shd w:val="clear" w:color="auto" w:fill="auto"/>
          </w:tcPr>
          <w:p w14:paraId="680AB419" w14:textId="5471999B" w:rsidR="0025469A" w:rsidRPr="008C761D" w:rsidRDefault="00E83911" w:rsidP="00E935C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Lack of awareness and commitment from high-level officials</w:t>
            </w:r>
          </w:p>
        </w:tc>
        <w:tc>
          <w:tcPr>
            <w:tcW w:w="2254" w:type="dxa"/>
            <w:vMerge/>
            <w:shd w:val="clear" w:color="auto" w:fill="auto"/>
          </w:tcPr>
          <w:p w14:paraId="7DAC1C03" w14:textId="77777777" w:rsidR="0025469A" w:rsidRPr="008C761D" w:rsidRDefault="0025469A" w:rsidP="00E935CF">
            <w:pPr>
              <w:spacing w:after="0" w:line="240" w:lineRule="auto"/>
              <w:rPr>
                <w:rFonts w:cs="Calibri"/>
                <w:sz w:val="18"/>
                <w:szCs w:val="18"/>
                <w:lang w:val="en-US"/>
              </w:rPr>
            </w:pPr>
          </w:p>
        </w:tc>
      </w:tr>
      <w:tr w:rsidR="00681A06" w:rsidRPr="008C761D" w14:paraId="32FED2C3" w14:textId="77777777" w:rsidTr="00E935CF">
        <w:tc>
          <w:tcPr>
            <w:tcW w:w="562" w:type="dxa"/>
            <w:vMerge/>
            <w:shd w:val="clear" w:color="auto" w:fill="auto"/>
          </w:tcPr>
          <w:p w14:paraId="0FD206E0"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075E703B" w14:textId="77777777" w:rsidR="00681A06" w:rsidRPr="008C761D" w:rsidRDefault="00681A06" w:rsidP="00E935CF">
            <w:pPr>
              <w:spacing w:after="0" w:line="240" w:lineRule="auto"/>
              <w:rPr>
                <w:rFonts w:cs="Calibri"/>
                <w:sz w:val="18"/>
                <w:szCs w:val="18"/>
                <w:lang w:val="en-US"/>
              </w:rPr>
            </w:pPr>
          </w:p>
        </w:tc>
        <w:tc>
          <w:tcPr>
            <w:tcW w:w="3819" w:type="dxa"/>
            <w:shd w:val="clear" w:color="auto" w:fill="auto"/>
          </w:tcPr>
          <w:p w14:paraId="4D044B65" w14:textId="61BE83E2" w:rsidR="00681A06" w:rsidRPr="008C761D" w:rsidRDefault="00E83911" w:rsidP="00E935CF">
            <w:pPr>
              <w:spacing w:after="0" w:line="240" w:lineRule="auto"/>
              <w:rPr>
                <w:rFonts w:cs="Calibri"/>
                <w:sz w:val="18"/>
                <w:szCs w:val="18"/>
                <w:lang w:val="en-US"/>
              </w:rPr>
            </w:pPr>
            <w:r w:rsidRPr="008C761D">
              <w:rPr>
                <w:rFonts w:eastAsia="Times New Roman" w:cs="Calibri"/>
                <w:color w:val="202124"/>
                <w:sz w:val="18"/>
                <w:szCs w:val="18"/>
                <w:lang w:val="en-US"/>
              </w:rPr>
              <w:t>Internal resistance to modernization processes</w:t>
            </w:r>
          </w:p>
        </w:tc>
        <w:tc>
          <w:tcPr>
            <w:tcW w:w="2254" w:type="dxa"/>
            <w:vMerge/>
            <w:shd w:val="clear" w:color="auto" w:fill="auto"/>
          </w:tcPr>
          <w:p w14:paraId="38CD31DE" w14:textId="77777777" w:rsidR="00681A06" w:rsidRPr="008C761D" w:rsidRDefault="00681A06" w:rsidP="00E935CF">
            <w:pPr>
              <w:spacing w:after="0" w:line="240" w:lineRule="auto"/>
              <w:rPr>
                <w:rFonts w:cs="Calibri"/>
                <w:sz w:val="18"/>
                <w:szCs w:val="18"/>
                <w:lang w:val="en-US"/>
              </w:rPr>
            </w:pPr>
          </w:p>
        </w:tc>
      </w:tr>
      <w:tr w:rsidR="00681A06" w:rsidRPr="008C761D" w14:paraId="2EB5EE7E" w14:textId="77777777" w:rsidTr="00E935CF">
        <w:tc>
          <w:tcPr>
            <w:tcW w:w="562" w:type="dxa"/>
            <w:vMerge/>
            <w:shd w:val="clear" w:color="auto" w:fill="auto"/>
          </w:tcPr>
          <w:p w14:paraId="74E856C2"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10553B1A" w14:textId="77777777" w:rsidR="00681A06" w:rsidRPr="008C761D" w:rsidRDefault="00681A06" w:rsidP="00E935CF">
            <w:pPr>
              <w:spacing w:after="0" w:line="240" w:lineRule="auto"/>
              <w:rPr>
                <w:rFonts w:cs="Calibri"/>
                <w:sz w:val="18"/>
                <w:szCs w:val="18"/>
                <w:lang w:val="en-US"/>
              </w:rPr>
            </w:pPr>
          </w:p>
        </w:tc>
        <w:tc>
          <w:tcPr>
            <w:tcW w:w="3819" w:type="dxa"/>
            <w:shd w:val="clear" w:color="auto" w:fill="auto"/>
          </w:tcPr>
          <w:p w14:paraId="30C91A34" w14:textId="43D5E786" w:rsidR="00681A06" w:rsidRPr="008C761D" w:rsidRDefault="00E83911" w:rsidP="00E935CF">
            <w:pPr>
              <w:spacing w:after="0" w:line="240" w:lineRule="auto"/>
              <w:rPr>
                <w:rFonts w:cs="Calibri"/>
                <w:sz w:val="18"/>
                <w:szCs w:val="18"/>
                <w:lang w:val="en-US"/>
              </w:rPr>
            </w:pPr>
            <w:r w:rsidRPr="008C761D">
              <w:rPr>
                <w:rFonts w:eastAsia="Times New Roman" w:cs="Calibri"/>
                <w:color w:val="202124"/>
                <w:sz w:val="18"/>
                <w:szCs w:val="18"/>
                <w:lang w:val="en-US"/>
              </w:rPr>
              <w:t>Continuous outflow of staff</w:t>
            </w:r>
          </w:p>
        </w:tc>
        <w:tc>
          <w:tcPr>
            <w:tcW w:w="2254" w:type="dxa"/>
            <w:vMerge/>
            <w:shd w:val="clear" w:color="auto" w:fill="auto"/>
          </w:tcPr>
          <w:p w14:paraId="2DFF1ADA" w14:textId="77777777" w:rsidR="00681A06" w:rsidRPr="008C761D" w:rsidRDefault="00681A06" w:rsidP="00E935CF">
            <w:pPr>
              <w:spacing w:after="0" w:line="240" w:lineRule="auto"/>
              <w:rPr>
                <w:rFonts w:cs="Calibri"/>
                <w:sz w:val="18"/>
                <w:szCs w:val="18"/>
                <w:lang w:val="en-US"/>
              </w:rPr>
            </w:pPr>
          </w:p>
        </w:tc>
      </w:tr>
      <w:tr w:rsidR="001C5E1C" w:rsidRPr="008C761D" w14:paraId="48C1C663" w14:textId="77777777" w:rsidTr="00E935CF">
        <w:tc>
          <w:tcPr>
            <w:tcW w:w="562" w:type="dxa"/>
            <w:vMerge w:val="restart"/>
            <w:shd w:val="clear" w:color="auto" w:fill="auto"/>
          </w:tcPr>
          <w:p w14:paraId="148B34B0" w14:textId="77777777" w:rsidR="001C5E1C" w:rsidRPr="008C761D" w:rsidRDefault="001C5E1C" w:rsidP="00E935CF">
            <w:pPr>
              <w:spacing w:after="0" w:line="240" w:lineRule="auto"/>
              <w:rPr>
                <w:rFonts w:cs="Calibri"/>
                <w:sz w:val="18"/>
                <w:szCs w:val="18"/>
                <w:lang w:val="en-US"/>
              </w:rPr>
            </w:pPr>
            <w:r w:rsidRPr="008C761D">
              <w:rPr>
                <w:rFonts w:cs="Calibri"/>
                <w:sz w:val="18"/>
                <w:szCs w:val="18"/>
                <w:lang w:val="en-US"/>
              </w:rPr>
              <w:t>5</w:t>
            </w:r>
          </w:p>
        </w:tc>
        <w:tc>
          <w:tcPr>
            <w:tcW w:w="2381" w:type="dxa"/>
            <w:vMerge w:val="restart"/>
            <w:shd w:val="clear" w:color="auto" w:fill="auto"/>
          </w:tcPr>
          <w:p w14:paraId="3B710068" w14:textId="77777777" w:rsidR="001C5E1C" w:rsidRPr="008C761D" w:rsidRDefault="001C5E1C" w:rsidP="00E935CF">
            <w:pPr>
              <w:spacing w:after="0" w:line="240" w:lineRule="auto"/>
              <w:rPr>
                <w:rFonts w:cs="Calibri"/>
                <w:b/>
                <w:sz w:val="18"/>
                <w:szCs w:val="18"/>
                <w:lang w:val="en-US"/>
              </w:rPr>
            </w:pPr>
            <w:r w:rsidRPr="008C761D">
              <w:rPr>
                <w:rFonts w:cs="Calibri"/>
                <w:b/>
                <w:sz w:val="18"/>
                <w:szCs w:val="18"/>
                <w:lang w:val="en-US"/>
              </w:rPr>
              <w:t xml:space="preserve">Priority 2: </w:t>
            </w:r>
          </w:p>
          <w:p w14:paraId="79295FA8" w14:textId="0D7E45D5" w:rsidR="001C5E1C" w:rsidRPr="008C761D" w:rsidRDefault="001C5E1C" w:rsidP="00E935CF">
            <w:pPr>
              <w:spacing w:after="0" w:line="240" w:lineRule="auto"/>
              <w:rPr>
                <w:rFonts w:cs="Calibri"/>
                <w:sz w:val="18"/>
                <w:szCs w:val="18"/>
                <w:lang w:val="en-US"/>
              </w:rPr>
            </w:pPr>
            <w:r w:rsidRPr="008C761D">
              <w:rPr>
                <w:rFonts w:cs="Calibri"/>
                <w:sz w:val="18"/>
                <w:szCs w:val="18"/>
                <w:lang w:val="en-US"/>
              </w:rPr>
              <w:t>Tax</w:t>
            </w:r>
            <w:r w:rsidR="00E83911" w:rsidRPr="008C761D">
              <w:rPr>
                <w:rFonts w:cs="Calibri"/>
                <w:sz w:val="18"/>
                <w:szCs w:val="18"/>
                <w:lang w:val="en-US"/>
              </w:rPr>
              <w:t xml:space="preserve"> </w:t>
            </w:r>
            <w:r w:rsidRPr="008C761D">
              <w:rPr>
                <w:rFonts w:cs="Calibri"/>
                <w:sz w:val="18"/>
                <w:szCs w:val="18"/>
                <w:lang w:val="en-US"/>
              </w:rPr>
              <w:t>Administration</w:t>
            </w:r>
          </w:p>
        </w:tc>
        <w:tc>
          <w:tcPr>
            <w:tcW w:w="3819" w:type="dxa"/>
            <w:shd w:val="clear" w:color="auto" w:fill="auto"/>
          </w:tcPr>
          <w:p w14:paraId="4347B3FB" w14:textId="56524ABA" w:rsidR="001C5E1C" w:rsidRPr="008C761D" w:rsidRDefault="00E83911" w:rsidP="00E935CF">
            <w:pPr>
              <w:spacing w:after="0" w:line="240" w:lineRule="auto"/>
              <w:rPr>
                <w:rFonts w:cs="Calibri"/>
                <w:sz w:val="18"/>
                <w:szCs w:val="18"/>
                <w:lang w:val="en-US"/>
              </w:rPr>
            </w:pPr>
            <w:r w:rsidRPr="008C761D">
              <w:rPr>
                <w:rFonts w:cs="Calibri"/>
                <w:sz w:val="18"/>
                <w:szCs w:val="18"/>
                <w:lang w:val="en-US"/>
              </w:rPr>
              <w:t>Organizational and other risks that are related to the implementation of Tax Enforcement Center</w:t>
            </w:r>
          </w:p>
        </w:tc>
        <w:tc>
          <w:tcPr>
            <w:tcW w:w="2254" w:type="dxa"/>
            <w:vMerge w:val="restart"/>
            <w:shd w:val="clear" w:color="auto" w:fill="auto"/>
          </w:tcPr>
          <w:p w14:paraId="30D07914" w14:textId="77777777" w:rsidR="001C5E1C" w:rsidRPr="008C761D" w:rsidRDefault="001C5E1C" w:rsidP="00E935CF">
            <w:pPr>
              <w:spacing w:after="0" w:line="240" w:lineRule="auto"/>
              <w:rPr>
                <w:rFonts w:cs="Calibri"/>
                <w:sz w:val="18"/>
                <w:szCs w:val="18"/>
                <w:lang w:val="en-US"/>
              </w:rPr>
            </w:pPr>
            <w:r w:rsidRPr="008C761D">
              <w:rPr>
                <w:rFonts w:cs="Calibri"/>
                <w:sz w:val="18"/>
                <w:szCs w:val="18"/>
                <w:lang w:val="en-US"/>
              </w:rPr>
              <w:t>PRO</w:t>
            </w:r>
          </w:p>
        </w:tc>
      </w:tr>
      <w:tr w:rsidR="001C5E1C" w:rsidRPr="008C761D" w14:paraId="5C5B8C95" w14:textId="77777777" w:rsidTr="00E935CF">
        <w:tc>
          <w:tcPr>
            <w:tcW w:w="562" w:type="dxa"/>
            <w:vMerge/>
            <w:shd w:val="clear" w:color="auto" w:fill="auto"/>
          </w:tcPr>
          <w:p w14:paraId="4CE4A0CD"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79F9B455"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7B88153D" w14:textId="146659A2" w:rsidR="001C5E1C" w:rsidRPr="008C761D" w:rsidRDefault="00E83911" w:rsidP="00E935CF">
            <w:pPr>
              <w:spacing w:after="0" w:line="240" w:lineRule="auto"/>
              <w:rPr>
                <w:rFonts w:cs="Calibri"/>
                <w:sz w:val="18"/>
                <w:szCs w:val="18"/>
                <w:lang w:val="en-US"/>
              </w:rPr>
            </w:pPr>
            <w:r w:rsidRPr="008C761D">
              <w:rPr>
                <w:rFonts w:cs="Calibri"/>
                <w:sz w:val="18"/>
                <w:szCs w:val="18"/>
                <w:lang w:val="en-US"/>
              </w:rPr>
              <w:t>Failure to implement compliance risk management</w:t>
            </w:r>
          </w:p>
        </w:tc>
        <w:tc>
          <w:tcPr>
            <w:tcW w:w="2254" w:type="dxa"/>
            <w:vMerge/>
            <w:shd w:val="clear" w:color="auto" w:fill="auto"/>
          </w:tcPr>
          <w:p w14:paraId="2EA3C8D0" w14:textId="77777777" w:rsidR="001C5E1C" w:rsidRPr="008C761D" w:rsidRDefault="001C5E1C" w:rsidP="00E935CF">
            <w:pPr>
              <w:spacing w:after="0" w:line="240" w:lineRule="auto"/>
              <w:rPr>
                <w:rFonts w:cs="Calibri"/>
                <w:sz w:val="18"/>
                <w:szCs w:val="18"/>
                <w:lang w:val="en-US"/>
              </w:rPr>
            </w:pPr>
          </w:p>
        </w:tc>
      </w:tr>
      <w:tr w:rsidR="001C5E1C" w:rsidRPr="008C761D" w14:paraId="559EA857" w14:textId="77777777" w:rsidTr="00E935CF">
        <w:tc>
          <w:tcPr>
            <w:tcW w:w="562" w:type="dxa"/>
            <w:vMerge/>
            <w:shd w:val="clear" w:color="auto" w:fill="auto"/>
          </w:tcPr>
          <w:p w14:paraId="3F2D12BC"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3F3491A3"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5EC3DDCC" w14:textId="611A8F2C" w:rsidR="001C5E1C" w:rsidRPr="008C761D" w:rsidRDefault="00E83911" w:rsidP="00E935CF">
            <w:pPr>
              <w:spacing w:after="0" w:line="240" w:lineRule="auto"/>
              <w:rPr>
                <w:rFonts w:cs="Calibri"/>
                <w:sz w:val="18"/>
                <w:szCs w:val="18"/>
                <w:lang w:val="en-US"/>
              </w:rPr>
            </w:pPr>
            <w:r w:rsidRPr="008C761D">
              <w:rPr>
                <w:rFonts w:cs="Calibri"/>
                <w:sz w:val="18"/>
                <w:szCs w:val="18"/>
                <w:lang w:val="en-US"/>
              </w:rPr>
              <w:t>The process of enacting legal amendments has been delayed</w:t>
            </w:r>
          </w:p>
        </w:tc>
        <w:tc>
          <w:tcPr>
            <w:tcW w:w="2254" w:type="dxa"/>
            <w:vMerge/>
            <w:shd w:val="clear" w:color="auto" w:fill="auto"/>
          </w:tcPr>
          <w:p w14:paraId="1B20D52C" w14:textId="77777777" w:rsidR="001C5E1C" w:rsidRPr="008C761D" w:rsidRDefault="001C5E1C" w:rsidP="00E935CF">
            <w:pPr>
              <w:spacing w:after="0" w:line="240" w:lineRule="auto"/>
              <w:rPr>
                <w:rFonts w:cs="Calibri"/>
                <w:sz w:val="18"/>
                <w:szCs w:val="18"/>
                <w:lang w:val="en-US"/>
              </w:rPr>
            </w:pPr>
          </w:p>
        </w:tc>
      </w:tr>
      <w:tr w:rsidR="001C5E1C" w:rsidRPr="008C761D" w14:paraId="4826C657" w14:textId="77777777" w:rsidTr="00E935CF">
        <w:tc>
          <w:tcPr>
            <w:tcW w:w="562" w:type="dxa"/>
            <w:vMerge/>
            <w:shd w:val="clear" w:color="auto" w:fill="auto"/>
          </w:tcPr>
          <w:p w14:paraId="42ACE3A7"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7DA65388"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70DF8EC0" w14:textId="66B7B033" w:rsidR="001C5E1C" w:rsidRPr="008C761D" w:rsidRDefault="00E83911" w:rsidP="00E935CF">
            <w:pPr>
              <w:spacing w:after="0" w:line="240" w:lineRule="auto"/>
              <w:rPr>
                <w:rFonts w:cs="Calibri"/>
                <w:sz w:val="18"/>
                <w:szCs w:val="18"/>
                <w:lang w:val="en-US"/>
              </w:rPr>
            </w:pPr>
            <w:r w:rsidRPr="008C761D">
              <w:rPr>
                <w:rFonts w:cs="Calibri"/>
                <w:sz w:val="18"/>
                <w:szCs w:val="18"/>
                <w:lang w:val="en-US"/>
              </w:rPr>
              <w:t>Insufficient commitment to reform</w:t>
            </w:r>
          </w:p>
        </w:tc>
        <w:tc>
          <w:tcPr>
            <w:tcW w:w="2254" w:type="dxa"/>
            <w:vMerge/>
            <w:shd w:val="clear" w:color="auto" w:fill="auto"/>
          </w:tcPr>
          <w:p w14:paraId="4B744FD0" w14:textId="77777777" w:rsidR="001C5E1C" w:rsidRPr="008C761D" w:rsidRDefault="001C5E1C" w:rsidP="00E935CF">
            <w:pPr>
              <w:spacing w:after="0" w:line="240" w:lineRule="auto"/>
              <w:rPr>
                <w:rFonts w:cs="Calibri"/>
                <w:sz w:val="18"/>
                <w:szCs w:val="18"/>
                <w:lang w:val="en-US"/>
              </w:rPr>
            </w:pPr>
          </w:p>
        </w:tc>
      </w:tr>
      <w:tr w:rsidR="001C5E1C" w:rsidRPr="008C761D" w14:paraId="2FEEECF6" w14:textId="77777777" w:rsidTr="00E935CF">
        <w:tc>
          <w:tcPr>
            <w:tcW w:w="562" w:type="dxa"/>
            <w:vMerge/>
            <w:shd w:val="clear" w:color="auto" w:fill="auto"/>
          </w:tcPr>
          <w:p w14:paraId="1293C10A"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49615068"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35569354" w14:textId="117DBCE7" w:rsidR="001C5E1C" w:rsidRPr="008C761D" w:rsidRDefault="001C5E1C" w:rsidP="00E935CF">
            <w:pPr>
              <w:spacing w:after="0" w:line="240" w:lineRule="auto"/>
              <w:rPr>
                <w:rFonts w:cs="Calibri"/>
                <w:sz w:val="18"/>
                <w:szCs w:val="18"/>
                <w:lang w:val="en-US"/>
              </w:rPr>
            </w:pPr>
            <w:r w:rsidRPr="008C761D">
              <w:rPr>
                <w:rFonts w:cs="Calibri"/>
                <w:sz w:val="18"/>
                <w:szCs w:val="18"/>
                <w:lang w:val="en-US"/>
              </w:rPr>
              <w:t>Lack</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finance</w:t>
            </w:r>
          </w:p>
        </w:tc>
        <w:tc>
          <w:tcPr>
            <w:tcW w:w="2254" w:type="dxa"/>
            <w:vMerge/>
            <w:shd w:val="clear" w:color="auto" w:fill="auto"/>
          </w:tcPr>
          <w:p w14:paraId="555EC66B" w14:textId="77777777" w:rsidR="001C5E1C" w:rsidRPr="008C761D" w:rsidRDefault="001C5E1C" w:rsidP="00E935CF">
            <w:pPr>
              <w:spacing w:after="0" w:line="240" w:lineRule="auto"/>
              <w:rPr>
                <w:rFonts w:cs="Calibri"/>
                <w:sz w:val="18"/>
                <w:szCs w:val="18"/>
                <w:lang w:val="en-US"/>
              </w:rPr>
            </w:pPr>
          </w:p>
        </w:tc>
      </w:tr>
      <w:tr w:rsidR="001C5E1C" w:rsidRPr="008C761D" w14:paraId="2B9510E1" w14:textId="77777777" w:rsidTr="00E935CF">
        <w:tc>
          <w:tcPr>
            <w:tcW w:w="562" w:type="dxa"/>
            <w:vMerge/>
            <w:shd w:val="clear" w:color="auto" w:fill="auto"/>
          </w:tcPr>
          <w:p w14:paraId="7C055708"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73E8BA8D"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42499BBF" w14:textId="39BECA01" w:rsidR="001C5E1C" w:rsidRPr="008C761D" w:rsidRDefault="00E83911" w:rsidP="00E935CF">
            <w:pPr>
              <w:spacing w:after="0" w:line="240" w:lineRule="auto"/>
              <w:rPr>
                <w:rFonts w:cs="Calibri"/>
                <w:sz w:val="18"/>
                <w:szCs w:val="18"/>
                <w:lang w:val="en-US"/>
              </w:rPr>
            </w:pPr>
            <w:r w:rsidRPr="008C761D">
              <w:rPr>
                <w:rFonts w:cs="Calibri"/>
                <w:sz w:val="18"/>
                <w:szCs w:val="18"/>
                <w:lang w:val="en-US"/>
              </w:rPr>
              <w:t>Lack of capacity and commitment of the employees of the PRO, especially the IT staff</w:t>
            </w:r>
          </w:p>
        </w:tc>
        <w:tc>
          <w:tcPr>
            <w:tcW w:w="2254" w:type="dxa"/>
            <w:vMerge/>
            <w:shd w:val="clear" w:color="auto" w:fill="auto"/>
          </w:tcPr>
          <w:p w14:paraId="1CE8D737" w14:textId="77777777" w:rsidR="001C5E1C" w:rsidRPr="008C761D" w:rsidRDefault="001C5E1C" w:rsidP="00E935CF">
            <w:pPr>
              <w:spacing w:after="0" w:line="240" w:lineRule="auto"/>
              <w:rPr>
                <w:rFonts w:cs="Calibri"/>
                <w:sz w:val="18"/>
                <w:szCs w:val="18"/>
                <w:lang w:val="en-US"/>
              </w:rPr>
            </w:pPr>
          </w:p>
        </w:tc>
      </w:tr>
      <w:tr w:rsidR="001C5E1C" w:rsidRPr="008C761D" w14:paraId="0795D4CE" w14:textId="77777777" w:rsidTr="00E935CF">
        <w:tc>
          <w:tcPr>
            <w:tcW w:w="562" w:type="dxa"/>
            <w:vMerge/>
            <w:shd w:val="clear" w:color="auto" w:fill="auto"/>
          </w:tcPr>
          <w:p w14:paraId="10B54E8C" w14:textId="77777777" w:rsidR="001C5E1C" w:rsidRPr="008C761D" w:rsidRDefault="001C5E1C" w:rsidP="00E935CF">
            <w:pPr>
              <w:spacing w:after="0" w:line="240" w:lineRule="auto"/>
              <w:rPr>
                <w:rFonts w:cs="Calibri"/>
                <w:sz w:val="18"/>
                <w:szCs w:val="18"/>
                <w:lang w:val="en-US"/>
              </w:rPr>
            </w:pPr>
          </w:p>
        </w:tc>
        <w:tc>
          <w:tcPr>
            <w:tcW w:w="2381" w:type="dxa"/>
            <w:vMerge/>
            <w:shd w:val="clear" w:color="auto" w:fill="auto"/>
          </w:tcPr>
          <w:p w14:paraId="16931D4A" w14:textId="77777777" w:rsidR="001C5E1C" w:rsidRPr="008C761D" w:rsidRDefault="001C5E1C" w:rsidP="00E935CF">
            <w:pPr>
              <w:spacing w:after="0" w:line="240" w:lineRule="auto"/>
              <w:rPr>
                <w:rFonts w:cs="Calibri"/>
                <w:sz w:val="18"/>
                <w:szCs w:val="18"/>
                <w:lang w:val="en-US"/>
              </w:rPr>
            </w:pPr>
          </w:p>
        </w:tc>
        <w:tc>
          <w:tcPr>
            <w:tcW w:w="3819" w:type="dxa"/>
            <w:shd w:val="clear" w:color="auto" w:fill="auto"/>
          </w:tcPr>
          <w:p w14:paraId="24D75DDA" w14:textId="53576075" w:rsidR="001C5E1C" w:rsidRPr="008C761D" w:rsidRDefault="00E83911" w:rsidP="00E935CF">
            <w:pPr>
              <w:spacing w:after="0" w:line="240" w:lineRule="auto"/>
              <w:rPr>
                <w:rFonts w:cs="Calibri"/>
                <w:sz w:val="18"/>
                <w:szCs w:val="18"/>
                <w:lang w:val="en-US"/>
              </w:rPr>
            </w:pPr>
            <w:r w:rsidRPr="008C761D">
              <w:rPr>
                <w:rFonts w:cs="Calibri"/>
                <w:sz w:val="18"/>
                <w:szCs w:val="18"/>
                <w:lang w:val="en-US"/>
              </w:rPr>
              <w:t>Major changes in legal provisions</w:t>
            </w:r>
          </w:p>
        </w:tc>
        <w:tc>
          <w:tcPr>
            <w:tcW w:w="2254" w:type="dxa"/>
            <w:vMerge/>
            <w:shd w:val="clear" w:color="auto" w:fill="auto"/>
          </w:tcPr>
          <w:p w14:paraId="75382FFC" w14:textId="77777777" w:rsidR="001C5E1C" w:rsidRPr="008C761D" w:rsidRDefault="001C5E1C" w:rsidP="00E935CF">
            <w:pPr>
              <w:spacing w:after="0" w:line="240" w:lineRule="auto"/>
              <w:rPr>
                <w:rFonts w:cs="Calibri"/>
                <w:sz w:val="18"/>
                <w:szCs w:val="18"/>
                <w:lang w:val="en-US"/>
              </w:rPr>
            </w:pPr>
          </w:p>
        </w:tc>
      </w:tr>
      <w:tr w:rsidR="00681A06" w:rsidRPr="008C761D" w14:paraId="01FBBFE4" w14:textId="77777777" w:rsidTr="00E935CF">
        <w:tc>
          <w:tcPr>
            <w:tcW w:w="562" w:type="dxa"/>
            <w:vMerge w:val="restart"/>
            <w:shd w:val="clear" w:color="auto" w:fill="auto"/>
          </w:tcPr>
          <w:p w14:paraId="1A1198DD"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6</w:t>
            </w:r>
          </w:p>
        </w:tc>
        <w:tc>
          <w:tcPr>
            <w:tcW w:w="2381" w:type="dxa"/>
            <w:vMerge w:val="restart"/>
            <w:shd w:val="clear" w:color="auto" w:fill="auto"/>
          </w:tcPr>
          <w:p w14:paraId="30220857"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Priority 3: </w:t>
            </w:r>
          </w:p>
          <w:p w14:paraId="24A6B1F9"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Customs</w:t>
            </w:r>
          </w:p>
        </w:tc>
        <w:tc>
          <w:tcPr>
            <w:tcW w:w="3819" w:type="dxa"/>
            <w:shd w:val="clear" w:color="auto" w:fill="auto"/>
          </w:tcPr>
          <w:p w14:paraId="2A06520F" w14:textId="1BE730B0" w:rsidR="00681A06" w:rsidRPr="008C761D" w:rsidRDefault="00E83911" w:rsidP="00E935CF">
            <w:pPr>
              <w:spacing w:after="0" w:line="240" w:lineRule="auto"/>
              <w:jc w:val="both"/>
              <w:rPr>
                <w:rFonts w:cs="Calibri"/>
                <w:sz w:val="18"/>
                <w:szCs w:val="18"/>
                <w:lang w:val="en-US"/>
              </w:rPr>
            </w:pPr>
            <w:r w:rsidRPr="008C761D">
              <w:rPr>
                <w:rFonts w:cs="Calibri"/>
                <w:sz w:val="18"/>
                <w:szCs w:val="18"/>
                <w:lang w:val="en-US"/>
              </w:rPr>
              <w:t>Different levels of customs staffing can be an incentive for organized crime networks to redirect their operations to border points with weaker customs control</w:t>
            </w:r>
          </w:p>
        </w:tc>
        <w:tc>
          <w:tcPr>
            <w:tcW w:w="2254" w:type="dxa"/>
            <w:vMerge w:val="restart"/>
            <w:shd w:val="clear" w:color="auto" w:fill="auto"/>
          </w:tcPr>
          <w:p w14:paraId="4F86D08E"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Customs Administration</w:t>
            </w:r>
          </w:p>
        </w:tc>
      </w:tr>
      <w:tr w:rsidR="00681A06" w:rsidRPr="008C761D" w14:paraId="224AB04B" w14:textId="77777777" w:rsidTr="00E935CF">
        <w:trPr>
          <w:trHeight w:val="690"/>
        </w:trPr>
        <w:tc>
          <w:tcPr>
            <w:tcW w:w="562" w:type="dxa"/>
            <w:vMerge/>
            <w:shd w:val="clear" w:color="auto" w:fill="auto"/>
          </w:tcPr>
          <w:p w14:paraId="31FD3B50"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5AD9295B" w14:textId="77777777" w:rsidR="00681A06" w:rsidRPr="008C761D" w:rsidRDefault="00681A06" w:rsidP="00E935CF">
            <w:pPr>
              <w:spacing w:after="0" w:line="240" w:lineRule="auto"/>
              <w:rPr>
                <w:rFonts w:cs="Calibri"/>
                <w:b/>
                <w:sz w:val="18"/>
                <w:szCs w:val="18"/>
                <w:lang w:val="en-US"/>
              </w:rPr>
            </w:pPr>
          </w:p>
        </w:tc>
        <w:tc>
          <w:tcPr>
            <w:tcW w:w="3819" w:type="dxa"/>
            <w:shd w:val="clear" w:color="auto" w:fill="auto"/>
          </w:tcPr>
          <w:p w14:paraId="581468DD" w14:textId="0B3892F1" w:rsidR="00681A06" w:rsidRPr="008C761D" w:rsidRDefault="00E83911" w:rsidP="00E935CF">
            <w:pPr>
              <w:spacing w:after="0" w:line="240" w:lineRule="auto"/>
              <w:jc w:val="both"/>
              <w:rPr>
                <w:rFonts w:cs="Calibri"/>
                <w:sz w:val="18"/>
                <w:szCs w:val="18"/>
                <w:lang w:val="en-US"/>
              </w:rPr>
            </w:pPr>
            <w:r w:rsidRPr="008C761D">
              <w:rPr>
                <w:rFonts w:cs="Calibri"/>
                <w:sz w:val="18"/>
                <w:szCs w:val="18"/>
                <w:lang w:val="en-US"/>
              </w:rPr>
              <w:t>Timely and quality implementation of trainings for handling the new sophisticated control equipment</w:t>
            </w:r>
          </w:p>
        </w:tc>
        <w:tc>
          <w:tcPr>
            <w:tcW w:w="2254" w:type="dxa"/>
            <w:vMerge/>
            <w:shd w:val="clear" w:color="auto" w:fill="auto"/>
          </w:tcPr>
          <w:p w14:paraId="2207DA34" w14:textId="77777777" w:rsidR="00681A06" w:rsidRPr="008C761D" w:rsidRDefault="00681A06" w:rsidP="00E935CF">
            <w:pPr>
              <w:spacing w:after="0" w:line="240" w:lineRule="auto"/>
              <w:rPr>
                <w:rFonts w:cs="Calibri"/>
                <w:sz w:val="18"/>
                <w:szCs w:val="18"/>
                <w:lang w:val="en-US"/>
              </w:rPr>
            </w:pPr>
          </w:p>
        </w:tc>
      </w:tr>
      <w:tr w:rsidR="003F623B" w:rsidRPr="008C761D" w14:paraId="5514D979" w14:textId="77777777" w:rsidTr="00E935CF">
        <w:trPr>
          <w:trHeight w:val="690"/>
        </w:trPr>
        <w:tc>
          <w:tcPr>
            <w:tcW w:w="562" w:type="dxa"/>
            <w:vMerge/>
            <w:shd w:val="clear" w:color="auto" w:fill="auto"/>
          </w:tcPr>
          <w:p w14:paraId="7C405B9A" w14:textId="77777777" w:rsidR="003F623B" w:rsidRPr="008C761D" w:rsidRDefault="003F623B" w:rsidP="00E935CF">
            <w:pPr>
              <w:spacing w:after="0" w:line="240" w:lineRule="auto"/>
              <w:rPr>
                <w:rFonts w:cs="Calibri"/>
                <w:sz w:val="18"/>
                <w:szCs w:val="18"/>
                <w:lang w:val="en-US"/>
              </w:rPr>
            </w:pPr>
          </w:p>
        </w:tc>
        <w:tc>
          <w:tcPr>
            <w:tcW w:w="2381" w:type="dxa"/>
            <w:vMerge/>
            <w:shd w:val="clear" w:color="auto" w:fill="auto"/>
          </w:tcPr>
          <w:p w14:paraId="4C071ECD" w14:textId="77777777" w:rsidR="003F623B" w:rsidRPr="008C761D" w:rsidRDefault="003F623B" w:rsidP="00E935CF">
            <w:pPr>
              <w:spacing w:after="0" w:line="240" w:lineRule="auto"/>
              <w:rPr>
                <w:rFonts w:cs="Calibri"/>
                <w:b/>
                <w:sz w:val="18"/>
                <w:szCs w:val="18"/>
                <w:lang w:val="en-US"/>
              </w:rPr>
            </w:pPr>
          </w:p>
        </w:tc>
        <w:tc>
          <w:tcPr>
            <w:tcW w:w="3819" w:type="dxa"/>
            <w:shd w:val="clear" w:color="auto" w:fill="auto"/>
          </w:tcPr>
          <w:p w14:paraId="4835820D" w14:textId="558510E7" w:rsidR="003F623B" w:rsidRPr="008C761D" w:rsidRDefault="003F623B" w:rsidP="00E935CF">
            <w:pPr>
              <w:spacing w:after="0" w:line="240" w:lineRule="auto"/>
              <w:jc w:val="both"/>
              <w:rPr>
                <w:rFonts w:cs="Calibri"/>
                <w:sz w:val="18"/>
                <w:szCs w:val="18"/>
                <w:lang w:val="en-US"/>
              </w:rPr>
            </w:pPr>
            <w:r w:rsidRPr="008C761D">
              <w:rPr>
                <w:rFonts w:cs="Calibri"/>
                <w:sz w:val="18"/>
                <w:szCs w:val="18"/>
                <w:lang w:val="en-US"/>
              </w:rPr>
              <w:t>Untimely implementation of all phases in the process of harmonization with EU systems</w:t>
            </w:r>
          </w:p>
        </w:tc>
        <w:tc>
          <w:tcPr>
            <w:tcW w:w="2254" w:type="dxa"/>
            <w:vMerge/>
            <w:shd w:val="clear" w:color="auto" w:fill="auto"/>
          </w:tcPr>
          <w:p w14:paraId="47CB15EC" w14:textId="77777777" w:rsidR="003F623B" w:rsidRPr="008C761D" w:rsidRDefault="003F623B" w:rsidP="00E935CF">
            <w:pPr>
              <w:spacing w:after="0" w:line="240" w:lineRule="auto"/>
              <w:rPr>
                <w:rFonts w:cs="Calibri"/>
                <w:sz w:val="18"/>
                <w:szCs w:val="18"/>
                <w:lang w:val="en-US"/>
              </w:rPr>
            </w:pPr>
          </w:p>
        </w:tc>
      </w:tr>
      <w:tr w:rsidR="003F623B" w:rsidRPr="008C761D" w14:paraId="799868BA" w14:textId="77777777" w:rsidTr="00E935CF">
        <w:trPr>
          <w:trHeight w:val="690"/>
        </w:trPr>
        <w:tc>
          <w:tcPr>
            <w:tcW w:w="562" w:type="dxa"/>
            <w:vMerge/>
            <w:shd w:val="clear" w:color="auto" w:fill="auto"/>
          </w:tcPr>
          <w:p w14:paraId="0546A568" w14:textId="77777777" w:rsidR="003F623B" w:rsidRPr="008C761D" w:rsidRDefault="003F623B" w:rsidP="00E935CF">
            <w:pPr>
              <w:spacing w:after="0" w:line="240" w:lineRule="auto"/>
              <w:rPr>
                <w:rFonts w:cs="Calibri"/>
                <w:sz w:val="18"/>
                <w:szCs w:val="18"/>
                <w:lang w:val="en-US"/>
              </w:rPr>
            </w:pPr>
          </w:p>
        </w:tc>
        <w:tc>
          <w:tcPr>
            <w:tcW w:w="2381" w:type="dxa"/>
            <w:vMerge/>
            <w:shd w:val="clear" w:color="auto" w:fill="auto"/>
          </w:tcPr>
          <w:p w14:paraId="02443B4F" w14:textId="77777777" w:rsidR="003F623B" w:rsidRPr="008C761D" w:rsidRDefault="003F623B" w:rsidP="00E935CF">
            <w:pPr>
              <w:spacing w:after="0" w:line="240" w:lineRule="auto"/>
              <w:rPr>
                <w:rFonts w:cs="Calibri"/>
                <w:b/>
                <w:sz w:val="18"/>
                <w:szCs w:val="18"/>
                <w:lang w:val="en-US"/>
              </w:rPr>
            </w:pPr>
          </w:p>
        </w:tc>
        <w:tc>
          <w:tcPr>
            <w:tcW w:w="3819" w:type="dxa"/>
            <w:shd w:val="clear" w:color="auto" w:fill="auto"/>
          </w:tcPr>
          <w:p w14:paraId="0EA405D7" w14:textId="02BAD4EC" w:rsidR="003F623B" w:rsidRPr="008C761D" w:rsidRDefault="003F623B" w:rsidP="00E935CF">
            <w:pPr>
              <w:spacing w:after="0" w:line="240" w:lineRule="auto"/>
              <w:jc w:val="both"/>
              <w:rPr>
                <w:rFonts w:cs="Calibri"/>
                <w:sz w:val="18"/>
                <w:szCs w:val="18"/>
                <w:lang w:val="en-US"/>
              </w:rPr>
            </w:pPr>
            <w:r w:rsidRPr="003F623B">
              <w:rPr>
                <w:rFonts w:cs="Calibri"/>
                <w:sz w:val="18"/>
                <w:szCs w:val="18"/>
                <w:lang w:val="en-US"/>
              </w:rPr>
              <w:t>Resistance of economic operators due to large financial investments and request for a transitional period</w:t>
            </w:r>
          </w:p>
        </w:tc>
        <w:tc>
          <w:tcPr>
            <w:tcW w:w="2254" w:type="dxa"/>
            <w:vMerge/>
            <w:shd w:val="clear" w:color="auto" w:fill="auto"/>
          </w:tcPr>
          <w:p w14:paraId="4580CF2A" w14:textId="77777777" w:rsidR="003F623B" w:rsidRPr="008C761D" w:rsidRDefault="003F623B" w:rsidP="00E935CF">
            <w:pPr>
              <w:spacing w:after="0" w:line="240" w:lineRule="auto"/>
              <w:rPr>
                <w:rFonts w:cs="Calibri"/>
                <w:sz w:val="18"/>
                <w:szCs w:val="18"/>
                <w:lang w:val="en-US"/>
              </w:rPr>
            </w:pPr>
          </w:p>
        </w:tc>
      </w:tr>
      <w:tr w:rsidR="003F623B" w:rsidRPr="008C761D" w14:paraId="073E8281" w14:textId="77777777" w:rsidTr="00E935CF">
        <w:trPr>
          <w:trHeight w:val="690"/>
        </w:trPr>
        <w:tc>
          <w:tcPr>
            <w:tcW w:w="562" w:type="dxa"/>
            <w:vMerge/>
            <w:shd w:val="clear" w:color="auto" w:fill="auto"/>
          </w:tcPr>
          <w:p w14:paraId="52C3E561" w14:textId="77777777" w:rsidR="003F623B" w:rsidRPr="008C761D" w:rsidRDefault="003F623B" w:rsidP="00E935CF">
            <w:pPr>
              <w:spacing w:after="0" w:line="240" w:lineRule="auto"/>
              <w:rPr>
                <w:rFonts w:cs="Calibri"/>
                <w:sz w:val="18"/>
                <w:szCs w:val="18"/>
                <w:lang w:val="en-US"/>
              </w:rPr>
            </w:pPr>
          </w:p>
        </w:tc>
        <w:tc>
          <w:tcPr>
            <w:tcW w:w="2381" w:type="dxa"/>
            <w:vMerge/>
            <w:shd w:val="clear" w:color="auto" w:fill="auto"/>
          </w:tcPr>
          <w:p w14:paraId="404394FA" w14:textId="77777777" w:rsidR="003F623B" w:rsidRPr="008C761D" w:rsidRDefault="003F623B" w:rsidP="00E935CF">
            <w:pPr>
              <w:spacing w:after="0" w:line="240" w:lineRule="auto"/>
              <w:rPr>
                <w:rFonts w:cs="Calibri"/>
                <w:b/>
                <w:sz w:val="18"/>
                <w:szCs w:val="18"/>
                <w:lang w:val="en-US"/>
              </w:rPr>
            </w:pPr>
          </w:p>
        </w:tc>
        <w:tc>
          <w:tcPr>
            <w:tcW w:w="3819" w:type="dxa"/>
            <w:shd w:val="clear" w:color="auto" w:fill="auto"/>
          </w:tcPr>
          <w:p w14:paraId="5DE6830C" w14:textId="77777777" w:rsidR="003F623B" w:rsidRPr="003F623B" w:rsidRDefault="003F623B" w:rsidP="003F623B">
            <w:pPr>
              <w:spacing w:after="0" w:line="240" w:lineRule="auto"/>
              <w:rPr>
                <w:rFonts w:cs="Calibri"/>
                <w:sz w:val="20"/>
                <w:szCs w:val="20"/>
              </w:rPr>
            </w:pPr>
            <w:r w:rsidRPr="003F623B">
              <w:rPr>
                <w:rFonts w:cs="Calibri"/>
                <w:sz w:val="20"/>
                <w:szCs w:val="20"/>
              </w:rPr>
              <w:t>Uncertainty of the duration of the process of providing necessary prerequisites for implementation (choice of code issuer, secondary depository)</w:t>
            </w:r>
          </w:p>
          <w:p w14:paraId="7BB71362" w14:textId="77777777" w:rsidR="003F623B" w:rsidRPr="008C761D" w:rsidRDefault="003F623B" w:rsidP="00E935CF">
            <w:pPr>
              <w:spacing w:after="0" w:line="240" w:lineRule="auto"/>
              <w:jc w:val="both"/>
              <w:rPr>
                <w:rFonts w:cs="Calibri"/>
                <w:sz w:val="18"/>
                <w:szCs w:val="18"/>
                <w:lang w:val="en-US"/>
              </w:rPr>
            </w:pPr>
          </w:p>
        </w:tc>
        <w:tc>
          <w:tcPr>
            <w:tcW w:w="2254" w:type="dxa"/>
            <w:vMerge/>
            <w:shd w:val="clear" w:color="auto" w:fill="auto"/>
          </w:tcPr>
          <w:p w14:paraId="396F8B44" w14:textId="77777777" w:rsidR="003F623B" w:rsidRPr="008C761D" w:rsidRDefault="003F623B" w:rsidP="00E935CF">
            <w:pPr>
              <w:spacing w:after="0" w:line="240" w:lineRule="auto"/>
              <w:rPr>
                <w:rFonts w:cs="Calibri"/>
                <w:sz w:val="18"/>
                <w:szCs w:val="18"/>
                <w:lang w:val="en-US"/>
              </w:rPr>
            </w:pPr>
          </w:p>
        </w:tc>
      </w:tr>
      <w:tr w:rsidR="003F623B" w:rsidRPr="008C761D" w14:paraId="1D23590D" w14:textId="77777777" w:rsidTr="00E935CF">
        <w:trPr>
          <w:trHeight w:val="690"/>
        </w:trPr>
        <w:tc>
          <w:tcPr>
            <w:tcW w:w="562" w:type="dxa"/>
            <w:vMerge/>
            <w:shd w:val="clear" w:color="auto" w:fill="auto"/>
          </w:tcPr>
          <w:p w14:paraId="50EA2D1E" w14:textId="77777777" w:rsidR="003F623B" w:rsidRPr="008C761D" w:rsidRDefault="003F623B" w:rsidP="00E935CF">
            <w:pPr>
              <w:spacing w:after="0" w:line="240" w:lineRule="auto"/>
              <w:rPr>
                <w:rFonts w:cs="Calibri"/>
                <w:sz w:val="18"/>
                <w:szCs w:val="18"/>
                <w:lang w:val="en-US"/>
              </w:rPr>
            </w:pPr>
          </w:p>
        </w:tc>
        <w:tc>
          <w:tcPr>
            <w:tcW w:w="2381" w:type="dxa"/>
            <w:vMerge/>
            <w:shd w:val="clear" w:color="auto" w:fill="auto"/>
          </w:tcPr>
          <w:p w14:paraId="42D1B08A" w14:textId="77777777" w:rsidR="003F623B" w:rsidRPr="008C761D" w:rsidRDefault="003F623B" w:rsidP="00E935CF">
            <w:pPr>
              <w:spacing w:after="0" w:line="240" w:lineRule="auto"/>
              <w:rPr>
                <w:rFonts w:cs="Calibri"/>
                <w:b/>
                <w:sz w:val="18"/>
                <w:szCs w:val="18"/>
                <w:lang w:val="en-US"/>
              </w:rPr>
            </w:pPr>
          </w:p>
        </w:tc>
        <w:tc>
          <w:tcPr>
            <w:tcW w:w="3819" w:type="dxa"/>
            <w:shd w:val="clear" w:color="auto" w:fill="auto"/>
          </w:tcPr>
          <w:p w14:paraId="7ECF2C9D" w14:textId="77777777" w:rsidR="003F623B" w:rsidRPr="003F623B" w:rsidRDefault="003F623B" w:rsidP="003F623B">
            <w:pPr>
              <w:spacing w:after="0" w:line="240" w:lineRule="auto"/>
              <w:rPr>
                <w:rFonts w:cs="Calibri"/>
                <w:sz w:val="20"/>
                <w:szCs w:val="20"/>
              </w:rPr>
            </w:pPr>
            <w:r w:rsidRPr="003F623B">
              <w:rPr>
                <w:rFonts w:cs="Calibri"/>
                <w:sz w:val="20"/>
                <w:szCs w:val="20"/>
              </w:rPr>
              <w:t>Lack of organizational experience in the operation of such a system</w:t>
            </w:r>
          </w:p>
          <w:p w14:paraId="016E7368" w14:textId="77777777" w:rsidR="003F623B" w:rsidRPr="003F623B" w:rsidRDefault="003F623B" w:rsidP="003F623B">
            <w:pPr>
              <w:spacing w:after="0" w:line="240" w:lineRule="auto"/>
              <w:rPr>
                <w:rFonts w:cs="Calibri"/>
                <w:sz w:val="20"/>
                <w:szCs w:val="20"/>
              </w:rPr>
            </w:pPr>
          </w:p>
        </w:tc>
        <w:tc>
          <w:tcPr>
            <w:tcW w:w="2254" w:type="dxa"/>
            <w:vMerge/>
            <w:shd w:val="clear" w:color="auto" w:fill="auto"/>
          </w:tcPr>
          <w:p w14:paraId="054E0506" w14:textId="77777777" w:rsidR="003F623B" w:rsidRPr="008C761D" w:rsidRDefault="003F623B" w:rsidP="00E935CF">
            <w:pPr>
              <w:spacing w:after="0" w:line="240" w:lineRule="auto"/>
              <w:rPr>
                <w:rFonts w:cs="Calibri"/>
                <w:sz w:val="18"/>
                <w:szCs w:val="18"/>
                <w:lang w:val="en-US"/>
              </w:rPr>
            </w:pPr>
          </w:p>
        </w:tc>
      </w:tr>
      <w:tr w:rsidR="003F623B" w:rsidRPr="008C761D" w14:paraId="4BB80276" w14:textId="77777777" w:rsidTr="00E935CF">
        <w:trPr>
          <w:trHeight w:val="690"/>
        </w:trPr>
        <w:tc>
          <w:tcPr>
            <w:tcW w:w="562" w:type="dxa"/>
            <w:vMerge/>
            <w:shd w:val="clear" w:color="auto" w:fill="auto"/>
          </w:tcPr>
          <w:p w14:paraId="1CEDED31" w14:textId="77777777" w:rsidR="003F623B" w:rsidRPr="008C761D" w:rsidRDefault="003F623B" w:rsidP="00E935CF">
            <w:pPr>
              <w:spacing w:after="0" w:line="240" w:lineRule="auto"/>
              <w:rPr>
                <w:rFonts w:cs="Calibri"/>
                <w:sz w:val="18"/>
                <w:szCs w:val="18"/>
                <w:lang w:val="en-US"/>
              </w:rPr>
            </w:pPr>
          </w:p>
        </w:tc>
        <w:tc>
          <w:tcPr>
            <w:tcW w:w="2381" w:type="dxa"/>
            <w:vMerge/>
            <w:shd w:val="clear" w:color="auto" w:fill="auto"/>
          </w:tcPr>
          <w:p w14:paraId="6EB13F79" w14:textId="77777777" w:rsidR="003F623B" w:rsidRPr="008C761D" w:rsidRDefault="003F623B" w:rsidP="00E935CF">
            <w:pPr>
              <w:spacing w:after="0" w:line="240" w:lineRule="auto"/>
              <w:rPr>
                <w:rFonts w:cs="Calibri"/>
                <w:b/>
                <w:sz w:val="18"/>
                <w:szCs w:val="18"/>
                <w:lang w:val="en-US"/>
              </w:rPr>
            </w:pPr>
          </w:p>
        </w:tc>
        <w:tc>
          <w:tcPr>
            <w:tcW w:w="3819" w:type="dxa"/>
            <w:shd w:val="clear" w:color="auto" w:fill="auto"/>
          </w:tcPr>
          <w:p w14:paraId="498DDDFA" w14:textId="6960BE9A" w:rsidR="003F623B" w:rsidRPr="003F623B" w:rsidRDefault="003F623B" w:rsidP="003F623B">
            <w:pPr>
              <w:spacing w:after="0" w:line="240" w:lineRule="auto"/>
              <w:rPr>
                <w:rFonts w:cs="Calibri"/>
                <w:sz w:val="20"/>
                <w:szCs w:val="20"/>
              </w:rPr>
            </w:pPr>
            <w:r w:rsidRPr="003F623B">
              <w:rPr>
                <w:rFonts w:cs="Calibri"/>
                <w:sz w:val="20"/>
                <w:szCs w:val="20"/>
              </w:rPr>
              <w:t>Unpredictability of the system testing process</w:t>
            </w:r>
            <w:r>
              <w:rPr>
                <w:rFonts w:cs="Calibri"/>
                <w:sz w:val="20"/>
                <w:szCs w:val="20"/>
                <w:lang w:val="en-US"/>
              </w:rPr>
              <w:t xml:space="preserve"> </w:t>
            </w:r>
            <w:r w:rsidRPr="001D4F21">
              <w:rPr>
                <w:rFonts w:cs="Calibri"/>
                <w:sz w:val="20"/>
                <w:szCs w:val="20"/>
              </w:rPr>
              <w:t>(mandatory trial period)</w:t>
            </w:r>
          </w:p>
          <w:p w14:paraId="20DCFA86" w14:textId="77777777" w:rsidR="003F623B" w:rsidRPr="003F623B" w:rsidRDefault="003F623B" w:rsidP="003F623B">
            <w:pPr>
              <w:spacing w:after="0" w:line="240" w:lineRule="auto"/>
              <w:rPr>
                <w:rFonts w:cs="Calibri"/>
                <w:sz w:val="20"/>
                <w:szCs w:val="20"/>
              </w:rPr>
            </w:pPr>
          </w:p>
        </w:tc>
        <w:tc>
          <w:tcPr>
            <w:tcW w:w="2254" w:type="dxa"/>
            <w:vMerge/>
            <w:shd w:val="clear" w:color="auto" w:fill="auto"/>
          </w:tcPr>
          <w:p w14:paraId="58839A01" w14:textId="77777777" w:rsidR="003F623B" w:rsidRPr="008C761D" w:rsidRDefault="003F623B" w:rsidP="00E935CF">
            <w:pPr>
              <w:spacing w:after="0" w:line="240" w:lineRule="auto"/>
              <w:rPr>
                <w:rFonts w:cs="Calibri"/>
                <w:sz w:val="18"/>
                <w:szCs w:val="18"/>
                <w:lang w:val="en-US"/>
              </w:rPr>
            </w:pPr>
          </w:p>
        </w:tc>
      </w:tr>
      <w:tr w:rsidR="00681A06" w:rsidRPr="008C761D" w14:paraId="6B84011F" w14:textId="77777777" w:rsidTr="00E935CF">
        <w:trPr>
          <w:trHeight w:val="406"/>
        </w:trPr>
        <w:tc>
          <w:tcPr>
            <w:tcW w:w="562" w:type="dxa"/>
            <w:vMerge/>
            <w:shd w:val="clear" w:color="auto" w:fill="auto"/>
          </w:tcPr>
          <w:p w14:paraId="2659F7F4" w14:textId="77777777" w:rsidR="00681A06" w:rsidRPr="008C761D" w:rsidRDefault="00681A06" w:rsidP="00E935CF">
            <w:pPr>
              <w:spacing w:after="0" w:line="240" w:lineRule="auto"/>
              <w:rPr>
                <w:rFonts w:cs="Calibri"/>
                <w:sz w:val="18"/>
                <w:szCs w:val="18"/>
                <w:lang w:val="en-US"/>
              </w:rPr>
            </w:pPr>
          </w:p>
        </w:tc>
        <w:tc>
          <w:tcPr>
            <w:tcW w:w="2381" w:type="dxa"/>
            <w:vMerge/>
            <w:shd w:val="clear" w:color="auto" w:fill="auto"/>
          </w:tcPr>
          <w:p w14:paraId="648A02C9" w14:textId="77777777" w:rsidR="00681A06" w:rsidRPr="008C761D" w:rsidRDefault="00681A06" w:rsidP="00E935CF">
            <w:pPr>
              <w:spacing w:after="0" w:line="240" w:lineRule="auto"/>
              <w:rPr>
                <w:rFonts w:cs="Calibri"/>
                <w:b/>
                <w:sz w:val="18"/>
                <w:szCs w:val="18"/>
                <w:lang w:val="en-US"/>
              </w:rPr>
            </w:pPr>
          </w:p>
        </w:tc>
        <w:tc>
          <w:tcPr>
            <w:tcW w:w="3819" w:type="dxa"/>
            <w:shd w:val="clear" w:color="auto" w:fill="auto"/>
          </w:tcPr>
          <w:p w14:paraId="1D99CD3C" w14:textId="5D744BB0" w:rsidR="00681A06" w:rsidRPr="003F623B" w:rsidRDefault="003F623B" w:rsidP="003F623B">
            <w:pPr>
              <w:spacing w:after="0" w:line="240" w:lineRule="auto"/>
              <w:rPr>
                <w:rFonts w:cs="Calibri"/>
                <w:sz w:val="18"/>
                <w:szCs w:val="18"/>
                <w:lang w:val="en-US"/>
              </w:rPr>
            </w:pPr>
            <w:r w:rsidRPr="006C13FB">
              <w:rPr>
                <w:rFonts w:cs="Calibri"/>
                <w:sz w:val="20"/>
                <w:szCs w:val="20"/>
              </w:rPr>
              <w:t>Risk of problems when harmonizing the Track &amp; Trace system with the existing customs electronic system</w:t>
            </w:r>
          </w:p>
        </w:tc>
        <w:tc>
          <w:tcPr>
            <w:tcW w:w="2254" w:type="dxa"/>
            <w:vMerge/>
            <w:shd w:val="clear" w:color="auto" w:fill="auto"/>
          </w:tcPr>
          <w:p w14:paraId="30634613" w14:textId="77777777" w:rsidR="00681A06" w:rsidRPr="008C761D" w:rsidRDefault="00681A06" w:rsidP="00E935CF">
            <w:pPr>
              <w:spacing w:after="0" w:line="240" w:lineRule="auto"/>
              <w:rPr>
                <w:rFonts w:cs="Calibri"/>
                <w:sz w:val="18"/>
                <w:szCs w:val="18"/>
                <w:lang w:val="en-US"/>
              </w:rPr>
            </w:pPr>
          </w:p>
        </w:tc>
      </w:tr>
      <w:tr w:rsidR="00681A06" w:rsidRPr="008C761D" w14:paraId="286DFA32" w14:textId="77777777" w:rsidTr="00E935CF">
        <w:tc>
          <w:tcPr>
            <w:tcW w:w="9016" w:type="dxa"/>
            <w:gridSpan w:val="4"/>
            <w:shd w:val="clear" w:color="auto" w:fill="D9E2F3"/>
          </w:tcPr>
          <w:p w14:paraId="422BE145" w14:textId="5CB62534"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lastRenderedPageBreak/>
              <w:t xml:space="preserve">PILLAR III </w:t>
            </w:r>
            <w:r w:rsidR="004766CA" w:rsidRPr="008C761D">
              <w:rPr>
                <w:rFonts w:cs="Calibri"/>
                <w:b/>
                <w:sz w:val="18"/>
                <w:szCs w:val="18"/>
                <w:lang w:val="en-US"/>
              </w:rPr>
              <w:t>–</w:t>
            </w:r>
            <w:r w:rsidRPr="008C761D">
              <w:rPr>
                <w:rFonts w:cs="Calibri"/>
                <w:b/>
                <w:sz w:val="18"/>
                <w:szCs w:val="18"/>
                <w:lang w:val="en-US"/>
              </w:rPr>
              <w:t xml:space="preserve"> Planning</w:t>
            </w:r>
            <w:r w:rsidR="004766CA" w:rsidRPr="008C761D">
              <w:rPr>
                <w:rFonts w:cs="Calibri"/>
                <w:b/>
                <w:sz w:val="18"/>
                <w:szCs w:val="18"/>
                <w:lang w:val="en-US"/>
              </w:rPr>
              <w:t xml:space="preserve"> </w:t>
            </w:r>
            <w:r w:rsidRPr="008C761D">
              <w:rPr>
                <w:rFonts w:cs="Calibri"/>
                <w:b/>
                <w:sz w:val="18"/>
                <w:szCs w:val="18"/>
                <w:lang w:val="en-US"/>
              </w:rPr>
              <w:t>and</w:t>
            </w:r>
            <w:r w:rsidR="004766CA" w:rsidRPr="008C761D">
              <w:rPr>
                <w:rFonts w:cs="Calibri"/>
                <w:b/>
                <w:sz w:val="18"/>
                <w:szCs w:val="18"/>
                <w:lang w:val="en-US"/>
              </w:rPr>
              <w:t xml:space="preserve"> </w:t>
            </w:r>
            <w:r w:rsidRPr="008C761D">
              <w:rPr>
                <w:rFonts w:cs="Calibri"/>
                <w:b/>
                <w:sz w:val="18"/>
                <w:szCs w:val="18"/>
                <w:lang w:val="en-US"/>
              </w:rPr>
              <w:t>Budget</w:t>
            </w:r>
          </w:p>
        </w:tc>
      </w:tr>
      <w:tr w:rsidR="00681A06" w:rsidRPr="008C761D" w14:paraId="42AEDD3C" w14:textId="77777777" w:rsidTr="00E935CF">
        <w:trPr>
          <w:trHeight w:val="475"/>
        </w:trPr>
        <w:tc>
          <w:tcPr>
            <w:tcW w:w="562" w:type="dxa"/>
            <w:shd w:val="clear" w:color="auto" w:fill="auto"/>
          </w:tcPr>
          <w:p w14:paraId="1E2419BF" w14:textId="77777777" w:rsidR="00681A06" w:rsidRPr="008C761D" w:rsidRDefault="00681A06" w:rsidP="00E935CF">
            <w:pPr>
              <w:spacing w:after="0" w:line="240" w:lineRule="auto"/>
              <w:rPr>
                <w:rFonts w:cs="Calibri"/>
                <w:sz w:val="18"/>
                <w:szCs w:val="18"/>
                <w:lang w:val="en-US"/>
              </w:rPr>
            </w:pPr>
            <w:r w:rsidRPr="008C761D">
              <w:rPr>
                <w:rFonts w:cs="Calibri"/>
                <w:sz w:val="18"/>
                <w:szCs w:val="18"/>
                <w:lang w:val="en-US"/>
              </w:rPr>
              <w:t>7</w:t>
            </w:r>
          </w:p>
        </w:tc>
        <w:tc>
          <w:tcPr>
            <w:tcW w:w="2381" w:type="dxa"/>
            <w:shd w:val="clear" w:color="auto" w:fill="auto"/>
          </w:tcPr>
          <w:p w14:paraId="69FC7619" w14:textId="77777777" w:rsidR="00681A06" w:rsidRPr="008C761D" w:rsidRDefault="00681A06" w:rsidP="00E935CF">
            <w:pPr>
              <w:spacing w:after="0" w:line="240" w:lineRule="auto"/>
              <w:rPr>
                <w:rFonts w:cs="Calibri"/>
                <w:b/>
                <w:sz w:val="18"/>
                <w:szCs w:val="18"/>
                <w:lang w:val="en-US"/>
              </w:rPr>
            </w:pPr>
            <w:r w:rsidRPr="008C761D">
              <w:rPr>
                <w:rFonts w:cs="Calibri"/>
                <w:b/>
                <w:sz w:val="18"/>
                <w:szCs w:val="18"/>
                <w:lang w:val="en-US"/>
              </w:rPr>
              <w:t xml:space="preserve">Priority 1: </w:t>
            </w:r>
          </w:p>
          <w:p w14:paraId="154B8263" w14:textId="72D0C3CA" w:rsidR="00681A06" w:rsidRPr="008C761D" w:rsidRDefault="00681A06" w:rsidP="00E935CF">
            <w:pPr>
              <w:spacing w:after="0" w:line="240" w:lineRule="auto"/>
              <w:rPr>
                <w:rFonts w:cs="Calibri"/>
                <w:sz w:val="18"/>
                <w:szCs w:val="18"/>
                <w:lang w:val="en-US"/>
              </w:rPr>
            </w:pPr>
            <w:r w:rsidRPr="008C761D">
              <w:rPr>
                <w:rFonts w:cs="Calibri"/>
                <w:sz w:val="18"/>
                <w:szCs w:val="18"/>
                <w:lang w:val="en-US"/>
              </w:rPr>
              <w:t>Budget</w:t>
            </w:r>
            <w:r w:rsidR="00E83911" w:rsidRPr="008C761D">
              <w:rPr>
                <w:rFonts w:cs="Calibri"/>
                <w:sz w:val="18"/>
                <w:szCs w:val="18"/>
                <w:lang w:val="en-US"/>
              </w:rPr>
              <w:t xml:space="preserve"> </w:t>
            </w:r>
            <w:r w:rsidRPr="008C761D">
              <w:rPr>
                <w:rFonts w:cs="Calibri"/>
                <w:sz w:val="18"/>
                <w:szCs w:val="18"/>
                <w:lang w:val="en-US"/>
              </w:rPr>
              <w:t>Planning</w:t>
            </w:r>
          </w:p>
        </w:tc>
        <w:tc>
          <w:tcPr>
            <w:tcW w:w="3819" w:type="dxa"/>
            <w:shd w:val="clear" w:color="auto" w:fill="auto"/>
          </w:tcPr>
          <w:p w14:paraId="0CD5D99F" w14:textId="57A93390" w:rsidR="00681A06" w:rsidRPr="008C761D" w:rsidRDefault="00E83911" w:rsidP="00E935CF">
            <w:pPr>
              <w:spacing w:after="0" w:line="240" w:lineRule="auto"/>
              <w:rPr>
                <w:rFonts w:cs="Calibri"/>
                <w:sz w:val="18"/>
                <w:szCs w:val="18"/>
                <w:lang w:val="en-US"/>
              </w:rPr>
            </w:pPr>
            <w:r w:rsidRPr="008C761D">
              <w:rPr>
                <w:rFonts w:cs="Calibri"/>
                <w:sz w:val="18"/>
                <w:szCs w:val="18"/>
                <w:lang w:val="en-US"/>
              </w:rPr>
              <w:t>Human potential for implementation</w:t>
            </w:r>
          </w:p>
        </w:tc>
        <w:tc>
          <w:tcPr>
            <w:tcW w:w="2254" w:type="dxa"/>
            <w:shd w:val="clear" w:color="auto" w:fill="auto"/>
          </w:tcPr>
          <w:p w14:paraId="030A7172" w14:textId="61626891" w:rsidR="00681A06" w:rsidRPr="008C761D" w:rsidRDefault="00681A06" w:rsidP="00E935CF">
            <w:pPr>
              <w:spacing w:after="0" w:line="240" w:lineRule="auto"/>
              <w:rPr>
                <w:rFonts w:cs="Calibri"/>
                <w:sz w:val="18"/>
                <w:szCs w:val="18"/>
                <w:lang w:val="en-US"/>
              </w:rPr>
            </w:pPr>
            <w:r w:rsidRPr="008C761D">
              <w:rPr>
                <w:rFonts w:cs="Calibri"/>
                <w:sz w:val="18"/>
                <w:szCs w:val="18"/>
                <w:lang w:val="en-US"/>
              </w:rPr>
              <w:t>Ministry</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Finance</w:t>
            </w:r>
          </w:p>
        </w:tc>
      </w:tr>
      <w:tr w:rsidR="005F75B4" w:rsidRPr="008C761D" w14:paraId="4AEB8400" w14:textId="77777777" w:rsidTr="00CE2DF4">
        <w:trPr>
          <w:trHeight w:val="476"/>
        </w:trPr>
        <w:tc>
          <w:tcPr>
            <w:tcW w:w="562" w:type="dxa"/>
            <w:vMerge w:val="restart"/>
            <w:shd w:val="clear" w:color="auto" w:fill="auto"/>
          </w:tcPr>
          <w:p w14:paraId="496A10D4" w14:textId="77777777" w:rsidR="005F75B4" w:rsidRPr="008C761D" w:rsidRDefault="005F75B4" w:rsidP="005F75B4">
            <w:pPr>
              <w:spacing w:after="0" w:line="240" w:lineRule="auto"/>
              <w:rPr>
                <w:rFonts w:cs="Calibri"/>
                <w:sz w:val="18"/>
                <w:szCs w:val="18"/>
                <w:lang w:val="en-US"/>
              </w:rPr>
            </w:pPr>
            <w:r w:rsidRPr="008C761D">
              <w:rPr>
                <w:rFonts w:cs="Calibri"/>
                <w:sz w:val="18"/>
                <w:szCs w:val="18"/>
                <w:lang w:val="en-US"/>
              </w:rPr>
              <w:t>8</w:t>
            </w:r>
          </w:p>
        </w:tc>
        <w:tc>
          <w:tcPr>
            <w:tcW w:w="2381" w:type="dxa"/>
            <w:vMerge w:val="restart"/>
            <w:shd w:val="clear" w:color="auto" w:fill="auto"/>
          </w:tcPr>
          <w:p w14:paraId="0514712E" w14:textId="77777777" w:rsidR="005F75B4" w:rsidRPr="008C761D" w:rsidRDefault="005F75B4" w:rsidP="005F75B4">
            <w:pPr>
              <w:spacing w:after="0" w:line="240" w:lineRule="auto"/>
              <w:rPr>
                <w:rFonts w:cs="Calibri"/>
                <w:b/>
                <w:sz w:val="18"/>
                <w:szCs w:val="18"/>
                <w:lang w:val="en-US"/>
              </w:rPr>
            </w:pPr>
            <w:r w:rsidRPr="008C761D">
              <w:rPr>
                <w:rFonts w:cs="Calibri"/>
                <w:b/>
                <w:sz w:val="18"/>
                <w:szCs w:val="18"/>
                <w:lang w:val="en-US"/>
              </w:rPr>
              <w:t xml:space="preserve">Priority 2: </w:t>
            </w:r>
          </w:p>
          <w:p w14:paraId="7C46B538" w14:textId="3B9D1D10" w:rsidR="005F75B4" w:rsidRPr="008C761D" w:rsidRDefault="005F75B4" w:rsidP="005F75B4">
            <w:pPr>
              <w:spacing w:after="0" w:line="240" w:lineRule="auto"/>
              <w:rPr>
                <w:rFonts w:cs="Calibri"/>
                <w:sz w:val="18"/>
                <w:szCs w:val="18"/>
                <w:lang w:val="en-US"/>
              </w:rPr>
            </w:pPr>
            <w:r w:rsidRPr="008C761D">
              <w:rPr>
                <w:rFonts w:cs="Calibri"/>
                <w:sz w:val="18"/>
                <w:szCs w:val="18"/>
                <w:lang w:val="en-US"/>
              </w:rPr>
              <w:t>Strengthened</w:t>
            </w:r>
            <w:r w:rsidR="00134B6E">
              <w:rPr>
                <w:rFonts w:cs="Calibri"/>
                <w:sz w:val="18"/>
                <w:szCs w:val="18"/>
                <w:lang w:val="en-US"/>
              </w:rPr>
              <w:t xml:space="preserve"> </w:t>
            </w:r>
            <w:r w:rsidRPr="008C761D">
              <w:rPr>
                <w:rFonts w:cs="Calibri"/>
                <w:sz w:val="18"/>
                <w:szCs w:val="18"/>
                <w:lang w:val="en-US"/>
              </w:rPr>
              <w:t>Public</w:t>
            </w:r>
            <w:r w:rsidR="00134B6E">
              <w:rPr>
                <w:rFonts w:cs="Calibri"/>
                <w:sz w:val="18"/>
                <w:szCs w:val="18"/>
                <w:lang w:val="en-US"/>
              </w:rPr>
              <w:t xml:space="preserve"> </w:t>
            </w:r>
            <w:r w:rsidRPr="008C761D">
              <w:rPr>
                <w:rFonts w:cs="Calibri"/>
                <w:sz w:val="18"/>
                <w:szCs w:val="18"/>
                <w:lang w:val="en-US"/>
              </w:rPr>
              <w:t>Investment</w:t>
            </w:r>
            <w:r w:rsidR="00134B6E">
              <w:rPr>
                <w:rFonts w:cs="Calibri"/>
                <w:sz w:val="18"/>
                <w:szCs w:val="18"/>
                <w:lang w:val="en-US"/>
              </w:rPr>
              <w:t xml:space="preserve"> </w:t>
            </w:r>
            <w:r w:rsidRPr="008C761D">
              <w:rPr>
                <w:rFonts w:cs="Calibri"/>
                <w:sz w:val="18"/>
                <w:szCs w:val="18"/>
                <w:lang w:val="en-US"/>
              </w:rPr>
              <w:t>Management</w:t>
            </w:r>
          </w:p>
        </w:tc>
        <w:tc>
          <w:tcPr>
            <w:tcW w:w="3819" w:type="dxa"/>
            <w:shd w:val="clear" w:color="auto" w:fill="auto"/>
          </w:tcPr>
          <w:p w14:paraId="3FA3186F" w14:textId="160C43BD" w:rsidR="005F75B4" w:rsidRPr="008C761D" w:rsidRDefault="0003109D" w:rsidP="005F75B4">
            <w:pPr>
              <w:spacing w:after="0" w:line="240" w:lineRule="auto"/>
              <w:rPr>
                <w:rFonts w:cs="Calibri"/>
                <w:sz w:val="18"/>
                <w:szCs w:val="18"/>
                <w:lang w:val="en-US"/>
              </w:rPr>
            </w:pPr>
            <w:r w:rsidRPr="008C761D">
              <w:rPr>
                <w:rFonts w:cs="Calibri"/>
                <w:sz w:val="18"/>
                <w:szCs w:val="18"/>
                <w:lang w:val="en-US"/>
              </w:rPr>
              <w:t>Lack</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political</w:t>
            </w:r>
            <w:r w:rsidR="00E83911" w:rsidRPr="008C761D">
              <w:rPr>
                <w:rFonts w:cs="Calibri"/>
                <w:sz w:val="18"/>
                <w:szCs w:val="18"/>
                <w:lang w:val="en-US"/>
              </w:rPr>
              <w:t xml:space="preserve"> </w:t>
            </w:r>
            <w:r w:rsidRPr="008C761D">
              <w:rPr>
                <w:rFonts w:cs="Calibri"/>
                <w:sz w:val="18"/>
                <w:szCs w:val="18"/>
                <w:lang w:val="en-US"/>
              </w:rPr>
              <w:t>will</w:t>
            </w:r>
            <w:r w:rsidR="00E83911" w:rsidRPr="008C761D">
              <w:rPr>
                <w:rFonts w:cs="Calibri"/>
                <w:sz w:val="18"/>
                <w:szCs w:val="18"/>
                <w:lang w:val="en-US"/>
              </w:rPr>
              <w:t xml:space="preserve"> </w:t>
            </w:r>
            <w:r w:rsidRPr="008C761D">
              <w:rPr>
                <w:rFonts w:cs="Calibri"/>
                <w:sz w:val="18"/>
                <w:szCs w:val="18"/>
                <w:lang w:val="en-US"/>
              </w:rPr>
              <w:t>to</w:t>
            </w:r>
            <w:r w:rsidR="00E83911" w:rsidRPr="008C761D">
              <w:rPr>
                <w:rFonts w:cs="Calibri"/>
                <w:sz w:val="18"/>
                <w:szCs w:val="18"/>
                <w:lang w:val="en-US"/>
              </w:rPr>
              <w:t xml:space="preserve"> </w:t>
            </w:r>
            <w:r w:rsidRPr="008C761D">
              <w:rPr>
                <w:rFonts w:cs="Calibri"/>
                <w:sz w:val="18"/>
                <w:szCs w:val="18"/>
                <w:lang w:val="en-US"/>
              </w:rPr>
              <w:t>support</w:t>
            </w:r>
            <w:r w:rsidR="00E83911" w:rsidRPr="008C761D">
              <w:rPr>
                <w:rFonts w:cs="Calibri"/>
                <w:sz w:val="18"/>
                <w:szCs w:val="18"/>
                <w:lang w:val="en-US"/>
              </w:rPr>
              <w:t xml:space="preserve"> </w:t>
            </w:r>
            <w:r w:rsidRPr="008C761D">
              <w:rPr>
                <w:rFonts w:cs="Calibri"/>
                <w:sz w:val="18"/>
                <w:szCs w:val="18"/>
                <w:lang w:val="en-US"/>
              </w:rPr>
              <w:t>reforms, insufficient</w:t>
            </w:r>
            <w:r w:rsidR="00E83911" w:rsidRPr="008C761D">
              <w:rPr>
                <w:rFonts w:cs="Calibri"/>
                <w:sz w:val="18"/>
                <w:szCs w:val="18"/>
                <w:lang w:val="en-US"/>
              </w:rPr>
              <w:t xml:space="preserve"> </w:t>
            </w:r>
            <w:r w:rsidRPr="008C761D">
              <w:rPr>
                <w:rFonts w:cs="Calibri"/>
                <w:sz w:val="18"/>
                <w:szCs w:val="18"/>
                <w:lang w:val="en-US"/>
              </w:rPr>
              <w:t>staff</w:t>
            </w:r>
            <w:r w:rsidR="00E83911" w:rsidRPr="008C761D">
              <w:rPr>
                <w:rFonts w:cs="Calibri"/>
                <w:sz w:val="18"/>
                <w:szCs w:val="18"/>
                <w:lang w:val="en-US"/>
              </w:rPr>
              <w:t xml:space="preserve"> </w:t>
            </w:r>
            <w:r w:rsidRPr="008C761D">
              <w:rPr>
                <w:rFonts w:cs="Calibri"/>
                <w:sz w:val="18"/>
                <w:szCs w:val="18"/>
                <w:lang w:val="en-US"/>
              </w:rPr>
              <w:t>and</w:t>
            </w:r>
            <w:r w:rsidR="00E83911" w:rsidRPr="008C761D">
              <w:rPr>
                <w:rFonts w:cs="Calibri"/>
                <w:sz w:val="18"/>
                <w:szCs w:val="18"/>
                <w:lang w:val="en-US"/>
              </w:rPr>
              <w:t xml:space="preserve"> </w:t>
            </w:r>
            <w:r w:rsidRPr="008C761D">
              <w:rPr>
                <w:rFonts w:cs="Calibri"/>
                <w:sz w:val="18"/>
                <w:szCs w:val="18"/>
                <w:lang w:val="en-US"/>
              </w:rPr>
              <w:t>lack</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capacities, poor</w:t>
            </w:r>
            <w:r w:rsidR="00E83911" w:rsidRPr="008C761D">
              <w:rPr>
                <w:rFonts w:cs="Calibri"/>
                <w:sz w:val="18"/>
                <w:szCs w:val="18"/>
                <w:lang w:val="en-US"/>
              </w:rPr>
              <w:t xml:space="preserve"> </w:t>
            </w:r>
            <w:r w:rsidRPr="008C761D">
              <w:rPr>
                <w:rFonts w:cs="Calibri"/>
                <w:sz w:val="18"/>
                <w:szCs w:val="18"/>
                <w:lang w:val="en-US"/>
              </w:rPr>
              <w:t>coordination</w:t>
            </w:r>
            <w:r w:rsidR="00E83911" w:rsidRPr="008C761D">
              <w:rPr>
                <w:rFonts w:cs="Calibri"/>
                <w:sz w:val="18"/>
                <w:szCs w:val="18"/>
                <w:lang w:val="en-US"/>
              </w:rPr>
              <w:t xml:space="preserve"> </w:t>
            </w:r>
            <w:r w:rsidRPr="008C761D">
              <w:rPr>
                <w:rFonts w:cs="Calibri"/>
                <w:sz w:val="18"/>
                <w:szCs w:val="18"/>
                <w:lang w:val="en-US"/>
              </w:rPr>
              <w:t>between</w:t>
            </w:r>
            <w:r w:rsidR="00E83911" w:rsidRPr="008C761D">
              <w:rPr>
                <w:rFonts w:cs="Calibri"/>
                <w:sz w:val="18"/>
                <w:szCs w:val="18"/>
                <w:lang w:val="en-US"/>
              </w:rPr>
              <w:t xml:space="preserve"> </w:t>
            </w:r>
            <w:r w:rsidRPr="008C761D">
              <w:rPr>
                <w:rFonts w:cs="Calibri"/>
                <w:sz w:val="18"/>
                <w:szCs w:val="18"/>
                <w:lang w:val="en-US"/>
              </w:rPr>
              <w:t>institutions</w:t>
            </w:r>
            <w:r w:rsidR="005F75B4" w:rsidRPr="008C761D">
              <w:rPr>
                <w:rFonts w:cs="Calibri"/>
                <w:sz w:val="18"/>
                <w:szCs w:val="18"/>
                <w:lang w:val="en-US"/>
              </w:rPr>
              <w:t xml:space="preserve">, </w:t>
            </w:r>
          </w:p>
        </w:tc>
        <w:tc>
          <w:tcPr>
            <w:tcW w:w="2254" w:type="dxa"/>
            <w:vMerge w:val="restart"/>
            <w:shd w:val="clear" w:color="auto" w:fill="auto"/>
          </w:tcPr>
          <w:p w14:paraId="6EED3429" w14:textId="6CAC7A16" w:rsidR="005F75B4" w:rsidRPr="008C761D" w:rsidRDefault="005F75B4" w:rsidP="005F75B4">
            <w:pPr>
              <w:spacing w:after="0" w:line="240" w:lineRule="auto"/>
              <w:rPr>
                <w:rFonts w:cs="Calibri"/>
                <w:sz w:val="18"/>
                <w:szCs w:val="18"/>
                <w:lang w:val="en-US"/>
              </w:rPr>
            </w:pPr>
            <w:r w:rsidRPr="008C761D">
              <w:rPr>
                <w:rFonts w:cs="Calibri"/>
                <w:sz w:val="18"/>
                <w:szCs w:val="18"/>
                <w:lang w:val="en-US"/>
              </w:rPr>
              <w:t>Ministry</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Finance, BUs/SoEs/LSGUs</w:t>
            </w:r>
          </w:p>
          <w:p w14:paraId="1CF700EF" w14:textId="74B981CA" w:rsidR="005F75B4" w:rsidRPr="008C761D" w:rsidRDefault="005F75B4" w:rsidP="005F75B4">
            <w:pPr>
              <w:spacing w:after="0" w:line="240" w:lineRule="auto"/>
              <w:rPr>
                <w:rFonts w:cs="Calibri"/>
                <w:sz w:val="18"/>
                <w:szCs w:val="18"/>
                <w:lang w:val="en-US"/>
              </w:rPr>
            </w:pPr>
            <w:r w:rsidRPr="008C761D">
              <w:rPr>
                <w:rFonts w:cs="Calibri"/>
                <w:sz w:val="18"/>
                <w:szCs w:val="18"/>
                <w:lang w:val="en-US"/>
              </w:rPr>
              <w:t>Government</w:t>
            </w:r>
            <w:r w:rsidR="00134B6E">
              <w:rPr>
                <w:rFonts w:cs="Calibri"/>
                <w:sz w:val="18"/>
                <w:szCs w:val="18"/>
                <w:lang w:val="en-US"/>
              </w:rPr>
              <w:t xml:space="preserve"> </w:t>
            </w:r>
            <w:r w:rsidRPr="008C761D">
              <w:rPr>
                <w:rFonts w:cs="Calibri"/>
                <w:sz w:val="18"/>
                <w:szCs w:val="18"/>
                <w:lang w:val="en-US"/>
              </w:rPr>
              <w:t>Cabinet, Municipal</w:t>
            </w:r>
            <w:r w:rsidR="00E83911" w:rsidRPr="008C761D">
              <w:rPr>
                <w:rFonts w:cs="Calibri"/>
                <w:sz w:val="18"/>
                <w:szCs w:val="18"/>
                <w:lang w:val="en-US"/>
              </w:rPr>
              <w:t xml:space="preserve"> </w:t>
            </w:r>
            <w:r w:rsidRPr="008C761D">
              <w:rPr>
                <w:rFonts w:cs="Calibri"/>
                <w:sz w:val="18"/>
                <w:szCs w:val="18"/>
                <w:lang w:val="en-US"/>
              </w:rPr>
              <w:t>Council</w:t>
            </w:r>
          </w:p>
        </w:tc>
      </w:tr>
      <w:tr w:rsidR="005F75B4" w:rsidRPr="008C761D" w14:paraId="064AF0AB" w14:textId="77777777" w:rsidTr="00E935CF">
        <w:tc>
          <w:tcPr>
            <w:tcW w:w="562" w:type="dxa"/>
            <w:vMerge/>
            <w:shd w:val="clear" w:color="auto" w:fill="auto"/>
          </w:tcPr>
          <w:p w14:paraId="4833D029"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06C59EC6"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6668B84A" w14:textId="0D316439" w:rsidR="005F75B4" w:rsidRPr="008C761D" w:rsidRDefault="00134B6E" w:rsidP="005F75B4">
            <w:pPr>
              <w:spacing w:after="0" w:line="240" w:lineRule="auto"/>
              <w:rPr>
                <w:rFonts w:cs="Calibri"/>
                <w:sz w:val="18"/>
                <w:szCs w:val="18"/>
                <w:lang w:val="en-US"/>
              </w:rPr>
            </w:pPr>
            <w:r w:rsidRPr="008C761D">
              <w:rPr>
                <w:rFonts w:cs="Calibri"/>
                <w:sz w:val="18"/>
                <w:szCs w:val="18"/>
                <w:lang w:val="en-US"/>
              </w:rPr>
              <w:t>Insufficient staff</w:t>
            </w:r>
            <w:r w:rsidR="005F75B4" w:rsidRPr="008C761D">
              <w:rPr>
                <w:rFonts w:cs="Calibri"/>
                <w:sz w:val="18"/>
                <w:szCs w:val="18"/>
                <w:lang w:val="en-US"/>
              </w:rPr>
              <w:t>, lack</w:t>
            </w:r>
            <w:r w:rsidR="00762BE3" w:rsidRPr="008C761D">
              <w:rPr>
                <w:rFonts w:cs="Calibri"/>
                <w:sz w:val="18"/>
                <w:szCs w:val="18"/>
                <w:lang w:val="en-US"/>
              </w:rPr>
              <w:t xml:space="preserve"> </w:t>
            </w:r>
            <w:r w:rsidR="005F75B4" w:rsidRPr="008C761D">
              <w:rPr>
                <w:rFonts w:cs="Calibri"/>
                <w:sz w:val="18"/>
                <w:szCs w:val="18"/>
                <w:lang w:val="en-US"/>
              </w:rPr>
              <w:t>of</w:t>
            </w:r>
            <w:r w:rsidR="00762BE3" w:rsidRPr="008C761D">
              <w:rPr>
                <w:rFonts w:cs="Calibri"/>
                <w:sz w:val="18"/>
                <w:szCs w:val="18"/>
                <w:lang w:val="en-US"/>
              </w:rPr>
              <w:t xml:space="preserve"> </w:t>
            </w:r>
            <w:r w:rsidR="005F75B4" w:rsidRPr="008C761D">
              <w:rPr>
                <w:rFonts w:cs="Calibri"/>
                <w:sz w:val="18"/>
                <w:szCs w:val="18"/>
                <w:lang w:val="en-US"/>
              </w:rPr>
              <w:t>capacities, lack</w:t>
            </w:r>
            <w:r w:rsidR="00762BE3" w:rsidRPr="008C761D">
              <w:rPr>
                <w:rFonts w:cs="Calibri"/>
                <w:sz w:val="18"/>
                <w:szCs w:val="18"/>
                <w:lang w:val="en-US"/>
              </w:rPr>
              <w:t xml:space="preserve"> </w:t>
            </w:r>
            <w:r w:rsidR="005F75B4" w:rsidRPr="008C761D">
              <w:rPr>
                <w:rFonts w:cs="Calibri"/>
                <w:sz w:val="18"/>
                <w:szCs w:val="18"/>
                <w:lang w:val="en-US"/>
              </w:rPr>
              <w:t>of</w:t>
            </w:r>
            <w:r w:rsidR="00762BE3" w:rsidRPr="008C761D">
              <w:rPr>
                <w:rFonts w:cs="Calibri"/>
                <w:sz w:val="18"/>
                <w:szCs w:val="18"/>
                <w:lang w:val="en-US"/>
              </w:rPr>
              <w:t xml:space="preserve"> </w:t>
            </w:r>
            <w:r w:rsidR="005F75B4" w:rsidRPr="008C761D">
              <w:rPr>
                <w:rFonts w:cs="Calibri"/>
                <w:sz w:val="18"/>
                <w:szCs w:val="18"/>
                <w:lang w:val="en-US"/>
              </w:rPr>
              <w:t>coordination</w:t>
            </w:r>
            <w:r w:rsidR="00762BE3" w:rsidRPr="008C761D">
              <w:rPr>
                <w:rFonts w:cs="Calibri"/>
                <w:sz w:val="18"/>
                <w:szCs w:val="18"/>
                <w:lang w:val="en-US"/>
              </w:rPr>
              <w:t xml:space="preserve"> </w:t>
            </w:r>
            <w:r w:rsidR="005F75B4" w:rsidRPr="008C761D">
              <w:rPr>
                <w:rFonts w:cs="Calibri"/>
                <w:sz w:val="18"/>
                <w:szCs w:val="18"/>
                <w:lang w:val="en-US"/>
              </w:rPr>
              <w:t>between</w:t>
            </w:r>
            <w:r w:rsidR="00762BE3" w:rsidRPr="008C761D">
              <w:rPr>
                <w:rFonts w:cs="Calibri"/>
                <w:sz w:val="18"/>
                <w:szCs w:val="18"/>
                <w:lang w:val="en-US"/>
              </w:rPr>
              <w:t xml:space="preserve"> </w:t>
            </w:r>
            <w:r w:rsidR="005F75B4" w:rsidRPr="008C761D">
              <w:rPr>
                <w:rFonts w:cs="Calibri"/>
                <w:sz w:val="18"/>
                <w:szCs w:val="18"/>
                <w:lang w:val="en-US"/>
              </w:rPr>
              <w:t>institutions</w:t>
            </w:r>
            <w:r w:rsidR="00762BE3" w:rsidRPr="008C761D">
              <w:rPr>
                <w:rFonts w:cs="Calibri"/>
                <w:sz w:val="18"/>
                <w:szCs w:val="18"/>
                <w:lang w:val="en-US"/>
              </w:rPr>
              <w:t xml:space="preserve"> </w:t>
            </w:r>
            <w:r w:rsidR="005F75B4" w:rsidRPr="008C761D">
              <w:rPr>
                <w:rFonts w:cs="Calibri"/>
                <w:sz w:val="18"/>
                <w:szCs w:val="18"/>
                <w:lang w:val="en-US"/>
              </w:rPr>
              <w:t>and</w:t>
            </w:r>
            <w:r w:rsidR="00762BE3" w:rsidRPr="008C761D">
              <w:rPr>
                <w:rFonts w:cs="Calibri"/>
                <w:sz w:val="18"/>
                <w:szCs w:val="18"/>
                <w:lang w:val="en-US"/>
              </w:rPr>
              <w:t xml:space="preserve"> </w:t>
            </w:r>
            <w:r w:rsidR="005F75B4" w:rsidRPr="008C761D">
              <w:rPr>
                <w:rFonts w:cs="Calibri"/>
                <w:sz w:val="18"/>
                <w:szCs w:val="18"/>
                <w:lang w:val="en-US"/>
              </w:rPr>
              <w:t>lack</w:t>
            </w:r>
            <w:r w:rsidR="00762BE3" w:rsidRPr="008C761D">
              <w:rPr>
                <w:rFonts w:cs="Calibri"/>
                <w:sz w:val="18"/>
                <w:szCs w:val="18"/>
                <w:lang w:val="en-US"/>
              </w:rPr>
              <w:t xml:space="preserve"> </w:t>
            </w:r>
            <w:r w:rsidR="005F75B4" w:rsidRPr="008C761D">
              <w:rPr>
                <w:rFonts w:cs="Calibri"/>
                <w:sz w:val="18"/>
                <w:szCs w:val="18"/>
                <w:lang w:val="en-US"/>
              </w:rPr>
              <w:t>of</w:t>
            </w:r>
            <w:r w:rsidR="00762BE3" w:rsidRPr="008C761D">
              <w:rPr>
                <w:rFonts w:cs="Calibri"/>
                <w:sz w:val="18"/>
                <w:szCs w:val="18"/>
                <w:lang w:val="en-US"/>
              </w:rPr>
              <w:t xml:space="preserve"> </w:t>
            </w:r>
            <w:r w:rsidR="005F75B4" w:rsidRPr="008C761D">
              <w:rPr>
                <w:rFonts w:cs="Calibri"/>
                <w:sz w:val="18"/>
                <w:szCs w:val="18"/>
                <w:lang w:val="en-US"/>
              </w:rPr>
              <w:t>data</w:t>
            </w:r>
          </w:p>
        </w:tc>
        <w:tc>
          <w:tcPr>
            <w:tcW w:w="2254" w:type="dxa"/>
            <w:vMerge/>
            <w:shd w:val="clear" w:color="auto" w:fill="auto"/>
          </w:tcPr>
          <w:p w14:paraId="5A72EF15" w14:textId="77777777" w:rsidR="005F75B4" w:rsidRPr="008C761D" w:rsidRDefault="005F75B4" w:rsidP="005F75B4">
            <w:pPr>
              <w:spacing w:after="0" w:line="240" w:lineRule="auto"/>
              <w:rPr>
                <w:rFonts w:cs="Calibri"/>
                <w:sz w:val="18"/>
                <w:szCs w:val="18"/>
                <w:lang w:val="en-US"/>
              </w:rPr>
            </w:pPr>
          </w:p>
        </w:tc>
      </w:tr>
      <w:tr w:rsidR="005F75B4" w:rsidRPr="008C761D" w14:paraId="3C6BFE1A" w14:textId="77777777" w:rsidTr="00E935CF">
        <w:tc>
          <w:tcPr>
            <w:tcW w:w="562" w:type="dxa"/>
            <w:shd w:val="clear" w:color="auto" w:fill="auto"/>
          </w:tcPr>
          <w:p w14:paraId="03FF8327" w14:textId="77777777" w:rsidR="005F75B4" w:rsidRPr="008C761D" w:rsidRDefault="005F75B4" w:rsidP="005F75B4">
            <w:pPr>
              <w:spacing w:after="0" w:line="240" w:lineRule="auto"/>
              <w:rPr>
                <w:rFonts w:cs="Calibri"/>
                <w:sz w:val="18"/>
                <w:szCs w:val="18"/>
                <w:lang w:val="en-US"/>
              </w:rPr>
            </w:pPr>
            <w:r w:rsidRPr="008C761D">
              <w:rPr>
                <w:rFonts w:cs="Calibri"/>
                <w:sz w:val="18"/>
                <w:szCs w:val="18"/>
                <w:lang w:val="en-US"/>
              </w:rPr>
              <w:t>9</w:t>
            </w:r>
          </w:p>
        </w:tc>
        <w:tc>
          <w:tcPr>
            <w:tcW w:w="2381" w:type="dxa"/>
            <w:shd w:val="clear" w:color="auto" w:fill="auto"/>
          </w:tcPr>
          <w:p w14:paraId="7C571707" w14:textId="77777777" w:rsidR="005F75B4" w:rsidRPr="008C761D" w:rsidRDefault="005F75B4" w:rsidP="005F75B4">
            <w:pPr>
              <w:spacing w:after="0" w:line="240" w:lineRule="auto"/>
              <w:rPr>
                <w:rFonts w:cs="Calibri"/>
                <w:b/>
                <w:sz w:val="18"/>
                <w:szCs w:val="18"/>
                <w:lang w:val="en-US"/>
              </w:rPr>
            </w:pPr>
            <w:r w:rsidRPr="008C761D">
              <w:rPr>
                <w:rFonts w:cs="Calibri"/>
                <w:b/>
                <w:sz w:val="18"/>
                <w:szCs w:val="18"/>
                <w:lang w:val="en-US"/>
              </w:rPr>
              <w:t xml:space="preserve">Priority 3: </w:t>
            </w:r>
          </w:p>
          <w:p w14:paraId="341B59A9" w14:textId="31B1005D" w:rsidR="005F75B4" w:rsidRPr="008C761D" w:rsidRDefault="00310C4C" w:rsidP="00134B6E">
            <w:pPr>
              <w:spacing w:after="0" w:line="240" w:lineRule="auto"/>
              <w:rPr>
                <w:rFonts w:cs="Calibri"/>
                <w:sz w:val="18"/>
                <w:szCs w:val="18"/>
                <w:lang w:val="en-US"/>
              </w:rPr>
            </w:pPr>
            <w:r w:rsidRPr="008C761D">
              <w:rPr>
                <w:rFonts w:cs="Calibri"/>
                <w:sz w:val="18"/>
                <w:szCs w:val="18"/>
                <w:lang w:val="en-US"/>
              </w:rPr>
              <w:t>Strengthen</w:t>
            </w:r>
            <w:r w:rsidR="00E83911" w:rsidRPr="008C761D">
              <w:rPr>
                <w:rFonts w:cs="Calibri"/>
                <w:sz w:val="18"/>
                <w:szCs w:val="18"/>
                <w:lang w:val="en-US"/>
              </w:rPr>
              <w:t xml:space="preserve"> </w:t>
            </w:r>
            <w:r w:rsidRPr="008C761D">
              <w:rPr>
                <w:rFonts w:cs="Calibri"/>
                <w:sz w:val="18"/>
                <w:szCs w:val="18"/>
                <w:lang w:val="en-US"/>
              </w:rPr>
              <w:t>the</w:t>
            </w:r>
            <w:r w:rsidR="00E83911" w:rsidRPr="008C761D">
              <w:rPr>
                <w:rFonts w:cs="Calibri"/>
                <w:sz w:val="18"/>
                <w:szCs w:val="18"/>
                <w:lang w:val="en-US"/>
              </w:rPr>
              <w:t xml:space="preserve"> </w:t>
            </w:r>
            <w:r w:rsidRPr="008C761D">
              <w:rPr>
                <w:rFonts w:cs="Calibri"/>
                <w:sz w:val="18"/>
                <w:szCs w:val="18"/>
                <w:lang w:val="en-US"/>
              </w:rPr>
              <w:t>Accounting</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Budgets</w:t>
            </w:r>
            <w:r w:rsidR="00E83911" w:rsidRPr="008C761D">
              <w:rPr>
                <w:rFonts w:cs="Calibri"/>
                <w:sz w:val="18"/>
                <w:szCs w:val="18"/>
                <w:lang w:val="en-US"/>
              </w:rPr>
              <w:t xml:space="preserve"> </w:t>
            </w:r>
            <w:r w:rsidRPr="008C761D">
              <w:rPr>
                <w:rFonts w:cs="Calibri"/>
                <w:sz w:val="18"/>
                <w:szCs w:val="18"/>
                <w:lang w:val="en-US"/>
              </w:rPr>
              <w:t>and</w:t>
            </w:r>
            <w:r w:rsidR="00E83911" w:rsidRPr="008C761D">
              <w:rPr>
                <w:rFonts w:cs="Calibri"/>
                <w:sz w:val="18"/>
                <w:szCs w:val="18"/>
                <w:lang w:val="en-US"/>
              </w:rPr>
              <w:t xml:space="preserve"> </w:t>
            </w:r>
            <w:r w:rsidRPr="008C761D">
              <w:rPr>
                <w:rFonts w:cs="Calibri"/>
                <w:sz w:val="18"/>
                <w:szCs w:val="18"/>
                <w:lang w:val="en-US"/>
              </w:rPr>
              <w:t>Budget</w:t>
            </w:r>
            <w:r w:rsidR="00134B6E">
              <w:rPr>
                <w:rFonts w:cs="Calibri"/>
                <w:sz w:val="18"/>
                <w:szCs w:val="18"/>
                <w:lang w:val="en-US"/>
              </w:rPr>
              <w:t xml:space="preserve"> </w:t>
            </w:r>
            <w:r w:rsidRPr="008C761D">
              <w:rPr>
                <w:rFonts w:cs="Calibri"/>
                <w:sz w:val="18"/>
                <w:szCs w:val="18"/>
                <w:lang w:val="en-US"/>
              </w:rPr>
              <w:t>Users</w:t>
            </w:r>
          </w:p>
        </w:tc>
        <w:tc>
          <w:tcPr>
            <w:tcW w:w="3819" w:type="dxa"/>
            <w:shd w:val="clear" w:color="auto" w:fill="auto"/>
          </w:tcPr>
          <w:p w14:paraId="184B7473" w14:textId="08DDAA85" w:rsidR="005F75B4" w:rsidRPr="008C761D" w:rsidRDefault="00E83911" w:rsidP="005F75B4">
            <w:pPr>
              <w:spacing w:after="0" w:line="240" w:lineRule="auto"/>
              <w:rPr>
                <w:rFonts w:cs="Calibri"/>
                <w:sz w:val="18"/>
                <w:szCs w:val="18"/>
                <w:lang w:val="en-US"/>
              </w:rPr>
            </w:pPr>
            <w:r w:rsidRPr="008C761D">
              <w:rPr>
                <w:rFonts w:cs="Calibri"/>
                <w:sz w:val="18"/>
                <w:szCs w:val="18"/>
                <w:lang w:val="en-US"/>
              </w:rPr>
              <w:t>Insufficient human capacities for realization of this activity</w:t>
            </w:r>
          </w:p>
        </w:tc>
        <w:tc>
          <w:tcPr>
            <w:tcW w:w="2254" w:type="dxa"/>
            <w:shd w:val="clear" w:color="auto" w:fill="auto"/>
          </w:tcPr>
          <w:p w14:paraId="21BF2144" w14:textId="4CAD32DF" w:rsidR="005F75B4" w:rsidRPr="008C761D" w:rsidRDefault="00310C4C" w:rsidP="005F75B4">
            <w:pPr>
              <w:spacing w:after="0" w:line="240" w:lineRule="auto"/>
              <w:rPr>
                <w:rFonts w:cs="Calibri"/>
                <w:sz w:val="18"/>
                <w:szCs w:val="18"/>
                <w:lang w:val="en-US"/>
              </w:rPr>
            </w:pPr>
            <w:r w:rsidRPr="008C761D">
              <w:rPr>
                <w:rFonts w:eastAsia="Times New Roman" w:cs="Calibri"/>
                <w:color w:val="202124"/>
                <w:sz w:val="18"/>
                <w:szCs w:val="18"/>
                <w:lang w:val="en-US"/>
              </w:rPr>
              <w:t>Ministry of Finance</w:t>
            </w:r>
          </w:p>
        </w:tc>
      </w:tr>
      <w:tr w:rsidR="005F75B4" w:rsidRPr="008C761D" w14:paraId="1944F9CA" w14:textId="77777777" w:rsidTr="00E935CF">
        <w:tc>
          <w:tcPr>
            <w:tcW w:w="9016" w:type="dxa"/>
            <w:gridSpan w:val="4"/>
            <w:shd w:val="clear" w:color="auto" w:fill="D9E2F3"/>
          </w:tcPr>
          <w:p w14:paraId="16000177" w14:textId="08B9BC16" w:rsidR="005F75B4" w:rsidRPr="008C761D" w:rsidRDefault="005F75B4" w:rsidP="005F75B4">
            <w:pPr>
              <w:spacing w:after="0" w:line="240" w:lineRule="auto"/>
              <w:rPr>
                <w:rFonts w:cs="Calibri"/>
                <w:b/>
                <w:sz w:val="18"/>
                <w:szCs w:val="18"/>
                <w:lang w:val="en-US"/>
              </w:rPr>
            </w:pPr>
            <w:r w:rsidRPr="008C761D">
              <w:rPr>
                <w:rFonts w:cs="Calibri"/>
                <w:b/>
                <w:sz w:val="18"/>
                <w:szCs w:val="18"/>
                <w:lang w:val="en-US"/>
              </w:rPr>
              <w:t xml:space="preserve">PILLAR IV </w:t>
            </w:r>
            <w:r w:rsidR="004766CA" w:rsidRPr="008C761D">
              <w:rPr>
                <w:rFonts w:cs="Calibri"/>
                <w:b/>
                <w:sz w:val="18"/>
                <w:szCs w:val="18"/>
                <w:lang w:val="en-US"/>
              </w:rPr>
              <w:t>–</w:t>
            </w:r>
            <w:r w:rsidRPr="008C761D">
              <w:rPr>
                <w:rFonts w:cs="Calibri"/>
                <w:b/>
                <w:sz w:val="18"/>
                <w:szCs w:val="18"/>
                <w:lang w:val="en-US"/>
              </w:rPr>
              <w:t xml:space="preserve"> Public</w:t>
            </w:r>
            <w:r w:rsidR="004766CA" w:rsidRPr="008C761D">
              <w:rPr>
                <w:rFonts w:cs="Calibri"/>
                <w:b/>
                <w:sz w:val="18"/>
                <w:szCs w:val="18"/>
                <w:lang w:val="en-US"/>
              </w:rPr>
              <w:t xml:space="preserve"> </w:t>
            </w:r>
            <w:r w:rsidRPr="008C761D">
              <w:rPr>
                <w:rFonts w:cs="Calibri"/>
                <w:b/>
                <w:sz w:val="18"/>
                <w:szCs w:val="18"/>
                <w:lang w:val="en-US"/>
              </w:rPr>
              <w:t>procurement</w:t>
            </w:r>
          </w:p>
        </w:tc>
      </w:tr>
      <w:tr w:rsidR="005F75B4" w:rsidRPr="008C761D" w14:paraId="0AF59044" w14:textId="77777777" w:rsidTr="00E935CF">
        <w:tc>
          <w:tcPr>
            <w:tcW w:w="562" w:type="dxa"/>
            <w:vMerge w:val="restart"/>
            <w:shd w:val="clear" w:color="auto" w:fill="auto"/>
          </w:tcPr>
          <w:p w14:paraId="062F7FC5" w14:textId="77777777" w:rsidR="005F75B4" w:rsidRPr="008C761D" w:rsidRDefault="005F75B4" w:rsidP="005F75B4">
            <w:pPr>
              <w:spacing w:after="0" w:line="240" w:lineRule="auto"/>
              <w:rPr>
                <w:rFonts w:cs="Calibri"/>
                <w:sz w:val="18"/>
                <w:szCs w:val="18"/>
                <w:lang w:val="en-US"/>
              </w:rPr>
            </w:pPr>
            <w:r w:rsidRPr="008C761D">
              <w:rPr>
                <w:rFonts w:cs="Calibri"/>
                <w:sz w:val="18"/>
                <w:szCs w:val="18"/>
                <w:lang w:val="en-US"/>
              </w:rPr>
              <w:t>10</w:t>
            </w:r>
          </w:p>
        </w:tc>
        <w:tc>
          <w:tcPr>
            <w:tcW w:w="2381" w:type="dxa"/>
            <w:vMerge w:val="restart"/>
            <w:shd w:val="clear" w:color="auto" w:fill="auto"/>
          </w:tcPr>
          <w:p w14:paraId="674563AF" w14:textId="77777777" w:rsidR="005F75B4" w:rsidRPr="008C761D" w:rsidRDefault="005F75B4" w:rsidP="005F75B4">
            <w:pPr>
              <w:spacing w:after="0" w:line="240" w:lineRule="auto"/>
              <w:rPr>
                <w:rFonts w:eastAsia="Times New Roman" w:cs="Calibri"/>
                <w:b/>
                <w:color w:val="202124"/>
                <w:sz w:val="18"/>
                <w:szCs w:val="18"/>
                <w:lang w:val="en-US"/>
              </w:rPr>
            </w:pPr>
            <w:r w:rsidRPr="008C761D">
              <w:rPr>
                <w:rFonts w:eastAsia="Times New Roman" w:cs="Calibri"/>
                <w:b/>
                <w:color w:val="202124"/>
                <w:sz w:val="18"/>
                <w:szCs w:val="18"/>
                <w:lang w:val="en-US"/>
              </w:rPr>
              <w:t xml:space="preserve">Priority 1: </w:t>
            </w:r>
          </w:p>
          <w:p w14:paraId="6C0E1679" w14:textId="77777777" w:rsidR="005F75B4" w:rsidRPr="008C761D" w:rsidRDefault="005F75B4" w:rsidP="005F75B4">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Public Procurement Policy</w:t>
            </w:r>
          </w:p>
        </w:tc>
        <w:tc>
          <w:tcPr>
            <w:tcW w:w="3819" w:type="dxa"/>
            <w:shd w:val="clear" w:color="auto" w:fill="auto"/>
          </w:tcPr>
          <w:p w14:paraId="7381215B" w14:textId="77777777" w:rsidR="005F75B4" w:rsidRPr="008C761D" w:rsidRDefault="005F75B4" w:rsidP="005F75B4">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Adoption of Law Amending the Law on Public Procurement</w:t>
            </w:r>
          </w:p>
        </w:tc>
        <w:tc>
          <w:tcPr>
            <w:tcW w:w="2254" w:type="dxa"/>
            <w:vMerge w:val="restart"/>
            <w:shd w:val="clear" w:color="auto" w:fill="auto"/>
          </w:tcPr>
          <w:p w14:paraId="3BE99493" w14:textId="77777777" w:rsidR="005F75B4" w:rsidRPr="008C761D" w:rsidRDefault="005F75B4" w:rsidP="005F75B4">
            <w:pPr>
              <w:spacing w:after="0" w:line="240" w:lineRule="auto"/>
              <w:rPr>
                <w:rFonts w:cs="Calibri"/>
                <w:sz w:val="18"/>
                <w:szCs w:val="18"/>
                <w:lang w:val="en-US"/>
              </w:rPr>
            </w:pPr>
            <w:proofErr w:type="gramStart"/>
            <w:r w:rsidRPr="008C761D">
              <w:rPr>
                <w:rFonts w:cs="Calibri"/>
                <w:sz w:val="18"/>
                <w:szCs w:val="18"/>
                <w:lang w:val="en-US"/>
              </w:rPr>
              <w:t>PPB,  SAC</w:t>
            </w:r>
            <w:proofErr w:type="gramEnd"/>
          </w:p>
        </w:tc>
      </w:tr>
      <w:tr w:rsidR="005F75B4" w:rsidRPr="008C761D" w14:paraId="466A49AD" w14:textId="77777777" w:rsidTr="00E935CF">
        <w:tc>
          <w:tcPr>
            <w:tcW w:w="562" w:type="dxa"/>
            <w:vMerge/>
            <w:shd w:val="clear" w:color="auto" w:fill="auto"/>
          </w:tcPr>
          <w:p w14:paraId="09AC3169"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2DF03F2B"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74B42D09" w14:textId="2B856C9B" w:rsidR="005F75B4" w:rsidRPr="008C761D" w:rsidRDefault="005F75B4" w:rsidP="005F75B4">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Shortage of qualified trainers’</w:t>
            </w:r>
          </w:p>
        </w:tc>
        <w:tc>
          <w:tcPr>
            <w:tcW w:w="2254" w:type="dxa"/>
            <w:vMerge/>
            <w:shd w:val="clear" w:color="auto" w:fill="auto"/>
          </w:tcPr>
          <w:p w14:paraId="3F3098FF" w14:textId="77777777" w:rsidR="005F75B4" w:rsidRPr="008C761D" w:rsidRDefault="005F75B4" w:rsidP="005F75B4">
            <w:pPr>
              <w:spacing w:after="0" w:line="240" w:lineRule="auto"/>
              <w:rPr>
                <w:rFonts w:cs="Calibri"/>
                <w:sz w:val="18"/>
                <w:szCs w:val="18"/>
                <w:lang w:val="en-US"/>
              </w:rPr>
            </w:pPr>
          </w:p>
        </w:tc>
      </w:tr>
      <w:tr w:rsidR="005F75B4" w:rsidRPr="008C761D" w14:paraId="4C941E37" w14:textId="77777777" w:rsidTr="00E935CF">
        <w:tc>
          <w:tcPr>
            <w:tcW w:w="562" w:type="dxa"/>
            <w:vMerge/>
            <w:shd w:val="clear" w:color="auto" w:fill="auto"/>
          </w:tcPr>
          <w:p w14:paraId="76993FEC"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703624E9"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6832F94D" w14:textId="38A436BF" w:rsidR="005F75B4" w:rsidRPr="008C761D" w:rsidRDefault="005F75B4" w:rsidP="005F75B4">
            <w:pPr>
              <w:spacing w:after="0" w:line="240" w:lineRule="auto"/>
              <w:rPr>
                <w:rFonts w:cs="Calibri"/>
                <w:sz w:val="18"/>
                <w:szCs w:val="18"/>
                <w:lang w:val="en-US"/>
              </w:rPr>
            </w:pPr>
            <w:r w:rsidRPr="008C761D">
              <w:rPr>
                <w:rFonts w:eastAsia="Times New Roman" w:cs="Calibri"/>
                <w:color w:val="202124"/>
                <w:sz w:val="18"/>
                <w:szCs w:val="18"/>
                <w:lang w:val="en-US"/>
              </w:rPr>
              <w:t>Low attendance to training activities</w:t>
            </w:r>
          </w:p>
        </w:tc>
        <w:tc>
          <w:tcPr>
            <w:tcW w:w="2254" w:type="dxa"/>
            <w:vMerge/>
            <w:shd w:val="clear" w:color="auto" w:fill="auto"/>
          </w:tcPr>
          <w:p w14:paraId="0692E627" w14:textId="77777777" w:rsidR="005F75B4" w:rsidRPr="008C761D" w:rsidRDefault="005F75B4" w:rsidP="005F75B4">
            <w:pPr>
              <w:spacing w:after="0" w:line="240" w:lineRule="auto"/>
              <w:rPr>
                <w:rFonts w:cs="Calibri"/>
                <w:sz w:val="18"/>
                <w:szCs w:val="18"/>
                <w:lang w:val="en-US"/>
              </w:rPr>
            </w:pPr>
          </w:p>
        </w:tc>
      </w:tr>
      <w:tr w:rsidR="005F75B4" w:rsidRPr="008C761D" w14:paraId="18D3AFED" w14:textId="77777777" w:rsidTr="00E935CF">
        <w:tc>
          <w:tcPr>
            <w:tcW w:w="562" w:type="dxa"/>
            <w:vMerge/>
            <w:shd w:val="clear" w:color="auto" w:fill="auto"/>
          </w:tcPr>
          <w:p w14:paraId="6957F8B9"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6EEDBBC1"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3148C031" w14:textId="77777777" w:rsidR="005F75B4" w:rsidRPr="008C761D" w:rsidRDefault="005F75B4" w:rsidP="005F75B4">
            <w:pPr>
              <w:spacing w:after="0" w:line="240" w:lineRule="auto"/>
              <w:rPr>
                <w:rFonts w:cs="Calibri"/>
                <w:sz w:val="18"/>
                <w:szCs w:val="18"/>
                <w:lang w:val="en-US"/>
              </w:rPr>
            </w:pPr>
            <w:r w:rsidRPr="008C761D">
              <w:rPr>
                <w:rFonts w:eastAsia="Times New Roman" w:cs="Calibri"/>
                <w:color w:val="202124"/>
                <w:sz w:val="18"/>
                <w:szCs w:val="18"/>
                <w:lang w:val="en-US"/>
              </w:rPr>
              <w:t>Leaving of competent PPB employees</w:t>
            </w:r>
          </w:p>
        </w:tc>
        <w:tc>
          <w:tcPr>
            <w:tcW w:w="2254" w:type="dxa"/>
            <w:vMerge/>
            <w:shd w:val="clear" w:color="auto" w:fill="auto"/>
          </w:tcPr>
          <w:p w14:paraId="4F01F2FD" w14:textId="77777777" w:rsidR="005F75B4" w:rsidRPr="008C761D" w:rsidRDefault="005F75B4" w:rsidP="005F75B4">
            <w:pPr>
              <w:spacing w:after="0" w:line="240" w:lineRule="auto"/>
              <w:rPr>
                <w:rFonts w:cs="Calibri"/>
                <w:sz w:val="18"/>
                <w:szCs w:val="18"/>
                <w:lang w:val="en-US"/>
              </w:rPr>
            </w:pPr>
          </w:p>
        </w:tc>
      </w:tr>
      <w:tr w:rsidR="005F75B4" w:rsidRPr="008C761D" w14:paraId="590543E9" w14:textId="77777777" w:rsidTr="00E935CF">
        <w:tc>
          <w:tcPr>
            <w:tcW w:w="562" w:type="dxa"/>
            <w:vMerge/>
            <w:shd w:val="clear" w:color="auto" w:fill="auto"/>
          </w:tcPr>
          <w:p w14:paraId="0C10CCAD"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7B88B773"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46F2B63B" w14:textId="77777777" w:rsidR="005F75B4" w:rsidRPr="008C761D" w:rsidRDefault="005F75B4" w:rsidP="005F75B4">
            <w:pPr>
              <w:spacing w:after="0" w:line="240" w:lineRule="auto"/>
              <w:rPr>
                <w:rFonts w:cs="Calibri"/>
                <w:sz w:val="18"/>
                <w:szCs w:val="18"/>
                <w:lang w:val="en-US"/>
              </w:rPr>
            </w:pPr>
            <w:r w:rsidRPr="008C761D">
              <w:rPr>
                <w:rFonts w:eastAsia="Times New Roman" w:cs="Calibri"/>
                <w:color w:val="202124"/>
                <w:sz w:val="18"/>
                <w:szCs w:val="18"/>
                <w:lang w:val="en-US"/>
              </w:rPr>
              <w:t>Inappropriate detecting of the weaknesses in the system and the issues for improvement</w:t>
            </w:r>
          </w:p>
        </w:tc>
        <w:tc>
          <w:tcPr>
            <w:tcW w:w="2254" w:type="dxa"/>
            <w:vMerge/>
            <w:shd w:val="clear" w:color="auto" w:fill="auto"/>
          </w:tcPr>
          <w:p w14:paraId="6845CE39" w14:textId="77777777" w:rsidR="005F75B4" w:rsidRPr="008C761D" w:rsidRDefault="005F75B4" w:rsidP="005F75B4">
            <w:pPr>
              <w:spacing w:after="0" w:line="240" w:lineRule="auto"/>
              <w:rPr>
                <w:rFonts w:cs="Calibri"/>
                <w:sz w:val="18"/>
                <w:szCs w:val="18"/>
                <w:lang w:val="en-US"/>
              </w:rPr>
            </w:pPr>
          </w:p>
        </w:tc>
      </w:tr>
      <w:tr w:rsidR="005F75B4" w:rsidRPr="008C761D" w14:paraId="518DA806" w14:textId="77777777" w:rsidTr="007E7DA5">
        <w:trPr>
          <w:trHeight w:val="277"/>
        </w:trPr>
        <w:tc>
          <w:tcPr>
            <w:tcW w:w="562" w:type="dxa"/>
            <w:vMerge/>
            <w:shd w:val="clear" w:color="auto" w:fill="auto"/>
          </w:tcPr>
          <w:p w14:paraId="30C5533A"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1D169E48" w14:textId="77777777" w:rsidR="005F75B4" w:rsidRPr="008C761D" w:rsidRDefault="005F75B4" w:rsidP="005F75B4">
            <w:pPr>
              <w:spacing w:after="0" w:line="240" w:lineRule="auto"/>
              <w:rPr>
                <w:rFonts w:cs="Calibri"/>
                <w:sz w:val="18"/>
                <w:szCs w:val="18"/>
                <w:lang w:val="en-US"/>
              </w:rPr>
            </w:pPr>
          </w:p>
        </w:tc>
        <w:tc>
          <w:tcPr>
            <w:tcW w:w="3819" w:type="dxa"/>
            <w:shd w:val="clear" w:color="auto" w:fill="auto"/>
          </w:tcPr>
          <w:p w14:paraId="07C2EB34" w14:textId="77777777" w:rsidR="005F75B4" w:rsidRPr="008C761D" w:rsidRDefault="005F75B4" w:rsidP="005F75B4">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 xml:space="preserve">Possible outflow of SAC qualified employees and cause </w:t>
            </w:r>
            <w:proofErr w:type="gramStart"/>
            <w:r w:rsidRPr="008C761D">
              <w:rPr>
                <w:rFonts w:eastAsia="Times New Roman" w:cs="Calibri"/>
                <w:color w:val="202124"/>
                <w:sz w:val="18"/>
                <w:szCs w:val="18"/>
                <w:lang w:val="en-US"/>
              </w:rPr>
              <w:t>of  difficulties</w:t>
            </w:r>
            <w:proofErr w:type="gramEnd"/>
            <w:r w:rsidRPr="008C761D">
              <w:rPr>
                <w:rFonts w:eastAsia="Times New Roman" w:cs="Calibri"/>
                <w:color w:val="202124"/>
                <w:sz w:val="18"/>
                <w:szCs w:val="18"/>
                <w:lang w:val="en-US"/>
              </w:rPr>
              <w:t xml:space="preserve"> in the functioning of SAC</w:t>
            </w:r>
          </w:p>
        </w:tc>
        <w:tc>
          <w:tcPr>
            <w:tcW w:w="2254" w:type="dxa"/>
            <w:vMerge/>
            <w:shd w:val="clear" w:color="auto" w:fill="auto"/>
          </w:tcPr>
          <w:p w14:paraId="5BC5E276" w14:textId="77777777" w:rsidR="005F75B4" w:rsidRPr="008C761D" w:rsidRDefault="005F75B4" w:rsidP="005F75B4">
            <w:pPr>
              <w:spacing w:after="0" w:line="240" w:lineRule="auto"/>
              <w:rPr>
                <w:rFonts w:cs="Calibri"/>
                <w:sz w:val="18"/>
                <w:szCs w:val="18"/>
                <w:lang w:val="en-US"/>
              </w:rPr>
            </w:pPr>
          </w:p>
        </w:tc>
      </w:tr>
      <w:tr w:rsidR="005F75B4" w:rsidRPr="008C761D" w14:paraId="015DF0CE" w14:textId="77777777" w:rsidTr="00E935CF">
        <w:trPr>
          <w:trHeight w:val="276"/>
        </w:trPr>
        <w:tc>
          <w:tcPr>
            <w:tcW w:w="562" w:type="dxa"/>
            <w:vMerge/>
            <w:shd w:val="clear" w:color="auto" w:fill="auto"/>
          </w:tcPr>
          <w:p w14:paraId="4273E23E"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72BB4C39" w14:textId="77777777" w:rsidR="005F75B4" w:rsidRPr="008C761D" w:rsidRDefault="005F75B4" w:rsidP="005F75B4">
            <w:pPr>
              <w:spacing w:after="0" w:line="240" w:lineRule="auto"/>
              <w:rPr>
                <w:rFonts w:cs="Calibri"/>
                <w:sz w:val="18"/>
                <w:szCs w:val="18"/>
                <w:lang w:val="en-US"/>
              </w:rPr>
            </w:pPr>
          </w:p>
        </w:tc>
        <w:tc>
          <w:tcPr>
            <w:tcW w:w="3819" w:type="dxa"/>
            <w:shd w:val="clear" w:color="auto" w:fill="auto"/>
          </w:tcPr>
          <w:p w14:paraId="16680F89" w14:textId="77777777" w:rsidR="005F75B4" w:rsidRPr="008C761D" w:rsidRDefault="005F75B4" w:rsidP="005F75B4">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SAC system failure</w:t>
            </w:r>
          </w:p>
        </w:tc>
        <w:tc>
          <w:tcPr>
            <w:tcW w:w="2254" w:type="dxa"/>
            <w:vMerge/>
            <w:shd w:val="clear" w:color="auto" w:fill="auto"/>
          </w:tcPr>
          <w:p w14:paraId="3128B2BE" w14:textId="77777777" w:rsidR="005F75B4" w:rsidRPr="008C761D" w:rsidRDefault="005F75B4" w:rsidP="005F75B4">
            <w:pPr>
              <w:spacing w:after="0" w:line="240" w:lineRule="auto"/>
              <w:rPr>
                <w:rFonts w:cs="Calibri"/>
                <w:sz w:val="18"/>
                <w:szCs w:val="18"/>
                <w:lang w:val="en-US"/>
              </w:rPr>
            </w:pPr>
          </w:p>
        </w:tc>
      </w:tr>
      <w:tr w:rsidR="005F75B4" w:rsidRPr="008C761D" w14:paraId="1DE706CB" w14:textId="77777777" w:rsidTr="00E935CF">
        <w:tc>
          <w:tcPr>
            <w:tcW w:w="562" w:type="dxa"/>
            <w:vMerge w:val="restart"/>
            <w:shd w:val="clear" w:color="auto" w:fill="auto"/>
          </w:tcPr>
          <w:p w14:paraId="0BEBB0C8" w14:textId="77777777" w:rsidR="005F75B4" w:rsidRPr="008C761D" w:rsidRDefault="005F75B4" w:rsidP="005F75B4">
            <w:pPr>
              <w:spacing w:after="0" w:line="240" w:lineRule="auto"/>
              <w:rPr>
                <w:rFonts w:cs="Calibri"/>
                <w:sz w:val="18"/>
                <w:szCs w:val="18"/>
                <w:lang w:val="en-US"/>
              </w:rPr>
            </w:pPr>
            <w:r w:rsidRPr="008C761D">
              <w:rPr>
                <w:rFonts w:cs="Calibri"/>
                <w:sz w:val="18"/>
                <w:szCs w:val="18"/>
                <w:lang w:val="en-US"/>
              </w:rPr>
              <w:t>11</w:t>
            </w:r>
          </w:p>
        </w:tc>
        <w:tc>
          <w:tcPr>
            <w:tcW w:w="2381" w:type="dxa"/>
            <w:vMerge w:val="restart"/>
            <w:shd w:val="clear" w:color="auto" w:fill="auto"/>
          </w:tcPr>
          <w:p w14:paraId="6BE9A6FF" w14:textId="77777777" w:rsidR="005F75B4" w:rsidRPr="008C761D" w:rsidRDefault="005F75B4" w:rsidP="005F75B4">
            <w:pPr>
              <w:spacing w:after="0" w:line="240" w:lineRule="auto"/>
              <w:rPr>
                <w:rFonts w:cs="Calibri"/>
                <w:b/>
                <w:sz w:val="18"/>
                <w:szCs w:val="18"/>
                <w:lang w:val="en-US"/>
              </w:rPr>
            </w:pPr>
            <w:r w:rsidRPr="008C761D">
              <w:rPr>
                <w:rFonts w:cs="Calibri"/>
                <w:b/>
                <w:sz w:val="18"/>
                <w:szCs w:val="18"/>
                <w:lang w:val="en-US"/>
              </w:rPr>
              <w:t xml:space="preserve">Priority 2: </w:t>
            </w:r>
          </w:p>
          <w:p w14:paraId="7DB86EC5" w14:textId="46AF4810" w:rsidR="005F75B4" w:rsidRPr="008C761D" w:rsidRDefault="005F75B4" w:rsidP="005F75B4">
            <w:pPr>
              <w:spacing w:after="0" w:line="240" w:lineRule="auto"/>
              <w:rPr>
                <w:rFonts w:cs="Calibri"/>
                <w:sz w:val="18"/>
                <w:szCs w:val="18"/>
                <w:lang w:val="en-US"/>
              </w:rPr>
            </w:pPr>
            <w:r w:rsidRPr="008C761D">
              <w:rPr>
                <w:rFonts w:cs="Calibri"/>
                <w:sz w:val="18"/>
                <w:szCs w:val="18"/>
                <w:lang w:val="en-US"/>
              </w:rPr>
              <w:t>Public</w:t>
            </w:r>
            <w:r w:rsidR="00134B6E">
              <w:rPr>
                <w:rFonts w:cs="Calibri"/>
                <w:sz w:val="18"/>
                <w:szCs w:val="18"/>
                <w:lang w:val="en-US"/>
              </w:rPr>
              <w:t xml:space="preserve"> </w:t>
            </w:r>
            <w:r w:rsidRPr="008C761D">
              <w:rPr>
                <w:rFonts w:cs="Calibri"/>
                <w:sz w:val="18"/>
                <w:szCs w:val="18"/>
                <w:lang w:val="en-US"/>
              </w:rPr>
              <w:t>Private</w:t>
            </w:r>
            <w:r w:rsidR="00134B6E">
              <w:rPr>
                <w:rFonts w:cs="Calibri"/>
                <w:sz w:val="18"/>
                <w:szCs w:val="18"/>
                <w:lang w:val="en-US"/>
              </w:rPr>
              <w:t xml:space="preserve"> </w:t>
            </w:r>
            <w:r w:rsidRPr="008C761D">
              <w:rPr>
                <w:rFonts w:cs="Calibri"/>
                <w:sz w:val="18"/>
                <w:szCs w:val="18"/>
                <w:lang w:val="en-US"/>
              </w:rPr>
              <w:t>Partnerships (PPPs)</w:t>
            </w:r>
            <w:r w:rsidR="006A55CA" w:rsidRPr="008C761D">
              <w:rPr>
                <w:rFonts w:cs="Calibri"/>
                <w:sz w:val="18"/>
                <w:szCs w:val="18"/>
                <w:lang w:val="en-US"/>
              </w:rPr>
              <w:t>and</w:t>
            </w:r>
            <w:r w:rsidR="00134B6E">
              <w:rPr>
                <w:rFonts w:cs="Calibri"/>
                <w:sz w:val="18"/>
                <w:szCs w:val="18"/>
                <w:lang w:val="en-US"/>
              </w:rPr>
              <w:t xml:space="preserve"> </w:t>
            </w:r>
            <w:r w:rsidR="00134B6E" w:rsidRPr="008C761D">
              <w:rPr>
                <w:rFonts w:cs="Calibri"/>
                <w:sz w:val="18"/>
                <w:szCs w:val="18"/>
                <w:lang w:val="en-US"/>
              </w:rPr>
              <w:t>Concession on</w:t>
            </w:r>
            <w:r w:rsidR="00134B6E">
              <w:rPr>
                <w:rFonts w:cs="Calibri"/>
                <w:sz w:val="18"/>
                <w:szCs w:val="18"/>
                <w:lang w:val="en-US"/>
              </w:rPr>
              <w:t xml:space="preserve"> </w:t>
            </w:r>
            <w:r w:rsidR="006A55CA" w:rsidRPr="008C761D">
              <w:rPr>
                <w:rFonts w:cs="Calibri"/>
                <w:sz w:val="18"/>
                <w:szCs w:val="18"/>
                <w:lang w:val="en-US"/>
              </w:rPr>
              <w:t>goods</w:t>
            </w:r>
            <w:r w:rsidR="00134B6E">
              <w:rPr>
                <w:rFonts w:cs="Calibri"/>
                <w:sz w:val="18"/>
                <w:szCs w:val="18"/>
                <w:lang w:val="en-US"/>
              </w:rPr>
              <w:t xml:space="preserve"> </w:t>
            </w:r>
            <w:r w:rsidR="006A55CA" w:rsidRPr="008C761D">
              <w:rPr>
                <w:rFonts w:cs="Calibri"/>
                <w:sz w:val="18"/>
                <w:szCs w:val="18"/>
                <w:lang w:val="en-US"/>
              </w:rPr>
              <w:t>of</w:t>
            </w:r>
            <w:r w:rsidR="00134B6E">
              <w:rPr>
                <w:rFonts w:cs="Calibri"/>
                <w:sz w:val="18"/>
                <w:szCs w:val="18"/>
                <w:lang w:val="en-US"/>
              </w:rPr>
              <w:t xml:space="preserve"> </w:t>
            </w:r>
            <w:r w:rsidR="006A55CA" w:rsidRPr="008C761D">
              <w:rPr>
                <w:rFonts w:cs="Calibri"/>
                <w:sz w:val="18"/>
                <w:szCs w:val="18"/>
                <w:lang w:val="en-US"/>
              </w:rPr>
              <w:t>general</w:t>
            </w:r>
            <w:r w:rsidR="00134B6E">
              <w:rPr>
                <w:rFonts w:cs="Calibri"/>
                <w:sz w:val="18"/>
                <w:szCs w:val="18"/>
                <w:lang w:val="en-US"/>
              </w:rPr>
              <w:t xml:space="preserve"> </w:t>
            </w:r>
            <w:r w:rsidR="006A55CA" w:rsidRPr="008C761D">
              <w:rPr>
                <w:rFonts w:cs="Calibri"/>
                <w:sz w:val="18"/>
                <w:szCs w:val="18"/>
                <w:lang w:val="en-US"/>
              </w:rPr>
              <w:t>interest</w:t>
            </w:r>
          </w:p>
        </w:tc>
        <w:tc>
          <w:tcPr>
            <w:tcW w:w="3819" w:type="dxa"/>
            <w:shd w:val="clear" w:color="auto" w:fill="auto"/>
          </w:tcPr>
          <w:p w14:paraId="277E73FA" w14:textId="4944479B" w:rsidR="005F75B4" w:rsidRPr="008C761D" w:rsidRDefault="006A55CA" w:rsidP="005F75B4">
            <w:pPr>
              <w:spacing w:after="0" w:line="240" w:lineRule="auto"/>
              <w:rPr>
                <w:rFonts w:cs="Calibri"/>
                <w:sz w:val="18"/>
                <w:szCs w:val="18"/>
                <w:lang w:val="en-US"/>
              </w:rPr>
            </w:pPr>
            <w:r w:rsidRPr="008C761D">
              <w:rPr>
                <w:rFonts w:eastAsia="Times New Roman" w:cs="Calibri"/>
                <w:sz w:val="18"/>
                <w:szCs w:val="18"/>
                <w:lang w:val="en-US"/>
              </w:rPr>
              <w:t>Inability to provide financial and technical assistance, breach of deadlines for the establishment of the Unique Electronic System for Public Private Partnership which is crucial for implementation of the Law on PPP.</w:t>
            </w:r>
          </w:p>
        </w:tc>
        <w:tc>
          <w:tcPr>
            <w:tcW w:w="2254" w:type="dxa"/>
            <w:vMerge w:val="restart"/>
            <w:shd w:val="clear" w:color="auto" w:fill="auto"/>
          </w:tcPr>
          <w:p w14:paraId="393413C4" w14:textId="77777777" w:rsidR="005F75B4" w:rsidRPr="008C761D" w:rsidRDefault="005F75B4" w:rsidP="005F75B4">
            <w:pPr>
              <w:spacing w:after="0" w:line="240" w:lineRule="auto"/>
              <w:rPr>
                <w:rFonts w:cs="Calibri"/>
                <w:sz w:val="18"/>
                <w:szCs w:val="18"/>
                <w:lang w:val="en-US"/>
              </w:rPr>
            </w:pPr>
            <w:r w:rsidRPr="008C761D">
              <w:rPr>
                <w:rFonts w:eastAsia="Times New Roman" w:cs="Calibri"/>
                <w:color w:val="202124"/>
                <w:sz w:val="18"/>
                <w:szCs w:val="18"/>
                <w:lang w:val="en-US"/>
              </w:rPr>
              <w:t>Ministry of Economy</w:t>
            </w:r>
          </w:p>
        </w:tc>
      </w:tr>
      <w:tr w:rsidR="005F75B4" w:rsidRPr="008C761D" w14:paraId="0BB89FB9" w14:textId="77777777" w:rsidTr="00E935CF">
        <w:tc>
          <w:tcPr>
            <w:tcW w:w="562" w:type="dxa"/>
            <w:vMerge/>
            <w:shd w:val="clear" w:color="auto" w:fill="auto"/>
          </w:tcPr>
          <w:p w14:paraId="42FC6340"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67786F5B" w14:textId="77777777" w:rsidR="005F75B4" w:rsidRPr="008C761D" w:rsidRDefault="005F75B4" w:rsidP="005F75B4">
            <w:pPr>
              <w:spacing w:after="0" w:line="240" w:lineRule="auto"/>
              <w:rPr>
                <w:rFonts w:cs="Calibri"/>
                <w:sz w:val="18"/>
                <w:szCs w:val="18"/>
                <w:lang w:val="en-US"/>
              </w:rPr>
            </w:pPr>
          </w:p>
        </w:tc>
        <w:tc>
          <w:tcPr>
            <w:tcW w:w="3819" w:type="dxa"/>
            <w:shd w:val="clear" w:color="auto" w:fill="auto"/>
          </w:tcPr>
          <w:p w14:paraId="1254DF7C" w14:textId="73901797" w:rsidR="005F75B4" w:rsidRPr="008C761D" w:rsidRDefault="00762BE3" w:rsidP="005F75B4">
            <w:pPr>
              <w:spacing w:after="0" w:line="240" w:lineRule="auto"/>
              <w:rPr>
                <w:rFonts w:cs="Calibri"/>
                <w:sz w:val="18"/>
                <w:szCs w:val="18"/>
                <w:lang w:val="en-US"/>
              </w:rPr>
            </w:pPr>
            <w:r w:rsidRPr="008C761D">
              <w:rPr>
                <w:rFonts w:cs="Calibri"/>
                <w:sz w:val="18"/>
                <w:szCs w:val="18"/>
                <w:lang w:val="en-US"/>
              </w:rPr>
              <w:t>Extension of deadlines for adoption of bylaws.</w:t>
            </w:r>
          </w:p>
        </w:tc>
        <w:tc>
          <w:tcPr>
            <w:tcW w:w="2254" w:type="dxa"/>
            <w:vMerge/>
            <w:shd w:val="clear" w:color="auto" w:fill="auto"/>
          </w:tcPr>
          <w:p w14:paraId="5D0E6153" w14:textId="77777777" w:rsidR="005F75B4" w:rsidRPr="008C761D" w:rsidRDefault="005F75B4" w:rsidP="005F75B4">
            <w:pPr>
              <w:spacing w:after="0" w:line="240" w:lineRule="auto"/>
              <w:rPr>
                <w:rFonts w:cs="Calibri"/>
                <w:sz w:val="18"/>
                <w:szCs w:val="18"/>
                <w:lang w:val="en-US"/>
              </w:rPr>
            </w:pPr>
          </w:p>
        </w:tc>
      </w:tr>
      <w:tr w:rsidR="005F75B4" w:rsidRPr="008C761D" w14:paraId="4CC9B547" w14:textId="77777777" w:rsidTr="00E935CF">
        <w:tc>
          <w:tcPr>
            <w:tcW w:w="562" w:type="dxa"/>
            <w:vMerge/>
            <w:shd w:val="clear" w:color="auto" w:fill="auto"/>
          </w:tcPr>
          <w:p w14:paraId="44D42545"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19A6903A" w14:textId="77777777" w:rsidR="005F75B4" w:rsidRPr="008C761D" w:rsidRDefault="005F75B4" w:rsidP="005F75B4">
            <w:pPr>
              <w:spacing w:after="0" w:line="240" w:lineRule="auto"/>
              <w:rPr>
                <w:rFonts w:cs="Calibri"/>
                <w:sz w:val="18"/>
                <w:szCs w:val="18"/>
                <w:lang w:val="en-US"/>
              </w:rPr>
            </w:pPr>
          </w:p>
        </w:tc>
        <w:tc>
          <w:tcPr>
            <w:tcW w:w="3819" w:type="dxa"/>
            <w:shd w:val="clear" w:color="auto" w:fill="auto"/>
          </w:tcPr>
          <w:p w14:paraId="25F7B17A" w14:textId="17EDBE54" w:rsidR="005F75B4" w:rsidRPr="008C761D" w:rsidRDefault="00762BE3" w:rsidP="005F75B4">
            <w:pPr>
              <w:spacing w:after="0" w:line="240" w:lineRule="auto"/>
              <w:rPr>
                <w:rFonts w:cs="Calibri"/>
                <w:sz w:val="18"/>
                <w:szCs w:val="18"/>
                <w:lang w:val="en-US"/>
              </w:rPr>
            </w:pPr>
            <w:r w:rsidRPr="008C761D">
              <w:rPr>
                <w:rFonts w:cs="Calibri"/>
                <w:sz w:val="18"/>
                <w:szCs w:val="18"/>
                <w:lang w:val="en-US"/>
              </w:rPr>
              <w:t>Difficult functioning and execution of the determined competencies in accordance with the law because of low capacity of the employees in the Ministry of economy in the Unit of public private partnership and concession.</w:t>
            </w:r>
          </w:p>
        </w:tc>
        <w:tc>
          <w:tcPr>
            <w:tcW w:w="2254" w:type="dxa"/>
            <w:vMerge/>
            <w:shd w:val="clear" w:color="auto" w:fill="auto"/>
          </w:tcPr>
          <w:p w14:paraId="2A6055D6" w14:textId="77777777" w:rsidR="005F75B4" w:rsidRPr="008C761D" w:rsidRDefault="005F75B4" w:rsidP="005F75B4">
            <w:pPr>
              <w:spacing w:after="0" w:line="240" w:lineRule="auto"/>
              <w:rPr>
                <w:rFonts w:cs="Calibri"/>
                <w:sz w:val="18"/>
                <w:szCs w:val="18"/>
                <w:lang w:val="en-US"/>
              </w:rPr>
            </w:pPr>
          </w:p>
        </w:tc>
      </w:tr>
      <w:tr w:rsidR="005F75B4" w:rsidRPr="008C761D" w14:paraId="30F08ADE" w14:textId="77777777" w:rsidTr="00E935CF">
        <w:tc>
          <w:tcPr>
            <w:tcW w:w="9016" w:type="dxa"/>
            <w:gridSpan w:val="4"/>
            <w:shd w:val="clear" w:color="auto" w:fill="D9E2F3"/>
          </w:tcPr>
          <w:p w14:paraId="713C4A05" w14:textId="0D727519" w:rsidR="005F75B4" w:rsidRPr="008C761D" w:rsidRDefault="005F75B4" w:rsidP="002B305F">
            <w:pPr>
              <w:spacing w:after="0" w:line="240" w:lineRule="auto"/>
              <w:rPr>
                <w:rFonts w:cs="Calibri"/>
                <w:b/>
                <w:sz w:val="18"/>
                <w:szCs w:val="18"/>
                <w:lang w:val="en-US"/>
              </w:rPr>
            </w:pPr>
            <w:r w:rsidRPr="008C761D">
              <w:rPr>
                <w:rFonts w:cs="Calibri"/>
                <w:b/>
                <w:sz w:val="18"/>
                <w:szCs w:val="18"/>
                <w:lang w:val="en-US"/>
              </w:rPr>
              <w:t xml:space="preserve">PILLAR V </w:t>
            </w:r>
            <w:proofErr w:type="gramStart"/>
            <w:r w:rsidR="004766CA" w:rsidRPr="008C761D">
              <w:rPr>
                <w:rFonts w:cs="Calibri"/>
                <w:b/>
                <w:sz w:val="18"/>
                <w:szCs w:val="18"/>
                <w:lang w:val="en-US"/>
              </w:rPr>
              <w:t>–</w:t>
            </w:r>
            <w:r w:rsidRPr="008C761D">
              <w:rPr>
                <w:rFonts w:cs="Calibri"/>
                <w:b/>
                <w:sz w:val="18"/>
                <w:szCs w:val="18"/>
                <w:lang w:val="en-US"/>
              </w:rPr>
              <w:t xml:space="preserve"> </w:t>
            </w:r>
            <w:r w:rsidR="002B305F" w:rsidRPr="002B305F">
              <w:rPr>
                <w:rFonts w:cs="Calibri"/>
                <w:b/>
                <w:sz w:val="18"/>
                <w:szCs w:val="18"/>
                <w:lang w:val="en-US"/>
              </w:rPr>
              <w:t xml:space="preserve"> </w:t>
            </w:r>
            <w:r w:rsidR="00A95DBA" w:rsidRPr="00A95DBA">
              <w:rPr>
                <w:rFonts w:cs="Calibri"/>
                <w:b/>
                <w:sz w:val="18"/>
                <w:szCs w:val="18"/>
                <w:lang w:val="en-US"/>
              </w:rPr>
              <w:t>Public</w:t>
            </w:r>
            <w:proofErr w:type="gramEnd"/>
            <w:r w:rsidR="00A95DBA" w:rsidRPr="00A95DBA">
              <w:rPr>
                <w:rFonts w:cs="Calibri"/>
                <w:b/>
                <w:sz w:val="18"/>
                <w:szCs w:val="18"/>
                <w:lang w:val="en-US"/>
              </w:rPr>
              <w:t xml:space="preserve"> finance digitalisation and </w:t>
            </w:r>
            <w:r w:rsidR="001111E8" w:rsidRPr="001111E8">
              <w:rPr>
                <w:rFonts w:cs="Calibri"/>
                <w:b/>
                <w:sz w:val="18"/>
                <w:szCs w:val="18"/>
                <w:lang w:val="en-US"/>
              </w:rPr>
              <w:t>continuоus</w:t>
            </w:r>
            <w:r w:rsidR="00A95DBA" w:rsidRPr="00A95DBA">
              <w:rPr>
                <w:rFonts w:cs="Calibri"/>
                <w:b/>
                <w:sz w:val="18"/>
                <w:szCs w:val="18"/>
                <w:lang w:val="en-US"/>
              </w:rPr>
              <w:t> learning</w:t>
            </w:r>
          </w:p>
        </w:tc>
      </w:tr>
      <w:tr w:rsidR="005F75B4" w:rsidRPr="008C761D" w14:paraId="205080D2" w14:textId="77777777" w:rsidTr="00E935CF">
        <w:tc>
          <w:tcPr>
            <w:tcW w:w="562" w:type="dxa"/>
            <w:vMerge w:val="restart"/>
            <w:shd w:val="clear" w:color="auto" w:fill="auto"/>
          </w:tcPr>
          <w:p w14:paraId="170C339A" w14:textId="509CBD6C" w:rsidR="005F75B4" w:rsidRPr="008C761D" w:rsidRDefault="00036FD5" w:rsidP="005F75B4">
            <w:pPr>
              <w:spacing w:after="0" w:line="240" w:lineRule="auto"/>
              <w:rPr>
                <w:rFonts w:cs="Calibri"/>
                <w:sz w:val="18"/>
                <w:szCs w:val="18"/>
                <w:lang w:val="en-US"/>
              </w:rPr>
            </w:pPr>
            <w:r>
              <w:rPr>
                <w:rFonts w:cs="Calibri"/>
                <w:sz w:val="18"/>
                <w:szCs w:val="18"/>
                <w:lang w:val="en-US"/>
              </w:rPr>
              <w:t>12</w:t>
            </w:r>
          </w:p>
        </w:tc>
        <w:tc>
          <w:tcPr>
            <w:tcW w:w="2381" w:type="dxa"/>
            <w:vMerge w:val="restart"/>
            <w:shd w:val="clear" w:color="auto" w:fill="auto"/>
          </w:tcPr>
          <w:p w14:paraId="4A246353" w14:textId="77777777" w:rsidR="005F75B4" w:rsidRPr="008C761D" w:rsidRDefault="005F75B4" w:rsidP="005F75B4">
            <w:pPr>
              <w:spacing w:after="0" w:line="240" w:lineRule="auto"/>
              <w:rPr>
                <w:rFonts w:cs="Calibri"/>
                <w:sz w:val="18"/>
                <w:szCs w:val="18"/>
                <w:lang w:val="en-US"/>
              </w:rPr>
            </w:pPr>
            <w:r w:rsidRPr="008C761D">
              <w:rPr>
                <w:rFonts w:cs="Calibri"/>
                <w:b/>
                <w:sz w:val="18"/>
                <w:szCs w:val="18"/>
                <w:lang w:val="en-US"/>
              </w:rPr>
              <w:t>Priority 1:</w:t>
            </w:r>
          </w:p>
          <w:p w14:paraId="710352D2" w14:textId="6021ED7F" w:rsidR="005F75B4" w:rsidRPr="008C761D" w:rsidRDefault="00E83911" w:rsidP="005F75B4">
            <w:pPr>
              <w:spacing w:after="0" w:line="240" w:lineRule="auto"/>
              <w:rPr>
                <w:rFonts w:cs="Calibri"/>
                <w:sz w:val="18"/>
                <w:szCs w:val="18"/>
                <w:lang w:val="en-US"/>
              </w:rPr>
            </w:pPr>
            <w:r w:rsidRPr="008C761D">
              <w:rPr>
                <w:rFonts w:cs="Calibri"/>
                <w:sz w:val="18"/>
                <w:szCs w:val="18"/>
                <w:lang w:val="en-US"/>
              </w:rPr>
              <w:t>Implementation of an Integrated Financial Management Information System (IFMIS) to Support the implementation of Public Financial Management Reforms and OBL</w:t>
            </w:r>
          </w:p>
        </w:tc>
        <w:tc>
          <w:tcPr>
            <w:tcW w:w="3819" w:type="dxa"/>
            <w:shd w:val="clear" w:color="auto" w:fill="auto"/>
          </w:tcPr>
          <w:p w14:paraId="278D432B" w14:textId="0EA4B34C" w:rsidR="005F75B4" w:rsidRPr="008C761D" w:rsidRDefault="00E83911" w:rsidP="005F75B4">
            <w:pPr>
              <w:spacing w:after="0" w:line="240" w:lineRule="auto"/>
              <w:jc w:val="both"/>
              <w:rPr>
                <w:rFonts w:cs="Calibri"/>
                <w:sz w:val="18"/>
                <w:szCs w:val="18"/>
                <w:lang w:val="en-US"/>
              </w:rPr>
            </w:pPr>
            <w:r w:rsidRPr="008C761D">
              <w:rPr>
                <w:rFonts w:cs="Calibri"/>
                <w:sz w:val="18"/>
                <w:szCs w:val="18"/>
                <w:lang w:val="en-US"/>
              </w:rPr>
              <w:t>Insufficient staffing and insufficient training of human resource</w:t>
            </w:r>
          </w:p>
        </w:tc>
        <w:tc>
          <w:tcPr>
            <w:tcW w:w="2254" w:type="dxa"/>
            <w:vMerge w:val="restart"/>
            <w:shd w:val="clear" w:color="auto" w:fill="auto"/>
          </w:tcPr>
          <w:p w14:paraId="71568C47" w14:textId="2C38F214" w:rsidR="005F75B4" w:rsidRPr="008C761D" w:rsidRDefault="005F75B4" w:rsidP="005F75B4">
            <w:pPr>
              <w:spacing w:after="0" w:line="240" w:lineRule="auto"/>
              <w:rPr>
                <w:rFonts w:cs="Calibri"/>
                <w:sz w:val="18"/>
                <w:szCs w:val="18"/>
                <w:lang w:val="en-US"/>
              </w:rPr>
            </w:pPr>
            <w:r w:rsidRPr="008C761D">
              <w:rPr>
                <w:rFonts w:cs="Calibri"/>
                <w:sz w:val="18"/>
                <w:szCs w:val="18"/>
                <w:lang w:val="en-US"/>
              </w:rPr>
              <w:t>Ministry</w:t>
            </w:r>
            <w:r w:rsidR="00E83911" w:rsidRPr="008C761D">
              <w:rPr>
                <w:rFonts w:cs="Calibri"/>
                <w:sz w:val="18"/>
                <w:szCs w:val="18"/>
                <w:lang w:val="en-US"/>
              </w:rPr>
              <w:t xml:space="preserve"> </w:t>
            </w:r>
            <w:r w:rsidRPr="008C761D">
              <w:rPr>
                <w:rFonts w:cs="Calibri"/>
                <w:sz w:val="18"/>
                <w:szCs w:val="18"/>
                <w:lang w:val="en-US"/>
              </w:rPr>
              <w:t>of</w:t>
            </w:r>
            <w:r w:rsidR="00E83911" w:rsidRPr="008C761D">
              <w:rPr>
                <w:rFonts w:cs="Calibri"/>
                <w:sz w:val="18"/>
                <w:szCs w:val="18"/>
                <w:lang w:val="en-US"/>
              </w:rPr>
              <w:t xml:space="preserve"> </w:t>
            </w:r>
            <w:r w:rsidRPr="008C761D">
              <w:rPr>
                <w:rFonts w:cs="Calibri"/>
                <w:sz w:val="18"/>
                <w:szCs w:val="18"/>
                <w:lang w:val="en-US"/>
              </w:rPr>
              <w:t>Finance</w:t>
            </w:r>
          </w:p>
        </w:tc>
      </w:tr>
      <w:tr w:rsidR="005F75B4" w:rsidRPr="008C761D" w14:paraId="4DDA46CA" w14:textId="77777777" w:rsidTr="00E935CF">
        <w:tc>
          <w:tcPr>
            <w:tcW w:w="562" w:type="dxa"/>
            <w:vMerge/>
            <w:shd w:val="clear" w:color="auto" w:fill="auto"/>
          </w:tcPr>
          <w:p w14:paraId="4B6ACA09"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5AD59BA0"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4FC03997" w14:textId="57C4A0E3" w:rsidR="005F75B4" w:rsidRPr="008C761D" w:rsidRDefault="00762BE3" w:rsidP="005F75B4">
            <w:pPr>
              <w:spacing w:after="0" w:line="240" w:lineRule="auto"/>
              <w:jc w:val="both"/>
              <w:rPr>
                <w:rFonts w:cs="Calibri"/>
                <w:sz w:val="18"/>
                <w:szCs w:val="18"/>
                <w:lang w:val="en-US"/>
              </w:rPr>
            </w:pPr>
            <w:r w:rsidRPr="008C761D">
              <w:rPr>
                <w:rFonts w:cs="Calibri"/>
                <w:sz w:val="18"/>
                <w:szCs w:val="18"/>
                <w:lang w:val="en-US"/>
              </w:rPr>
              <w:t>Postponing in adoption of OBL might postpone the implementation of the IFMIS</w:t>
            </w:r>
          </w:p>
        </w:tc>
        <w:tc>
          <w:tcPr>
            <w:tcW w:w="2254" w:type="dxa"/>
            <w:vMerge/>
            <w:shd w:val="clear" w:color="auto" w:fill="auto"/>
          </w:tcPr>
          <w:p w14:paraId="1C6E4859" w14:textId="77777777" w:rsidR="005F75B4" w:rsidRPr="008C761D" w:rsidRDefault="005F75B4" w:rsidP="005F75B4">
            <w:pPr>
              <w:spacing w:after="0" w:line="240" w:lineRule="auto"/>
              <w:rPr>
                <w:rFonts w:eastAsia="Times New Roman" w:cs="Calibri"/>
                <w:color w:val="202124"/>
                <w:sz w:val="18"/>
                <w:szCs w:val="18"/>
                <w:lang w:val="en-US"/>
              </w:rPr>
            </w:pPr>
          </w:p>
        </w:tc>
      </w:tr>
      <w:tr w:rsidR="0074198F" w:rsidRPr="008C761D" w14:paraId="5A54C2CA" w14:textId="77777777" w:rsidTr="00E935CF">
        <w:tc>
          <w:tcPr>
            <w:tcW w:w="562" w:type="dxa"/>
            <w:vMerge/>
            <w:shd w:val="clear" w:color="auto" w:fill="auto"/>
          </w:tcPr>
          <w:p w14:paraId="09869304" w14:textId="77777777" w:rsidR="0074198F" w:rsidRPr="008C761D" w:rsidRDefault="0074198F" w:rsidP="005F75B4">
            <w:pPr>
              <w:spacing w:after="0" w:line="240" w:lineRule="auto"/>
              <w:rPr>
                <w:rFonts w:cs="Calibri"/>
                <w:sz w:val="18"/>
                <w:szCs w:val="18"/>
                <w:lang w:val="en-US"/>
              </w:rPr>
            </w:pPr>
          </w:p>
        </w:tc>
        <w:tc>
          <w:tcPr>
            <w:tcW w:w="2381" w:type="dxa"/>
            <w:vMerge/>
            <w:shd w:val="clear" w:color="auto" w:fill="auto"/>
          </w:tcPr>
          <w:p w14:paraId="0AC2BB20" w14:textId="77777777" w:rsidR="0074198F" w:rsidRPr="008C761D" w:rsidRDefault="0074198F" w:rsidP="005F75B4">
            <w:pPr>
              <w:spacing w:after="0" w:line="240" w:lineRule="auto"/>
              <w:rPr>
                <w:rFonts w:cs="Calibri"/>
                <w:b/>
                <w:sz w:val="18"/>
                <w:szCs w:val="18"/>
                <w:lang w:val="en-US"/>
              </w:rPr>
            </w:pPr>
          </w:p>
        </w:tc>
        <w:tc>
          <w:tcPr>
            <w:tcW w:w="3819" w:type="dxa"/>
            <w:shd w:val="clear" w:color="auto" w:fill="auto"/>
          </w:tcPr>
          <w:p w14:paraId="6B9176B7" w14:textId="45D60317" w:rsidR="0074198F" w:rsidRPr="008C761D" w:rsidRDefault="0074198F" w:rsidP="005F75B4">
            <w:pPr>
              <w:spacing w:after="0" w:line="240" w:lineRule="auto"/>
              <w:jc w:val="both"/>
              <w:rPr>
                <w:rFonts w:cs="Calibri"/>
                <w:sz w:val="18"/>
                <w:szCs w:val="18"/>
                <w:lang w:val="en-US"/>
              </w:rPr>
            </w:pPr>
            <w:r w:rsidRPr="0074198F">
              <w:rPr>
                <w:rFonts w:cs="Calibri"/>
                <w:sz w:val="18"/>
                <w:szCs w:val="18"/>
                <w:lang w:val="en-US"/>
              </w:rPr>
              <w:t>Employee turnover involved in the implementation and use of IFMIS;</w:t>
            </w:r>
          </w:p>
        </w:tc>
        <w:tc>
          <w:tcPr>
            <w:tcW w:w="2254" w:type="dxa"/>
            <w:vMerge/>
            <w:shd w:val="clear" w:color="auto" w:fill="auto"/>
          </w:tcPr>
          <w:p w14:paraId="46843E3F" w14:textId="77777777" w:rsidR="0074198F" w:rsidRPr="008C761D" w:rsidRDefault="0074198F" w:rsidP="005F75B4">
            <w:pPr>
              <w:spacing w:after="0" w:line="240" w:lineRule="auto"/>
              <w:rPr>
                <w:rFonts w:eastAsia="Times New Roman" w:cs="Calibri"/>
                <w:color w:val="202124"/>
                <w:sz w:val="18"/>
                <w:szCs w:val="18"/>
                <w:lang w:val="en-US"/>
              </w:rPr>
            </w:pPr>
          </w:p>
        </w:tc>
      </w:tr>
      <w:tr w:rsidR="005F75B4" w:rsidRPr="008C761D" w14:paraId="57ED07C1" w14:textId="77777777" w:rsidTr="00E935CF">
        <w:tc>
          <w:tcPr>
            <w:tcW w:w="562" w:type="dxa"/>
            <w:vMerge/>
            <w:shd w:val="clear" w:color="auto" w:fill="auto"/>
          </w:tcPr>
          <w:p w14:paraId="01D740B6" w14:textId="77777777" w:rsidR="005F75B4" w:rsidRPr="008C761D" w:rsidRDefault="005F75B4" w:rsidP="005F75B4">
            <w:pPr>
              <w:spacing w:after="0" w:line="240" w:lineRule="auto"/>
              <w:rPr>
                <w:rFonts w:cs="Calibri"/>
                <w:sz w:val="18"/>
                <w:szCs w:val="18"/>
                <w:lang w:val="en-US"/>
              </w:rPr>
            </w:pPr>
          </w:p>
        </w:tc>
        <w:tc>
          <w:tcPr>
            <w:tcW w:w="2381" w:type="dxa"/>
            <w:vMerge/>
            <w:shd w:val="clear" w:color="auto" w:fill="auto"/>
          </w:tcPr>
          <w:p w14:paraId="39DA46DB" w14:textId="77777777" w:rsidR="005F75B4" w:rsidRPr="008C761D" w:rsidRDefault="005F75B4" w:rsidP="005F75B4">
            <w:pPr>
              <w:spacing w:after="0" w:line="240" w:lineRule="auto"/>
              <w:rPr>
                <w:rFonts w:cs="Calibri"/>
                <w:b/>
                <w:sz w:val="18"/>
                <w:szCs w:val="18"/>
                <w:lang w:val="en-US"/>
              </w:rPr>
            </w:pPr>
          </w:p>
        </w:tc>
        <w:tc>
          <w:tcPr>
            <w:tcW w:w="3819" w:type="dxa"/>
            <w:shd w:val="clear" w:color="auto" w:fill="auto"/>
          </w:tcPr>
          <w:p w14:paraId="05DD1702" w14:textId="5422ED66" w:rsidR="005F75B4" w:rsidRPr="008C761D" w:rsidRDefault="00E83911" w:rsidP="005F75B4">
            <w:pPr>
              <w:spacing w:after="0" w:line="240" w:lineRule="auto"/>
              <w:rPr>
                <w:rFonts w:cs="Calibri"/>
                <w:sz w:val="18"/>
                <w:szCs w:val="18"/>
                <w:lang w:val="en-US"/>
              </w:rPr>
            </w:pPr>
            <w:r w:rsidRPr="008C761D">
              <w:rPr>
                <w:rFonts w:cs="Calibri"/>
                <w:sz w:val="18"/>
                <w:szCs w:val="18"/>
                <w:lang w:val="en-US"/>
              </w:rPr>
              <w:t>Insufficient commitment of senior management</w:t>
            </w:r>
          </w:p>
        </w:tc>
        <w:tc>
          <w:tcPr>
            <w:tcW w:w="2254" w:type="dxa"/>
            <w:vMerge/>
            <w:shd w:val="clear" w:color="auto" w:fill="auto"/>
          </w:tcPr>
          <w:p w14:paraId="0DC84ADF" w14:textId="77777777" w:rsidR="005F75B4" w:rsidRPr="008C761D" w:rsidRDefault="005F75B4" w:rsidP="005F75B4">
            <w:pPr>
              <w:spacing w:after="0" w:line="240" w:lineRule="auto"/>
              <w:rPr>
                <w:rFonts w:eastAsia="Times New Roman" w:cs="Calibri"/>
                <w:color w:val="202124"/>
                <w:sz w:val="18"/>
                <w:szCs w:val="18"/>
                <w:lang w:val="en-US"/>
              </w:rPr>
            </w:pPr>
          </w:p>
        </w:tc>
      </w:tr>
      <w:tr w:rsidR="002B305F" w:rsidRPr="008C761D" w14:paraId="113BAA9D" w14:textId="77777777" w:rsidTr="00923BCD">
        <w:trPr>
          <w:trHeight w:val="750"/>
        </w:trPr>
        <w:tc>
          <w:tcPr>
            <w:tcW w:w="562" w:type="dxa"/>
            <w:vMerge w:val="restart"/>
            <w:shd w:val="clear" w:color="auto" w:fill="auto"/>
          </w:tcPr>
          <w:p w14:paraId="6B44A067" w14:textId="2F973B3A" w:rsidR="002B305F" w:rsidRPr="008C761D" w:rsidRDefault="00036FD5" w:rsidP="002B305F">
            <w:pPr>
              <w:spacing w:after="0" w:line="240" w:lineRule="auto"/>
              <w:rPr>
                <w:rFonts w:cs="Calibri"/>
                <w:sz w:val="18"/>
                <w:szCs w:val="18"/>
                <w:lang w:val="en-US"/>
              </w:rPr>
            </w:pPr>
            <w:r>
              <w:rPr>
                <w:rFonts w:cs="Calibri"/>
                <w:sz w:val="18"/>
                <w:szCs w:val="18"/>
                <w:lang w:val="en-US"/>
              </w:rPr>
              <w:t>13</w:t>
            </w:r>
          </w:p>
        </w:tc>
        <w:tc>
          <w:tcPr>
            <w:tcW w:w="2381" w:type="dxa"/>
            <w:vMerge w:val="restart"/>
            <w:shd w:val="clear" w:color="auto" w:fill="auto"/>
            <w:vAlign w:val="center"/>
          </w:tcPr>
          <w:p w14:paraId="3098C466"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 xml:space="preserve">Priority 2: </w:t>
            </w:r>
          </w:p>
          <w:p w14:paraId="6BEF86CE" w14:textId="21255774" w:rsidR="002B305F" w:rsidRPr="002B305F" w:rsidRDefault="002B305F" w:rsidP="002B305F">
            <w:pPr>
              <w:spacing w:after="0" w:line="240" w:lineRule="auto"/>
              <w:rPr>
                <w:rFonts w:cs="Calibri"/>
                <w:sz w:val="18"/>
                <w:szCs w:val="18"/>
                <w:lang w:val="en-US"/>
              </w:rPr>
            </w:pPr>
            <w:r w:rsidRPr="002B305F">
              <w:rPr>
                <w:rFonts w:cs="Calibri"/>
                <w:sz w:val="18"/>
                <w:szCs w:val="18"/>
                <w:lang w:val="en-US"/>
              </w:rPr>
              <w:t>Public Finance Academy (learning organization)</w:t>
            </w:r>
          </w:p>
        </w:tc>
        <w:tc>
          <w:tcPr>
            <w:tcW w:w="3819" w:type="dxa"/>
            <w:shd w:val="clear" w:color="auto" w:fill="auto"/>
          </w:tcPr>
          <w:p w14:paraId="5F137EBA" w14:textId="2891A966" w:rsidR="002B305F" w:rsidRPr="008C761D" w:rsidRDefault="002B305F" w:rsidP="002B305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Deficiency of technical support and maintenance, low responsiveness and acceptance by the stakeholders</w:t>
            </w:r>
          </w:p>
        </w:tc>
        <w:tc>
          <w:tcPr>
            <w:tcW w:w="2254" w:type="dxa"/>
            <w:vMerge w:val="restart"/>
            <w:shd w:val="clear" w:color="auto" w:fill="auto"/>
          </w:tcPr>
          <w:p w14:paraId="09F18302" w14:textId="77777777" w:rsidR="002B305F" w:rsidRPr="008C761D" w:rsidRDefault="002B305F" w:rsidP="002B305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Ministry of finance</w:t>
            </w:r>
          </w:p>
        </w:tc>
      </w:tr>
      <w:tr w:rsidR="002B305F" w:rsidRPr="008C761D" w14:paraId="1A6DB7C2" w14:textId="77777777" w:rsidTr="00E935CF">
        <w:tc>
          <w:tcPr>
            <w:tcW w:w="562" w:type="dxa"/>
            <w:vMerge/>
            <w:shd w:val="clear" w:color="auto" w:fill="auto"/>
          </w:tcPr>
          <w:p w14:paraId="49817454"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065893C2"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0F2939C5" w14:textId="33F2678D" w:rsidR="002B305F" w:rsidRPr="008C761D" w:rsidRDefault="002B305F" w:rsidP="002B305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Low responsiveness of the stakeholders, resistance from the new approach of leadership learning styles</w:t>
            </w:r>
          </w:p>
        </w:tc>
        <w:tc>
          <w:tcPr>
            <w:tcW w:w="2254" w:type="dxa"/>
            <w:vMerge/>
            <w:shd w:val="clear" w:color="auto" w:fill="auto"/>
          </w:tcPr>
          <w:p w14:paraId="3B99E833" w14:textId="77777777" w:rsidR="002B305F" w:rsidRPr="008C761D" w:rsidRDefault="002B305F" w:rsidP="002B305F">
            <w:pPr>
              <w:spacing w:after="0" w:line="240" w:lineRule="auto"/>
              <w:rPr>
                <w:rFonts w:eastAsia="Times New Roman" w:cs="Calibri"/>
                <w:color w:val="202124"/>
                <w:sz w:val="18"/>
                <w:szCs w:val="18"/>
                <w:lang w:val="en-US"/>
              </w:rPr>
            </w:pPr>
          </w:p>
        </w:tc>
      </w:tr>
      <w:tr w:rsidR="002B305F" w:rsidRPr="008C761D" w14:paraId="77F809FF" w14:textId="77777777" w:rsidTr="00E935CF">
        <w:tc>
          <w:tcPr>
            <w:tcW w:w="9016" w:type="dxa"/>
            <w:gridSpan w:val="4"/>
            <w:shd w:val="clear" w:color="auto" w:fill="D9E2F3"/>
          </w:tcPr>
          <w:p w14:paraId="7E2F4F09" w14:textId="2D8EA1B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PILLAR VI – Public Internal Financial Control - PIFC</w:t>
            </w:r>
          </w:p>
        </w:tc>
      </w:tr>
      <w:tr w:rsidR="002B305F" w:rsidRPr="008C761D" w14:paraId="2FA9A22D" w14:textId="77777777" w:rsidTr="00E935CF">
        <w:tc>
          <w:tcPr>
            <w:tcW w:w="562" w:type="dxa"/>
            <w:shd w:val="clear" w:color="auto" w:fill="auto"/>
          </w:tcPr>
          <w:p w14:paraId="01A4740D" w14:textId="2B860187" w:rsidR="002B305F" w:rsidRPr="008C761D" w:rsidRDefault="00036FD5" w:rsidP="002B305F">
            <w:pPr>
              <w:spacing w:after="0" w:line="240" w:lineRule="auto"/>
              <w:rPr>
                <w:rFonts w:cs="Calibri"/>
                <w:sz w:val="18"/>
                <w:szCs w:val="18"/>
                <w:lang w:val="en-US"/>
              </w:rPr>
            </w:pPr>
            <w:r>
              <w:rPr>
                <w:rFonts w:cs="Calibri"/>
                <w:sz w:val="18"/>
                <w:szCs w:val="18"/>
                <w:lang w:val="en-US"/>
              </w:rPr>
              <w:t>14</w:t>
            </w:r>
          </w:p>
        </w:tc>
        <w:tc>
          <w:tcPr>
            <w:tcW w:w="2381" w:type="dxa"/>
            <w:shd w:val="clear" w:color="auto" w:fill="auto"/>
          </w:tcPr>
          <w:p w14:paraId="1D04C64E"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 xml:space="preserve">Priority 1: </w:t>
            </w:r>
          </w:p>
          <w:p w14:paraId="5B385EED" w14:textId="11BDEFDB" w:rsidR="002B305F" w:rsidRPr="008C761D" w:rsidRDefault="002B305F" w:rsidP="002B305F">
            <w:pPr>
              <w:spacing w:after="0" w:line="240" w:lineRule="auto"/>
              <w:rPr>
                <w:rFonts w:cs="Calibri"/>
                <w:sz w:val="18"/>
                <w:szCs w:val="18"/>
                <w:lang w:val="en-US"/>
              </w:rPr>
            </w:pPr>
            <w:r w:rsidRPr="008C761D">
              <w:rPr>
                <w:rFonts w:cs="Calibri"/>
                <w:sz w:val="18"/>
                <w:szCs w:val="18"/>
                <w:lang w:val="en-US"/>
              </w:rPr>
              <w:t>Financial Management and Internal Control</w:t>
            </w:r>
          </w:p>
        </w:tc>
        <w:tc>
          <w:tcPr>
            <w:tcW w:w="3819" w:type="dxa"/>
            <w:shd w:val="clear" w:color="auto" w:fill="auto"/>
          </w:tcPr>
          <w:p w14:paraId="1C9E7F1B" w14:textId="18217B58" w:rsidR="002B305F" w:rsidRPr="008C761D" w:rsidRDefault="002B305F" w:rsidP="002B305F">
            <w:pPr>
              <w:spacing w:after="0" w:line="240" w:lineRule="auto"/>
              <w:rPr>
                <w:rFonts w:cs="Calibri"/>
                <w:sz w:val="18"/>
                <w:szCs w:val="18"/>
                <w:lang w:val="en-US"/>
              </w:rPr>
            </w:pPr>
            <w:r w:rsidRPr="008C761D">
              <w:rPr>
                <w:rFonts w:eastAsia="Times New Roman" w:cs="Calibri"/>
                <w:color w:val="202124"/>
                <w:sz w:val="18"/>
                <w:szCs w:val="18"/>
                <w:lang w:val="en-US"/>
              </w:rPr>
              <w:t>Insufficient staffing and insufficient training of human resources (in the CHU and Financial Affairs Units</w:t>
            </w:r>
          </w:p>
        </w:tc>
        <w:tc>
          <w:tcPr>
            <w:tcW w:w="2254" w:type="dxa"/>
            <w:vMerge w:val="restart"/>
            <w:shd w:val="clear" w:color="auto" w:fill="auto"/>
          </w:tcPr>
          <w:p w14:paraId="077EF83E" w14:textId="29C87AC5" w:rsidR="002B305F" w:rsidRPr="008C761D" w:rsidRDefault="002B305F" w:rsidP="002B305F">
            <w:pPr>
              <w:spacing w:after="0" w:line="240" w:lineRule="auto"/>
              <w:rPr>
                <w:rFonts w:eastAsia="MS PGothic" w:cs="Calibri"/>
                <w:sz w:val="18"/>
                <w:szCs w:val="18"/>
                <w:lang w:val="en-US" w:eastAsia="zh-CN"/>
              </w:rPr>
            </w:pPr>
            <w:r w:rsidRPr="008C761D">
              <w:rPr>
                <w:rFonts w:eastAsia="MS PGothic" w:cs="Calibri"/>
                <w:sz w:val="18"/>
                <w:szCs w:val="18"/>
                <w:lang w:val="en-US" w:eastAsia="zh-CN"/>
              </w:rPr>
              <w:t>Ministry of Finance</w:t>
            </w:r>
          </w:p>
          <w:p w14:paraId="2D06164D" w14:textId="77777777" w:rsidR="002B305F" w:rsidRPr="008C761D" w:rsidRDefault="002B305F" w:rsidP="002B305F">
            <w:pPr>
              <w:spacing w:after="0" w:line="240" w:lineRule="auto"/>
              <w:rPr>
                <w:rFonts w:eastAsia="MS PGothic" w:cs="Calibri"/>
                <w:sz w:val="18"/>
                <w:szCs w:val="18"/>
                <w:lang w:val="en-US" w:eastAsia="zh-CN"/>
              </w:rPr>
            </w:pPr>
          </w:p>
          <w:p w14:paraId="5D924F27" w14:textId="77777777" w:rsidR="002B305F" w:rsidRPr="008C761D" w:rsidRDefault="002B305F" w:rsidP="002B305F">
            <w:pPr>
              <w:spacing w:after="0" w:line="240" w:lineRule="auto"/>
              <w:rPr>
                <w:rFonts w:eastAsia="MS PGothic" w:cs="Calibri"/>
                <w:sz w:val="18"/>
                <w:szCs w:val="18"/>
                <w:lang w:val="en-US" w:eastAsia="zh-CN"/>
              </w:rPr>
            </w:pPr>
          </w:p>
          <w:p w14:paraId="50F37A70" w14:textId="77777777" w:rsidR="002B305F" w:rsidRPr="008C761D" w:rsidRDefault="002B305F" w:rsidP="002B305F">
            <w:pPr>
              <w:spacing w:after="0" w:line="240" w:lineRule="auto"/>
              <w:rPr>
                <w:rFonts w:eastAsia="MS PGothic" w:cs="Calibri"/>
                <w:sz w:val="18"/>
                <w:szCs w:val="18"/>
                <w:lang w:val="en-US" w:eastAsia="zh-CN"/>
              </w:rPr>
            </w:pPr>
          </w:p>
          <w:p w14:paraId="27ACEA6A" w14:textId="77777777" w:rsidR="002B305F" w:rsidRPr="008C761D" w:rsidRDefault="002B305F" w:rsidP="002B305F">
            <w:pPr>
              <w:spacing w:after="0" w:line="240" w:lineRule="auto"/>
              <w:rPr>
                <w:rFonts w:cs="Calibri"/>
                <w:sz w:val="18"/>
                <w:szCs w:val="18"/>
                <w:lang w:val="en-US"/>
              </w:rPr>
            </w:pPr>
          </w:p>
        </w:tc>
      </w:tr>
      <w:tr w:rsidR="002B305F" w:rsidRPr="008C761D" w14:paraId="47D1B4DC" w14:textId="77777777" w:rsidTr="00E935CF">
        <w:tc>
          <w:tcPr>
            <w:tcW w:w="562" w:type="dxa"/>
            <w:vMerge w:val="restart"/>
            <w:shd w:val="clear" w:color="auto" w:fill="auto"/>
          </w:tcPr>
          <w:p w14:paraId="19BF5EA2" w14:textId="7FD8D5A0" w:rsidR="002B305F" w:rsidRPr="008C761D" w:rsidRDefault="00036FD5" w:rsidP="002B305F">
            <w:pPr>
              <w:spacing w:after="0" w:line="240" w:lineRule="auto"/>
              <w:rPr>
                <w:rFonts w:cs="Calibri"/>
                <w:sz w:val="18"/>
                <w:szCs w:val="18"/>
                <w:lang w:val="en-US"/>
              </w:rPr>
            </w:pPr>
            <w:r>
              <w:rPr>
                <w:rFonts w:cs="Calibri"/>
                <w:sz w:val="18"/>
                <w:szCs w:val="18"/>
                <w:lang w:val="en-US"/>
              </w:rPr>
              <w:t>15</w:t>
            </w:r>
          </w:p>
        </w:tc>
        <w:tc>
          <w:tcPr>
            <w:tcW w:w="2381" w:type="dxa"/>
            <w:vMerge w:val="restart"/>
            <w:shd w:val="clear" w:color="auto" w:fill="auto"/>
          </w:tcPr>
          <w:p w14:paraId="5D9E2EDD"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 xml:space="preserve">Priority 2: </w:t>
            </w:r>
          </w:p>
          <w:p w14:paraId="1878AF1A" w14:textId="7C9BE4B4" w:rsidR="002B305F" w:rsidRPr="008C761D" w:rsidRDefault="002B305F" w:rsidP="002B305F">
            <w:pPr>
              <w:spacing w:after="0" w:line="240" w:lineRule="auto"/>
              <w:rPr>
                <w:rFonts w:cs="Calibri"/>
                <w:sz w:val="18"/>
                <w:szCs w:val="18"/>
                <w:lang w:val="en-US"/>
              </w:rPr>
            </w:pPr>
            <w:r w:rsidRPr="008C761D">
              <w:rPr>
                <w:rFonts w:cs="Calibri"/>
                <w:sz w:val="18"/>
                <w:szCs w:val="18"/>
                <w:lang w:val="en-US"/>
              </w:rPr>
              <w:t>Internal Audit</w:t>
            </w:r>
          </w:p>
        </w:tc>
        <w:tc>
          <w:tcPr>
            <w:tcW w:w="3819" w:type="dxa"/>
            <w:shd w:val="clear" w:color="auto" w:fill="auto"/>
          </w:tcPr>
          <w:p w14:paraId="68E2319D" w14:textId="0B6036D0" w:rsidR="002B305F" w:rsidRPr="008C761D" w:rsidRDefault="002B305F" w:rsidP="002B305F">
            <w:pPr>
              <w:spacing w:after="0" w:line="240" w:lineRule="auto"/>
              <w:rPr>
                <w:rFonts w:cs="Calibri"/>
                <w:sz w:val="18"/>
                <w:szCs w:val="18"/>
                <w:lang w:val="en-US"/>
              </w:rPr>
            </w:pPr>
            <w:r w:rsidRPr="008C761D">
              <w:rPr>
                <w:rFonts w:eastAsia="MS PGothic" w:cs="Calibri"/>
                <w:sz w:val="18"/>
                <w:szCs w:val="18"/>
                <w:lang w:val="en-US" w:eastAsia="zh-CN"/>
              </w:rPr>
              <w:t>Lack of internal auditors in the labor market</w:t>
            </w:r>
          </w:p>
        </w:tc>
        <w:tc>
          <w:tcPr>
            <w:tcW w:w="2254" w:type="dxa"/>
            <w:vMerge/>
            <w:shd w:val="clear" w:color="auto" w:fill="auto"/>
          </w:tcPr>
          <w:p w14:paraId="48964494" w14:textId="77777777" w:rsidR="002B305F" w:rsidRPr="008C761D" w:rsidRDefault="002B305F" w:rsidP="002B305F">
            <w:pPr>
              <w:spacing w:after="0" w:line="240" w:lineRule="auto"/>
              <w:rPr>
                <w:rFonts w:cs="Calibri"/>
                <w:sz w:val="18"/>
                <w:szCs w:val="18"/>
                <w:lang w:val="en-US"/>
              </w:rPr>
            </w:pPr>
          </w:p>
        </w:tc>
      </w:tr>
      <w:tr w:rsidR="002B305F" w:rsidRPr="008C761D" w14:paraId="4AB2F1EC" w14:textId="77777777" w:rsidTr="00E935CF">
        <w:tc>
          <w:tcPr>
            <w:tcW w:w="562" w:type="dxa"/>
            <w:vMerge/>
            <w:shd w:val="clear" w:color="auto" w:fill="auto"/>
          </w:tcPr>
          <w:p w14:paraId="5314469E"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4BE60E6A"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53C3CB61" w14:textId="4E1C12E7" w:rsidR="002B305F" w:rsidRPr="008C761D" w:rsidRDefault="002B305F" w:rsidP="002B305F">
            <w:pPr>
              <w:spacing w:after="0" w:line="240" w:lineRule="auto"/>
              <w:rPr>
                <w:rFonts w:eastAsia="MS PGothic" w:cs="Calibri"/>
                <w:sz w:val="18"/>
                <w:szCs w:val="18"/>
                <w:lang w:val="en-US" w:eastAsia="zh-CN"/>
              </w:rPr>
            </w:pPr>
            <w:r w:rsidRPr="008C761D">
              <w:rPr>
                <w:rFonts w:eastAsia="MS PGothic" w:cs="Calibri"/>
                <w:sz w:val="18"/>
                <w:szCs w:val="18"/>
                <w:lang w:val="en-US" w:eastAsia="zh-CN"/>
              </w:rPr>
              <w:t>Insufficient IT technical</w:t>
            </w:r>
            <w:r>
              <w:rPr>
                <w:rFonts w:eastAsia="MS PGothic" w:cs="Calibri"/>
                <w:sz w:val="18"/>
                <w:szCs w:val="18"/>
                <w:lang w:val="en-US" w:eastAsia="zh-CN"/>
              </w:rPr>
              <w:t xml:space="preserve"> </w:t>
            </w:r>
            <w:r w:rsidRPr="008C761D">
              <w:rPr>
                <w:rFonts w:eastAsia="MS PGothic" w:cs="Calibri"/>
                <w:sz w:val="18"/>
                <w:szCs w:val="18"/>
                <w:lang w:val="en-US" w:eastAsia="zh-CN"/>
              </w:rPr>
              <w:t>support</w:t>
            </w:r>
            <w:r>
              <w:rPr>
                <w:rFonts w:eastAsia="MS PGothic" w:cs="Calibri"/>
                <w:sz w:val="18"/>
                <w:szCs w:val="18"/>
                <w:lang w:val="en-US" w:eastAsia="zh-CN"/>
              </w:rPr>
              <w:t xml:space="preserve"> </w:t>
            </w:r>
            <w:r w:rsidRPr="008C761D">
              <w:rPr>
                <w:rFonts w:eastAsia="MS PGothic" w:cs="Calibri"/>
                <w:sz w:val="18"/>
                <w:szCs w:val="18"/>
                <w:lang w:val="en-US" w:eastAsia="zh-CN"/>
              </w:rPr>
              <w:t>for a web</w:t>
            </w:r>
            <w:r>
              <w:rPr>
                <w:rFonts w:eastAsia="MS PGothic" w:cs="Calibri"/>
                <w:sz w:val="18"/>
                <w:szCs w:val="18"/>
                <w:lang w:val="en-US" w:eastAsia="zh-CN"/>
              </w:rPr>
              <w:t xml:space="preserve"> </w:t>
            </w:r>
            <w:r w:rsidRPr="008C761D">
              <w:rPr>
                <w:rFonts w:eastAsia="MS PGothic" w:cs="Calibri"/>
                <w:sz w:val="18"/>
                <w:szCs w:val="18"/>
                <w:lang w:val="en-US" w:eastAsia="zh-CN"/>
              </w:rPr>
              <w:t>platform</w:t>
            </w:r>
          </w:p>
        </w:tc>
        <w:tc>
          <w:tcPr>
            <w:tcW w:w="2254" w:type="dxa"/>
            <w:vMerge/>
            <w:shd w:val="clear" w:color="auto" w:fill="auto"/>
          </w:tcPr>
          <w:p w14:paraId="195E1E09" w14:textId="77777777" w:rsidR="002B305F" w:rsidRPr="008C761D" w:rsidRDefault="002B305F" w:rsidP="002B305F">
            <w:pPr>
              <w:spacing w:after="0" w:line="240" w:lineRule="auto"/>
              <w:rPr>
                <w:rFonts w:cs="Calibri"/>
                <w:sz w:val="18"/>
                <w:szCs w:val="18"/>
                <w:lang w:val="en-US"/>
              </w:rPr>
            </w:pPr>
          </w:p>
        </w:tc>
      </w:tr>
      <w:tr w:rsidR="002B305F" w:rsidRPr="008C761D" w14:paraId="63DEAB46" w14:textId="77777777" w:rsidTr="00923BCD">
        <w:trPr>
          <w:trHeight w:val="426"/>
        </w:trPr>
        <w:tc>
          <w:tcPr>
            <w:tcW w:w="562" w:type="dxa"/>
            <w:vMerge/>
            <w:shd w:val="clear" w:color="auto" w:fill="auto"/>
          </w:tcPr>
          <w:p w14:paraId="4DF7BC7B"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34069B0B"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728E1492" w14:textId="4A329D9F" w:rsidR="002B305F" w:rsidRPr="008C761D" w:rsidRDefault="002B305F" w:rsidP="002B305F">
            <w:pPr>
              <w:spacing w:after="0" w:line="240" w:lineRule="auto"/>
              <w:rPr>
                <w:rFonts w:cs="Calibri"/>
                <w:sz w:val="18"/>
                <w:szCs w:val="18"/>
                <w:lang w:val="en-US"/>
              </w:rPr>
            </w:pPr>
            <w:r w:rsidRPr="008C761D">
              <w:rPr>
                <w:rFonts w:eastAsia="MS PGothic" w:cs="Calibri"/>
                <w:sz w:val="18"/>
                <w:szCs w:val="18"/>
                <w:lang w:val="en-US" w:eastAsia="zh-CN"/>
              </w:rPr>
              <w:t>Insufficient number of adequately trained internal auditors</w:t>
            </w:r>
          </w:p>
        </w:tc>
        <w:tc>
          <w:tcPr>
            <w:tcW w:w="2254" w:type="dxa"/>
            <w:vMerge/>
            <w:shd w:val="clear" w:color="auto" w:fill="auto"/>
          </w:tcPr>
          <w:p w14:paraId="4FB813DB" w14:textId="77777777" w:rsidR="002B305F" w:rsidRPr="008C761D" w:rsidRDefault="002B305F" w:rsidP="002B305F">
            <w:pPr>
              <w:spacing w:after="0" w:line="240" w:lineRule="auto"/>
              <w:rPr>
                <w:rFonts w:cs="Calibri"/>
                <w:sz w:val="18"/>
                <w:szCs w:val="18"/>
                <w:lang w:val="en-US"/>
              </w:rPr>
            </w:pPr>
          </w:p>
        </w:tc>
      </w:tr>
      <w:tr w:rsidR="002B305F" w:rsidRPr="008C761D" w14:paraId="571C2C4C" w14:textId="77777777" w:rsidTr="00E935CF">
        <w:tc>
          <w:tcPr>
            <w:tcW w:w="9016" w:type="dxa"/>
            <w:gridSpan w:val="4"/>
            <w:shd w:val="clear" w:color="auto" w:fill="D9E2F3"/>
          </w:tcPr>
          <w:p w14:paraId="3884BB8F" w14:textId="5F810248"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 xml:space="preserve">PILLAR VII </w:t>
            </w:r>
            <w:r>
              <w:rPr>
                <w:rFonts w:cs="Calibri"/>
                <w:b/>
                <w:sz w:val="18"/>
                <w:szCs w:val="18"/>
                <w:lang w:val="en-US"/>
              </w:rPr>
              <w:t>–</w:t>
            </w:r>
            <w:r w:rsidRPr="008C761D">
              <w:rPr>
                <w:rFonts w:cs="Calibri"/>
                <w:b/>
                <w:sz w:val="18"/>
                <w:szCs w:val="18"/>
                <w:lang w:val="en-US"/>
              </w:rPr>
              <w:t xml:space="preserve"> External</w:t>
            </w:r>
            <w:r>
              <w:rPr>
                <w:rFonts w:cs="Calibri"/>
                <w:b/>
                <w:sz w:val="18"/>
                <w:szCs w:val="18"/>
                <w:lang w:val="en-US"/>
              </w:rPr>
              <w:t xml:space="preserve"> </w:t>
            </w:r>
            <w:r w:rsidR="00174835">
              <w:rPr>
                <w:rFonts w:cs="Calibri"/>
                <w:b/>
                <w:sz w:val="18"/>
                <w:szCs w:val="18"/>
                <w:lang w:val="en-US"/>
              </w:rPr>
              <w:t>Audit</w:t>
            </w:r>
            <w:bookmarkStart w:id="98" w:name="_GoBack"/>
            <w:bookmarkEnd w:id="98"/>
            <w:r>
              <w:rPr>
                <w:rFonts w:cs="Calibri"/>
                <w:b/>
                <w:sz w:val="18"/>
                <w:szCs w:val="18"/>
                <w:lang w:val="en-US"/>
              </w:rPr>
              <w:t xml:space="preserve"> </w:t>
            </w:r>
            <w:r w:rsidRPr="008C761D">
              <w:rPr>
                <w:rFonts w:cs="Calibri"/>
                <w:b/>
                <w:sz w:val="18"/>
                <w:szCs w:val="18"/>
                <w:lang w:val="en-US"/>
              </w:rPr>
              <w:t>and</w:t>
            </w:r>
            <w:r>
              <w:rPr>
                <w:rFonts w:cs="Calibri"/>
                <w:b/>
                <w:sz w:val="18"/>
                <w:szCs w:val="18"/>
                <w:lang w:val="en-US"/>
              </w:rPr>
              <w:t xml:space="preserve"> </w:t>
            </w:r>
            <w:r w:rsidRPr="008C761D">
              <w:rPr>
                <w:rFonts w:cs="Calibri"/>
                <w:b/>
                <w:sz w:val="18"/>
                <w:szCs w:val="18"/>
                <w:lang w:val="en-US"/>
              </w:rPr>
              <w:t>Parliamentary</w:t>
            </w:r>
            <w:r>
              <w:rPr>
                <w:rFonts w:cs="Calibri"/>
                <w:b/>
                <w:sz w:val="18"/>
                <w:szCs w:val="18"/>
                <w:lang w:val="en-US"/>
              </w:rPr>
              <w:t xml:space="preserve"> </w:t>
            </w:r>
            <w:r w:rsidRPr="008C761D">
              <w:rPr>
                <w:rFonts w:cs="Calibri"/>
                <w:b/>
                <w:sz w:val="18"/>
                <w:szCs w:val="18"/>
                <w:lang w:val="en-US"/>
              </w:rPr>
              <w:t>Oversight</w:t>
            </w:r>
          </w:p>
        </w:tc>
      </w:tr>
      <w:tr w:rsidR="002B305F" w:rsidRPr="008C761D" w14:paraId="3CFDBC8D" w14:textId="77777777" w:rsidTr="00E935CF">
        <w:tc>
          <w:tcPr>
            <w:tcW w:w="562" w:type="dxa"/>
            <w:vMerge w:val="restart"/>
            <w:shd w:val="clear" w:color="auto" w:fill="auto"/>
          </w:tcPr>
          <w:p w14:paraId="6EDC4728" w14:textId="245FECCC" w:rsidR="002B305F" w:rsidRPr="008C761D" w:rsidRDefault="00036FD5" w:rsidP="002B305F">
            <w:pPr>
              <w:spacing w:after="0" w:line="240" w:lineRule="auto"/>
              <w:rPr>
                <w:rFonts w:cs="Calibri"/>
                <w:sz w:val="18"/>
                <w:szCs w:val="18"/>
                <w:lang w:val="en-US"/>
              </w:rPr>
            </w:pPr>
            <w:r>
              <w:rPr>
                <w:rFonts w:cs="Calibri"/>
                <w:sz w:val="18"/>
                <w:szCs w:val="18"/>
                <w:lang w:val="en-US"/>
              </w:rPr>
              <w:t>16</w:t>
            </w:r>
          </w:p>
        </w:tc>
        <w:tc>
          <w:tcPr>
            <w:tcW w:w="2381" w:type="dxa"/>
            <w:vMerge w:val="restart"/>
            <w:shd w:val="clear" w:color="auto" w:fill="auto"/>
          </w:tcPr>
          <w:p w14:paraId="13A2CAC9"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Priority 1:</w:t>
            </w:r>
          </w:p>
          <w:p w14:paraId="674A413B" w14:textId="1039CC66" w:rsidR="002B305F" w:rsidRPr="008C761D" w:rsidRDefault="002B305F" w:rsidP="002B305F">
            <w:pPr>
              <w:spacing w:after="0" w:line="240" w:lineRule="auto"/>
              <w:rPr>
                <w:rFonts w:cs="Calibri"/>
                <w:sz w:val="18"/>
                <w:szCs w:val="18"/>
                <w:lang w:val="en-US"/>
              </w:rPr>
            </w:pPr>
            <w:r w:rsidRPr="008C761D">
              <w:rPr>
                <w:rFonts w:cs="Calibri"/>
                <w:sz w:val="18"/>
                <w:szCs w:val="18"/>
                <w:lang w:val="en-US"/>
              </w:rPr>
              <w:lastRenderedPageBreak/>
              <w:t>External Audit</w:t>
            </w:r>
          </w:p>
        </w:tc>
        <w:tc>
          <w:tcPr>
            <w:tcW w:w="3819" w:type="dxa"/>
            <w:shd w:val="clear" w:color="auto" w:fill="auto"/>
          </w:tcPr>
          <w:p w14:paraId="26B567D3" w14:textId="77777777" w:rsidR="002B305F" w:rsidRPr="008C761D" w:rsidRDefault="002B305F" w:rsidP="002B305F">
            <w:pPr>
              <w:spacing w:after="0" w:line="240" w:lineRule="auto"/>
              <w:rPr>
                <w:rFonts w:cs="Calibri"/>
                <w:color w:val="FF0000"/>
                <w:sz w:val="18"/>
                <w:szCs w:val="18"/>
                <w:lang w:val="en-US"/>
              </w:rPr>
            </w:pPr>
            <w:r w:rsidRPr="008C761D">
              <w:rPr>
                <w:rFonts w:eastAsia="Times New Roman" w:cs="Calibri"/>
                <w:color w:val="202124"/>
                <w:sz w:val="18"/>
                <w:szCs w:val="18"/>
                <w:lang w:val="en-US"/>
              </w:rPr>
              <w:lastRenderedPageBreak/>
              <w:t xml:space="preserve">The proposal for amending the Constitution of </w:t>
            </w:r>
            <w:r w:rsidRPr="008C761D">
              <w:rPr>
                <w:rFonts w:eastAsia="Times New Roman" w:cs="Calibri"/>
                <w:color w:val="202124"/>
                <w:sz w:val="18"/>
                <w:szCs w:val="18"/>
                <w:lang w:val="en-US"/>
              </w:rPr>
              <w:lastRenderedPageBreak/>
              <w:t>RNM for regulating the SAO as a constitutional category was not submitted by the authorized proposer of the constitutional amendment and was not adopted by the Assembly</w:t>
            </w:r>
          </w:p>
        </w:tc>
        <w:tc>
          <w:tcPr>
            <w:tcW w:w="2254" w:type="dxa"/>
            <w:shd w:val="clear" w:color="auto" w:fill="auto"/>
          </w:tcPr>
          <w:p w14:paraId="185CD901" w14:textId="77777777" w:rsidR="002B305F" w:rsidRPr="008C761D" w:rsidRDefault="002B305F" w:rsidP="002B305F">
            <w:pPr>
              <w:spacing w:after="0" w:line="240" w:lineRule="auto"/>
              <w:rPr>
                <w:rFonts w:cs="Calibri"/>
                <w:sz w:val="18"/>
                <w:szCs w:val="18"/>
                <w:lang w:val="en-US"/>
              </w:rPr>
            </w:pPr>
            <w:r w:rsidRPr="008C761D">
              <w:rPr>
                <w:rFonts w:eastAsia="Times New Roman" w:cs="Calibri"/>
                <w:color w:val="202124"/>
                <w:sz w:val="18"/>
                <w:szCs w:val="18"/>
                <w:lang w:val="en-US"/>
              </w:rPr>
              <w:lastRenderedPageBreak/>
              <w:t xml:space="preserve">State Audit Office in </w:t>
            </w:r>
            <w:r w:rsidRPr="008C761D">
              <w:rPr>
                <w:rFonts w:eastAsia="Times New Roman" w:cs="Calibri"/>
                <w:color w:val="202124"/>
                <w:sz w:val="18"/>
                <w:szCs w:val="18"/>
                <w:lang w:val="en-US"/>
              </w:rPr>
              <w:lastRenderedPageBreak/>
              <w:t>cooperation with the authorized proposer of the constitutional amendment and the Assembly of RNM</w:t>
            </w:r>
          </w:p>
        </w:tc>
      </w:tr>
      <w:tr w:rsidR="002B305F" w:rsidRPr="008C761D" w14:paraId="17E33E03" w14:textId="77777777" w:rsidTr="00E935CF">
        <w:tc>
          <w:tcPr>
            <w:tcW w:w="562" w:type="dxa"/>
            <w:vMerge/>
            <w:shd w:val="clear" w:color="auto" w:fill="auto"/>
          </w:tcPr>
          <w:p w14:paraId="6D37481C"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7CD640AC"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427BF2E8" w14:textId="77777777" w:rsidR="002B305F" w:rsidRPr="008C761D" w:rsidRDefault="002B305F" w:rsidP="002B305F">
            <w:pPr>
              <w:spacing w:after="0" w:line="240" w:lineRule="auto"/>
              <w:rPr>
                <w:rFonts w:cs="Calibri"/>
                <w:color w:val="FF0000"/>
                <w:sz w:val="18"/>
                <w:szCs w:val="18"/>
                <w:lang w:val="en-US"/>
              </w:rPr>
            </w:pPr>
            <w:r w:rsidRPr="008C761D">
              <w:rPr>
                <w:rFonts w:eastAsia="Times New Roman" w:cs="Calibri"/>
                <w:color w:val="202124"/>
                <w:sz w:val="18"/>
                <w:szCs w:val="18"/>
                <w:lang w:val="en-US"/>
              </w:rPr>
              <w:t>New draft State Audit Law for strengthening SAO financial and operational independence not submitted and not adopted by the Assembly</w:t>
            </w:r>
          </w:p>
        </w:tc>
        <w:tc>
          <w:tcPr>
            <w:tcW w:w="2254" w:type="dxa"/>
            <w:shd w:val="clear" w:color="auto" w:fill="auto"/>
          </w:tcPr>
          <w:p w14:paraId="282281D4" w14:textId="77777777" w:rsidR="002B305F" w:rsidRPr="008C761D" w:rsidRDefault="002B305F" w:rsidP="002B305F">
            <w:pPr>
              <w:spacing w:after="0" w:line="240" w:lineRule="auto"/>
              <w:rPr>
                <w:rFonts w:eastAsia="Times New Roman" w:cs="Calibri"/>
                <w:sz w:val="18"/>
                <w:szCs w:val="18"/>
                <w:lang w:val="en-US"/>
              </w:rPr>
            </w:pPr>
            <w:r w:rsidRPr="008C761D">
              <w:rPr>
                <w:rFonts w:eastAsia="Times New Roman" w:cs="Calibri"/>
                <w:sz w:val="18"/>
                <w:szCs w:val="18"/>
                <w:lang w:val="en-US"/>
              </w:rPr>
              <w:t>The Ministry of Finance, the RNM Government and the RNM Assembly</w:t>
            </w:r>
          </w:p>
          <w:p w14:paraId="52769166" w14:textId="77777777" w:rsidR="002B305F" w:rsidRPr="008C761D" w:rsidRDefault="002B305F" w:rsidP="002B305F">
            <w:pPr>
              <w:spacing w:after="0" w:line="240" w:lineRule="auto"/>
              <w:rPr>
                <w:rFonts w:eastAsia="Times New Roman" w:cs="Calibri"/>
                <w:sz w:val="18"/>
                <w:szCs w:val="18"/>
                <w:lang w:val="en-US"/>
              </w:rPr>
            </w:pPr>
          </w:p>
          <w:p w14:paraId="29B4CB2D" w14:textId="77777777" w:rsidR="002B305F" w:rsidRPr="008C761D" w:rsidRDefault="002B305F" w:rsidP="002B305F">
            <w:pPr>
              <w:spacing w:after="0" w:line="240" w:lineRule="auto"/>
              <w:rPr>
                <w:rFonts w:cs="Calibri"/>
                <w:sz w:val="18"/>
                <w:szCs w:val="18"/>
                <w:lang w:val="en-US"/>
              </w:rPr>
            </w:pPr>
            <w:r w:rsidRPr="008C761D">
              <w:rPr>
                <w:rFonts w:eastAsia="Times New Roman" w:cs="Calibri"/>
                <w:sz w:val="18"/>
                <w:szCs w:val="18"/>
                <w:lang w:val="en-US"/>
              </w:rPr>
              <w:t>SAO, after the adoption of the Law on State Audit, for the adoption of by-laws</w:t>
            </w:r>
          </w:p>
        </w:tc>
      </w:tr>
      <w:tr w:rsidR="002B305F" w:rsidRPr="008C761D" w14:paraId="5B431BE0" w14:textId="77777777" w:rsidTr="00E935CF">
        <w:tc>
          <w:tcPr>
            <w:tcW w:w="562" w:type="dxa"/>
            <w:vMerge/>
            <w:shd w:val="clear" w:color="auto" w:fill="auto"/>
          </w:tcPr>
          <w:p w14:paraId="03CEC991"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2F17764D"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32222B69" w14:textId="77777777" w:rsidR="002B305F" w:rsidRPr="008C761D" w:rsidRDefault="002B305F" w:rsidP="002B305F">
            <w:pPr>
              <w:spacing w:after="0" w:line="240" w:lineRule="auto"/>
              <w:rPr>
                <w:rFonts w:eastAsia="Times New Roman" w:cs="Calibri"/>
                <w:sz w:val="18"/>
                <w:szCs w:val="18"/>
                <w:lang w:val="en-US"/>
              </w:rPr>
            </w:pPr>
            <w:r w:rsidRPr="008C761D">
              <w:rPr>
                <w:rFonts w:eastAsia="Times New Roman" w:cs="Calibri"/>
                <w:sz w:val="18"/>
                <w:szCs w:val="18"/>
                <w:lang w:val="en-US"/>
              </w:rPr>
              <w:t xml:space="preserve">Limited opportunities for modernization of audit processes </w:t>
            </w:r>
            <w:proofErr w:type="gramStart"/>
            <w:r w:rsidRPr="008C761D">
              <w:rPr>
                <w:rFonts w:eastAsia="Times New Roman" w:cs="Calibri"/>
                <w:sz w:val="18"/>
                <w:szCs w:val="18"/>
                <w:lang w:val="en-US"/>
              </w:rPr>
              <w:t>and  presentation</w:t>
            </w:r>
            <w:proofErr w:type="gramEnd"/>
            <w:r w:rsidRPr="008C761D">
              <w:rPr>
                <w:rFonts w:eastAsia="Times New Roman" w:cs="Calibri"/>
                <w:sz w:val="18"/>
                <w:szCs w:val="18"/>
                <w:lang w:val="en-US"/>
              </w:rPr>
              <w:t xml:space="preserve"> of audit results</w:t>
            </w:r>
          </w:p>
        </w:tc>
        <w:tc>
          <w:tcPr>
            <w:tcW w:w="2254" w:type="dxa"/>
            <w:vMerge w:val="restart"/>
            <w:shd w:val="clear" w:color="auto" w:fill="auto"/>
          </w:tcPr>
          <w:p w14:paraId="63E820E7" w14:textId="77777777" w:rsidR="002B305F" w:rsidRPr="008C761D" w:rsidRDefault="002B305F" w:rsidP="002B305F">
            <w:pPr>
              <w:spacing w:after="0" w:line="240" w:lineRule="auto"/>
              <w:rPr>
                <w:rFonts w:cs="Calibri"/>
                <w:sz w:val="18"/>
                <w:szCs w:val="18"/>
                <w:lang w:val="en-US"/>
              </w:rPr>
            </w:pPr>
            <w:r w:rsidRPr="008C761D">
              <w:rPr>
                <w:rFonts w:cs="Calibri"/>
                <w:sz w:val="18"/>
                <w:szCs w:val="18"/>
                <w:lang w:val="en-US"/>
              </w:rPr>
              <w:t>SAO</w:t>
            </w:r>
          </w:p>
        </w:tc>
      </w:tr>
      <w:tr w:rsidR="002B305F" w:rsidRPr="008C761D" w14:paraId="15BFCB9D" w14:textId="77777777" w:rsidTr="00E935CF">
        <w:tc>
          <w:tcPr>
            <w:tcW w:w="562" w:type="dxa"/>
            <w:vMerge/>
            <w:shd w:val="clear" w:color="auto" w:fill="auto"/>
          </w:tcPr>
          <w:p w14:paraId="38915809"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3AEB2E2E"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6B577D8A" w14:textId="77777777" w:rsidR="002B305F" w:rsidRPr="008C761D" w:rsidRDefault="002B305F" w:rsidP="002B305F">
            <w:pPr>
              <w:spacing w:after="0" w:line="240" w:lineRule="auto"/>
              <w:rPr>
                <w:rFonts w:eastAsia="Times New Roman" w:cs="Calibri"/>
                <w:color w:val="FF0000"/>
                <w:sz w:val="18"/>
                <w:szCs w:val="18"/>
                <w:lang w:val="en-US"/>
              </w:rPr>
            </w:pPr>
            <w:r w:rsidRPr="008C761D">
              <w:rPr>
                <w:rFonts w:eastAsia="Times New Roman" w:cs="Calibri"/>
                <w:color w:val="202124"/>
                <w:sz w:val="18"/>
                <w:szCs w:val="18"/>
                <w:lang w:val="en-US"/>
              </w:rPr>
              <w:t>Insufficient interest of stakeholders for cooperation with SAO</w:t>
            </w:r>
          </w:p>
        </w:tc>
        <w:tc>
          <w:tcPr>
            <w:tcW w:w="2254" w:type="dxa"/>
            <w:vMerge/>
            <w:shd w:val="clear" w:color="auto" w:fill="auto"/>
          </w:tcPr>
          <w:p w14:paraId="16780761" w14:textId="77777777" w:rsidR="002B305F" w:rsidRPr="008C761D" w:rsidRDefault="002B305F" w:rsidP="002B305F">
            <w:pPr>
              <w:spacing w:after="0" w:line="240" w:lineRule="auto"/>
              <w:rPr>
                <w:rFonts w:cs="Calibri"/>
                <w:sz w:val="18"/>
                <w:szCs w:val="18"/>
                <w:lang w:val="en-US"/>
              </w:rPr>
            </w:pPr>
          </w:p>
        </w:tc>
      </w:tr>
      <w:tr w:rsidR="002B305F" w:rsidRPr="008C761D" w14:paraId="2F031E65" w14:textId="77777777" w:rsidTr="00E935CF">
        <w:tc>
          <w:tcPr>
            <w:tcW w:w="562" w:type="dxa"/>
            <w:vMerge/>
            <w:shd w:val="clear" w:color="auto" w:fill="auto"/>
          </w:tcPr>
          <w:p w14:paraId="79F3026D"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7AB0F8DE"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724864CA" w14:textId="77777777" w:rsidR="002B305F" w:rsidRPr="008C761D" w:rsidRDefault="002B305F" w:rsidP="002B305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 xml:space="preserve">Lack of funds provided for full financing of the activities for the </w:t>
            </w:r>
            <w:proofErr w:type="gramStart"/>
            <w:r w:rsidRPr="008C761D">
              <w:rPr>
                <w:rFonts w:eastAsia="Times New Roman" w:cs="Calibri"/>
                <w:color w:val="202124"/>
                <w:sz w:val="18"/>
                <w:szCs w:val="18"/>
                <w:lang w:val="en-US"/>
              </w:rPr>
              <w:t>period  2023</w:t>
            </w:r>
            <w:proofErr w:type="gramEnd"/>
            <w:r w:rsidRPr="008C761D">
              <w:rPr>
                <w:rFonts w:eastAsia="Times New Roman" w:cs="Calibri"/>
                <w:color w:val="202124"/>
                <w:sz w:val="18"/>
                <w:szCs w:val="18"/>
                <w:lang w:val="en-US"/>
              </w:rPr>
              <w:t xml:space="preserve"> - 2027</w:t>
            </w:r>
          </w:p>
        </w:tc>
        <w:tc>
          <w:tcPr>
            <w:tcW w:w="2254" w:type="dxa"/>
            <w:vMerge w:val="restart"/>
            <w:shd w:val="clear" w:color="auto" w:fill="auto"/>
          </w:tcPr>
          <w:p w14:paraId="5E4F9B3B" w14:textId="77777777" w:rsidR="002B305F" w:rsidRPr="008C761D" w:rsidRDefault="002B305F" w:rsidP="002B305F">
            <w:pPr>
              <w:spacing w:after="0" w:line="240" w:lineRule="auto"/>
              <w:rPr>
                <w:rFonts w:cs="Calibri"/>
                <w:sz w:val="18"/>
                <w:szCs w:val="18"/>
                <w:lang w:val="en-US"/>
              </w:rPr>
            </w:pPr>
            <w:r w:rsidRPr="008C761D">
              <w:rPr>
                <w:rFonts w:eastAsia="Times New Roman" w:cs="Calibri"/>
                <w:color w:val="202124"/>
                <w:sz w:val="18"/>
                <w:szCs w:val="18"/>
                <w:lang w:val="en-US"/>
              </w:rPr>
              <w:t>State Audit Office in cooperation with stakeholders</w:t>
            </w:r>
          </w:p>
        </w:tc>
      </w:tr>
      <w:tr w:rsidR="002B305F" w:rsidRPr="008C761D" w14:paraId="3D7FAE33" w14:textId="77777777" w:rsidTr="00E935CF">
        <w:tc>
          <w:tcPr>
            <w:tcW w:w="562" w:type="dxa"/>
            <w:vMerge/>
            <w:shd w:val="clear" w:color="auto" w:fill="auto"/>
          </w:tcPr>
          <w:p w14:paraId="25B1DB1D"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332FB9E2"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48FADE7B" w14:textId="77777777" w:rsidR="002B305F" w:rsidRPr="008C761D" w:rsidRDefault="002B305F" w:rsidP="002B305F">
            <w:pPr>
              <w:spacing w:after="0" w:line="240" w:lineRule="auto"/>
              <w:rPr>
                <w:rFonts w:eastAsia="Times New Roman" w:cs="Calibri"/>
                <w:color w:val="202124"/>
                <w:sz w:val="18"/>
                <w:szCs w:val="18"/>
                <w:lang w:val="en-US"/>
              </w:rPr>
            </w:pPr>
            <w:r w:rsidRPr="008C761D">
              <w:rPr>
                <w:rFonts w:eastAsia="Times New Roman" w:cs="Calibri"/>
                <w:color w:val="202124"/>
                <w:sz w:val="18"/>
                <w:szCs w:val="18"/>
                <w:lang w:val="en-US"/>
              </w:rPr>
              <w:t>Lack of support from relevant experts for drafting new or improved methodological acts and audit tools</w:t>
            </w:r>
          </w:p>
        </w:tc>
        <w:tc>
          <w:tcPr>
            <w:tcW w:w="2254" w:type="dxa"/>
            <w:vMerge/>
            <w:shd w:val="clear" w:color="auto" w:fill="auto"/>
          </w:tcPr>
          <w:p w14:paraId="5B35E42E" w14:textId="77777777" w:rsidR="002B305F" w:rsidRPr="008C761D" w:rsidRDefault="002B305F" w:rsidP="002B305F">
            <w:pPr>
              <w:spacing w:after="0" w:line="240" w:lineRule="auto"/>
              <w:rPr>
                <w:rFonts w:cs="Calibri"/>
                <w:sz w:val="18"/>
                <w:szCs w:val="18"/>
                <w:lang w:val="en-US"/>
              </w:rPr>
            </w:pPr>
          </w:p>
        </w:tc>
      </w:tr>
      <w:tr w:rsidR="002B305F" w:rsidRPr="008C761D" w14:paraId="40529E04" w14:textId="77777777" w:rsidTr="00E935CF">
        <w:tc>
          <w:tcPr>
            <w:tcW w:w="562" w:type="dxa"/>
            <w:vMerge/>
            <w:shd w:val="clear" w:color="auto" w:fill="auto"/>
          </w:tcPr>
          <w:p w14:paraId="664AAD2C"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59E2583C"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5B5FDB2C" w14:textId="77777777" w:rsidR="002B305F" w:rsidRPr="008C761D" w:rsidRDefault="002B305F" w:rsidP="002B305F">
            <w:pPr>
              <w:spacing w:after="0" w:line="240" w:lineRule="auto"/>
              <w:rPr>
                <w:rFonts w:eastAsia="Times New Roman" w:cs="Calibri"/>
                <w:color w:val="FF0000"/>
                <w:sz w:val="18"/>
                <w:szCs w:val="18"/>
                <w:lang w:val="en-US"/>
              </w:rPr>
            </w:pPr>
            <w:r w:rsidRPr="008C761D">
              <w:rPr>
                <w:rFonts w:eastAsia="Times New Roman" w:cs="Calibri"/>
                <w:color w:val="202124"/>
                <w:sz w:val="18"/>
                <w:szCs w:val="18"/>
                <w:lang w:val="en-US"/>
              </w:rPr>
              <w:t>SAO institutional and HR capacities not strengthened to satisfactory level</w:t>
            </w:r>
          </w:p>
        </w:tc>
        <w:tc>
          <w:tcPr>
            <w:tcW w:w="2254" w:type="dxa"/>
            <w:vMerge/>
            <w:shd w:val="clear" w:color="auto" w:fill="auto"/>
          </w:tcPr>
          <w:p w14:paraId="07681DF9" w14:textId="77777777" w:rsidR="002B305F" w:rsidRPr="008C761D" w:rsidRDefault="002B305F" w:rsidP="002B305F">
            <w:pPr>
              <w:spacing w:after="0" w:line="240" w:lineRule="auto"/>
              <w:rPr>
                <w:rFonts w:cs="Calibri"/>
                <w:sz w:val="18"/>
                <w:szCs w:val="18"/>
                <w:lang w:val="en-US"/>
              </w:rPr>
            </w:pPr>
          </w:p>
        </w:tc>
      </w:tr>
      <w:tr w:rsidR="002B305F" w:rsidRPr="008C761D" w14:paraId="7DCD88EE" w14:textId="77777777" w:rsidTr="00E935CF">
        <w:tc>
          <w:tcPr>
            <w:tcW w:w="562" w:type="dxa"/>
            <w:vMerge/>
            <w:shd w:val="clear" w:color="auto" w:fill="auto"/>
          </w:tcPr>
          <w:p w14:paraId="3C84E103"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50B8F699"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62D9227F" w14:textId="56E88B2D" w:rsidR="002B305F" w:rsidRPr="008C761D" w:rsidRDefault="002B305F" w:rsidP="002B305F">
            <w:pPr>
              <w:spacing w:after="0" w:line="240" w:lineRule="auto"/>
              <w:rPr>
                <w:rFonts w:eastAsia="Times New Roman" w:cs="Calibri"/>
                <w:color w:val="FF0000"/>
                <w:sz w:val="18"/>
                <w:szCs w:val="18"/>
                <w:lang w:val="en-US"/>
              </w:rPr>
            </w:pPr>
            <w:r w:rsidRPr="008C761D">
              <w:rPr>
                <w:rFonts w:eastAsia="Times New Roman" w:cs="Calibri"/>
                <w:color w:val="202124"/>
                <w:sz w:val="18"/>
                <w:szCs w:val="18"/>
                <w:lang w:val="en-US"/>
              </w:rPr>
              <w:t>Limited opportunities for modernization of audit processes, obtaining modern equipment and improved working conditions</w:t>
            </w:r>
          </w:p>
        </w:tc>
        <w:tc>
          <w:tcPr>
            <w:tcW w:w="2254" w:type="dxa"/>
            <w:vMerge/>
            <w:shd w:val="clear" w:color="auto" w:fill="auto"/>
          </w:tcPr>
          <w:p w14:paraId="3F0D56F3" w14:textId="77777777" w:rsidR="002B305F" w:rsidRPr="008C761D" w:rsidRDefault="002B305F" w:rsidP="002B305F">
            <w:pPr>
              <w:spacing w:after="0" w:line="240" w:lineRule="auto"/>
              <w:rPr>
                <w:rFonts w:cs="Calibri"/>
                <w:sz w:val="18"/>
                <w:szCs w:val="18"/>
                <w:lang w:val="en-US"/>
              </w:rPr>
            </w:pPr>
          </w:p>
        </w:tc>
      </w:tr>
      <w:tr w:rsidR="002B305F" w:rsidRPr="008C761D" w14:paraId="6AF19684" w14:textId="77777777" w:rsidTr="004F1AAA">
        <w:trPr>
          <w:trHeight w:val="182"/>
        </w:trPr>
        <w:tc>
          <w:tcPr>
            <w:tcW w:w="562" w:type="dxa"/>
            <w:vMerge w:val="restart"/>
            <w:shd w:val="clear" w:color="auto" w:fill="auto"/>
          </w:tcPr>
          <w:p w14:paraId="510B1ECD" w14:textId="766AAB8C" w:rsidR="002B305F" w:rsidRPr="008C761D" w:rsidRDefault="00036FD5" w:rsidP="002B305F">
            <w:pPr>
              <w:spacing w:after="0" w:line="240" w:lineRule="auto"/>
              <w:rPr>
                <w:rFonts w:cs="Calibri"/>
                <w:sz w:val="18"/>
                <w:szCs w:val="18"/>
                <w:lang w:val="en-US"/>
              </w:rPr>
            </w:pPr>
            <w:r>
              <w:rPr>
                <w:rFonts w:cs="Calibri"/>
                <w:sz w:val="18"/>
                <w:szCs w:val="18"/>
                <w:lang w:val="en-US"/>
              </w:rPr>
              <w:t>17</w:t>
            </w:r>
          </w:p>
        </w:tc>
        <w:tc>
          <w:tcPr>
            <w:tcW w:w="2381" w:type="dxa"/>
            <w:vMerge w:val="restart"/>
            <w:shd w:val="clear" w:color="auto" w:fill="auto"/>
          </w:tcPr>
          <w:p w14:paraId="32A9808E"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Priority 2:</w:t>
            </w:r>
          </w:p>
          <w:p w14:paraId="2BB59883" w14:textId="481735EC" w:rsidR="002B305F" w:rsidRPr="008C761D" w:rsidRDefault="002B305F" w:rsidP="002B305F">
            <w:pPr>
              <w:spacing w:after="0" w:line="240" w:lineRule="auto"/>
              <w:rPr>
                <w:rFonts w:cs="Calibri"/>
                <w:sz w:val="18"/>
                <w:szCs w:val="18"/>
                <w:lang w:val="en-US"/>
              </w:rPr>
            </w:pPr>
            <w:r w:rsidRPr="008C761D">
              <w:rPr>
                <w:rFonts w:cs="Calibri"/>
                <w:sz w:val="18"/>
                <w:szCs w:val="18"/>
                <w:lang w:val="en-US"/>
              </w:rPr>
              <w:t>Parliamentary Oversight</w:t>
            </w:r>
          </w:p>
        </w:tc>
        <w:tc>
          <w:tcPr>
            <w:tcW w:w="3819" w:type="dxa"/>
            <w:shd w:val="clear" w:color="auto" w:fill="auto"/>
          </w:tcPr>
          <w:p w14:paraId="70A893A8" w14:textId="401480CF" w:rsidR="002B305F" w:rsidRPr="008C761D" w:rsidRDefault="002B305F" w:rsidP="002B305F">
            <w:pPr>
              <w:spacing w:after="0" w:line="240" w:lineRule="auto"/>
              <w:rPr>
                <w:rFonts w:cs="Calibri"/>
                <w:sz w:val="18"/>
                <w:szCs w:val="18"/>
                <w:lang w:val="en-US"/>
              </w:rPr>
            </w:pPr>
            <w:r w:rsidRPr="006C2FDD">
              <w:rPr>
                <w:rFonts w:cs="Calibri"/>
                <w:sz w:val="18"/>
                <w:szCs w:val="18"/>
                <w:lang w:val="en-US"/>
              </w:rPr>
              <w:t>Uncreated conditions of implementing the Memorandum of cooperation between the Assembly and the SAO.</w:t>
            </w:r>
          </w:p>
        </w:tc>
        <w:tc>
          <w:tcPr>
            <w:tcW w:w="2254" w:type="dxa"/>
            <w:vMerge w:val="restart"/>
            <w:shd w:val="clear" w:color="auto" w:fill="auto"/>
          </w:tcPr>
          <w:p w14:paraId="0E358B78" w14:textId="77777777" w:rsidR="002B305F" w:rsidRPr="008C761D" w:rsidRDefault="002B305F" w:rsidP="002B305F">
            <w:pPr>
              <w:spacing w:after="0" w:line="240" w:lineRule="auto"/>
              <w:rPr>
                <w:rFonts w:cs="Calibri"/>
                <w:sz w:val="18"/>
                <w:szCs w:val="18"/>
                <w:lang w:val="en-US"/>
              </w:rPr>
            </w:pPr>
            <w:r w:rsidRPr="008C761D">
              <w:rPr>
                <w:rFonts w:cs="Calibri"/>
                <w:sz w:val="18"/>
                <w:szCs w:val="18"/>
                <w:lang w:val="en-US"/>
              </w:rPr>
              <w:t>SAO</w:t>
            </w:r>
          </w:p>
          <w:p w14:paraId="373442C0" w14:textId="77777777" w:rsidR="002B305F" w:rsidRPr="008C761D" w:rsidRDefault="002B305F" w:rsidP="002B305F">
            <w:pPr>
              <w:spacing w:after="0" w:line="240" w:lineRule="auto"/>
              <w:rPr>
                <w:rFonts w:cs="Calibri"/>
                <w:sz w:val="18"/>
                <w:szCs w:val="18"/>
                <w:lang w:val="en-US"/>
              </w:rPr>
            </w:pPr>
            <w:r w:rsidRPr="008C761D">
              <w:rPr>
                <w:rFonts w:eastAsia="Times New Roman" w:cs="Calibri"/>
                <w:color w:val="202124"/>
                <w:sz w:val="18"/>
                <w:szCs w:val="18"/>
                <w:lang w:val="en-US"/>
              </w:rPr>
              <w:t>State Audit Office in cooperation with stakeholders</w:t>
            </w:r>
          </w:p>
        </w:tc>
      </w:tr>
      <w:tr w:rsidR="002B305F" w:rsidRPr="008C761D" w14:paraId="725FA2D5" w14:textId="77777777" w:rsidTr="00E935CF">
        <w:trPr>
          <w:trHeight w:val="181"/>
        </w:trPr>
        <w:tc>
          <w:tcPr>
            <w:tcW w:w="562" w:type="dxa"/>
            <w:vMerge/>
            <w:shd w:val="clear" w:color="auto" w:fill="auto"/>
          </w:tcPr>
          <w:p w14:paraId="51282CD4"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0D4CA9FE"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51223B1B" w14:textId="1939A199" w:rsidR="002B305F" w:rsidRPr="008C761D" w:rsidRDefault="002B305F" w:rsidP="002B305F">
            <w:pPr>
              <w:spacing w:after="0" w:line="240" w:lineRule="auto"/>
              <w:rPr>
                <w:rFonts w:cs="Calibri"/>
                <w:sz w:val="18"/>
                <w:szCs w:val="18"/>
                <w:lang w:val="en-US"/>
              </w:rPr>
            </w:pPr>
            <w:r w:rsidRPr="006C2FDD">
              <w:rPr>
                <w:rFonts w:cs="Calibri"/>
                <w:sz w:val="18"/>
                <w:szCs w:val="18"/>
                <w:lang w:val="en-US"/>
              </w:rPr>
              <w:t>Uncreated conditions to prepare and adopt final/proposal procedures of the Assembly for the mechanism for reviewing audit reports.</w:t>
            </w:r>
          </w:p>
        </w:tc>
        <w:tc>
          <w:tcPr>
            <w:tcW w:w="2254" w:type="dxa"/>
            <w:vMerge/>
            <w:shd w:val="clear" w:color="auto" w:fill="auto"/>
          </w:tcPr>
          <w:p w14:paraId="29425FBD" w14:textId="77777777" w:rsidR="002B305F" w:rsidRPr="008C761D" w:rsidRDefault="002B305F" w:rsidP="002B305F">
            <w:pPr>
              <w:spacing w:after="0" w:line="240" w:lineRule="auto"/>
              <w:rPr>
                <w:rFonts w:eastAsia="Times New Roman" w:cs="Calibri"/>
                <w:color w:val="202124"/>
                <w:sz w:val="18"/>
                <w:szCs w:val="18"/>
                <w:lang w:val="en-US"/>
              </w:rPr>
            </w:pPr>
          </w:p>
        </w:tc>
      </w:tr>
      <w:tr w:rsidR="002B305F" w:rsidRPr="008C761D" w14:paraId="059D9386" w14:textId="77777777" w:rsidTr="00E935CF">
        <w:trPr>
          <w:trHeight w:val="578"/>
        </w:trPr>
        <w:tc>
          <w:tcPr>
            <w:tcW w:w="562" w:type="dxa"/>
            <w:vMerge/>
            <w:shd w:val="clear" w:color="auto" w:fill="auto"/>
          </w:tcPr>
          <w:p w14:paraId="59F6C907"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6B8AF0ED"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4C4996B4" w14:textId="5CD351F2" w:rsidR="002B305F" w:rsidRPr="008C761D" w:rsidRDefault="002B305F" w:rsidP="002B305F">
            <w:pPr>
              <w:spacing w:after="0" w:line="240" w:lineRule="auto"/>
              <w:rPr>
                <w:rFonts w:cs="Calibri"/>
                <w:sz w:val="18"/>
                <w:szCs w:val="18"/>
                <w:lang w:val="en-US"/>
              </w:rPr>
            </w:pPr>
            <w:r w:rsidRPr="006C2FDD">
              <w:rPr>
                <w:rFonts w:cs="Calibri"/>
                <w:sz w:val="18"/>
                <w:szCs w:val="18"/>
                <w:lang w:val="en-US"/>
              </w:rPr>
              <w:t>Uncreated conditions for reviewing of summary reports from the final audit reports from certain areas by the Assembly.</w:t>
            </w:r>
          </w:p>
        </w:tc>
        <w:tc>
          <w:tcPr>
            <w:tcW w:w="2254" w:type="dxa"/>
            <w:vMerge/>
            <w:shd w:val="clear" w:color="auto" w:fill="auto"/>
          </w:tcPr>
          <w:p w14:paraId="3E2752BB" w14:textId="77777777" w:rsidR="002B305F" w:rsidRPr="008C761D" w:rsidRDefault="002B305F" w:rsidP="002B305F">
            <w:pPr>
              <w:spacing w:after="0" w:line="240" w:lineRule="auto"/>
              <w:rPr>
                <w:rFonts w:cs="Calibri"/>
                <w:sz w:val="18"/>
                <w:szCs w:val="18"/>
                <w:lang w:val="en-US"/>
              </w:rPr>
            </w:pPr>
          </w:p>
        </w:tc>
      </w:tr>
      <w:tr w:rsidR="002B305F" w:rsidRPr="008C761D" w14:paraId="04EFEA1A" w14:textId="77777777" w:rsidTr="006C2FDD">
        <w:trPr>
          <w:trHeight w:val="463"/>
        </w:trPr>
        <w:tc>
          <w:tcPr>
            <w:tcW w:w="562" w:type="dxa"/>
            <w:vMerge/>
            <w:shd w:val="clear" w:color="auto" w:fill="auto"/>
          </w:tcPr>
          <w:p w14:paraId="09312904"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3DFF2DCF"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018D3040" w14:textId="19E18178" w:rsidR="002B305F" w:rsidRPr="006C2FDD" w:rsidRDefault="002B305F" w:rsidP="002B305F">
            <w:pPr>
              <w:spacing w:after="0" w:line="240" w:lineRule="auto"/>
              <w:rPr>
                <w:rFonts w:cs="Calibri"/>
                <w:sz w:val="18"/>
                <w:szCs w:val="18"/>
                <w:lang w:val="en-US"/>
              </w:rPr>
            </w:pPr>
            <w:r w:rsidRPr="006C2FDD">
              <w:rPr>
                <w:rFonts w:cs="Calibri"/>
                <w:sz w:val="18"/>
                <w:szCs w:val="18"/>
                <w:lang w:val="en-US"/>
              </w:rPr>
              <w:t>Inability to provide sufficient funds for education.</w:t>
            </w:r>
          </w:p>
        </w:tc>
        <w:tc>
          <w:tcPr>
            <w:tcW w:w="2254" w:type="dxa"/>
            <w:vMerge/>
            <w:shd w:val="clear" w:color="auto" w:fill="auto"/>
          </w:tcPr>
          <w:p w14:paraId="2080B6C2" w14:textId="77777777" w:rsidR="002B305F" w:rsidRPr="008C761D" w:rsidRDefault="002B305F" w:rsidP="002B305F">
            <w:pPr>
              <w:spacing w:after="0" w:line="240" w:lineRule="auto"/>
              <w:rPr>
                <w:rFonts w:cs="Calibri"/>
                <w:sz w:val="18"/>
                <w:szCs w:val="18"/>
                <w:lang w:val="en-US"/>
              </w:rPr>
            </w:pPr>
          </w:p>
        </w:tc>
      </w:tr>
      <w:tr w:rsidR="002B305F" w:rsidRPr="008C761D" w14:paraId="2C5A8778" w14:textId="77777777" w:rsidTr="00923BCD">
        <w:trPr>
          <w:trHeight w:val="301"/>
        </w:trPr>
        <w:tc>
          <w:tcPr>
            <w:tcW w:w="562" w:type="dxa"/>
            <w:vMerge/>
            <w:shd w:val="clear" w:color="auto" w:fill="auto"/>
          </w:tcPr>
          <w:p w14:paraId="02F49A37"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7CCCD2A2"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58B97E36" w14:textId="7B309AD4" w:rsidR="002B305F" w:rsidRPr="006C2FDD" w:rsidRDefault="002B305F" w:rsidP="002B305F">
            <w:pPr>
              <w:spacing w:after="0" w:line="240" w:lineRule="auto"/>
              <w:rPr>
                <w:rFonts w:cs="Calibri"/>
                <w:sz w:val="18"/>
                <w:szCs w:val="18"/>
                <w:lang w:val="en-US"/>
              </w:rPr>
            </w:pPr>
            <w:r w:rsidRPr="006C2FDD">
              <w:rPr>
                <w:rFonts w:cs="Calibri"/>
                <w:sz w:val="18"/>
                <w:szCs w:val="18"/>
                <w:lang w:val="en-US"/>
              </w:rPr>
              <w:t>Insufficient interest in conducting trainings.</w:t>
            </w:r>
          </w:p>
        </w:tc>
        <w:tc>
          <w:tcPr>
            <w:tcW w:w="2254" w:type="dxa"/>
            <w:vMerge/>
            <w:shd w:val="clear" w:color="auto" w:fill="auto"/>
          </w:tcPr>
          <w:p w14:paraId="5F2BBF66" w14:textId="77777777" w:rsidR="002B305F" w:rsidRPr="008C761D" w:rsidRDefault="002B305F" w:rsidP="002B305F">
            <w:pPr>
              <w:spacing w:after="0" w:line="240" w:lineRule="auto"/>
              <w:rPr>
                <w:rFonts w:cs="Calibri"/>
                <w:color w:val="FF0000"/>
                <w:sz w:val="18"/>
                <w:szCs w:val="18"/>
                <w:lang w:val="en-US"/>
              </w:rPr>
            </w:pPr>
          </w:p>
        </w:tc>
      </w:tr>
      <w:tr w:rsidR="002B305F" w:rsidRPr="008C761D" w14:paraId="3220EEEE" w14:textId="77777777" w:rsidTr="006C2FDD">
        <w:trPr>
          <w:trHeight w:val="247"/>
        </w:trPr>
        <w:tc>
          <w:tcPr>
            <w:tcW w:w="562" w:type="dxa"/>
            <w:vMerge/>
            <w:shd w:val="clear" w:color="auto" w:fill="auto"/>
          </w:tcPr>
          <w:p w14:paraId="280BD126"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68636E60" w14:textId="77777777" w:rsidR="002B305F" w:rsidRPr="008C761D" w:rsidRDefault="002B305F" w:rsidP="002B305F">
            <w:pPr>
              <w:spacing w:after="0" w:line="240" w:lineRule="auto"/>
              <w:rPr>
                <w:rFonts w:cs="Calibri"/>
                <w:sz w:val="18"/>
                <w:szCs w:val="18"/>
                <w:lang w:val="en-US"/>
              </w:rPr>
            </w:pPr>
          </w:p>
        </w:tc>
        <w:tc>
          <w:tcPr>
            <w:tcW w:w="3819" w:type="dxa"/>
            <w:shd w:val="clear" w:color="auto" w:fill="auto"/>
          </w:tcPr>
          <w:p w14:paraId="746C6C67" w14:textId="675D8E06" w:rsidR="002B305F" w:rsidRPr="006C2FDD" w:rsidRDefault="002B305F" w:rsidP="002B305F">
            <w:pPr>
              <w:spacing w:after="0" w:line="240" w:lineRule="auto"/>
              <w:rPr>
                <w:rFonts w:cs="Calibri"/>
                <w:sz w:val="18"/>
                <w:szCs w:val="18"/>
                <w:lang w:val="en-US"/>
              </w:rPr>
            </w:pPr>
            <w:r w:rsidRPr="008C761D">
              <w:rPr>
                <w:rFonts w:cs="Calibri"/>
                <w:sz w:val="18"/>
                <w:szCs w:val="18"/>
                <w:lang w:val="en-US"/>
              </w:rPr>
              <w:t>Lack of funds for conducting trainings.</w:t>
            </w:r>
          </w:p>
        </w:tc>
        <w:tc>
          <w:tcPr>
            <w:tcW w:w="2254" w:type="dxa"/>
            <w:vMerge/>
            <w:shd w:val="clear" w:color="auto" w:fill="auto"/>
          </w:tcPr>
          <w:p w14:paraId="7E87930A" w14:textId="77777777" w:rsidR="002B305F" w:rsidRPr="008C761D" w:rsidRDefault="002B305F" w:rsidP="002B305F">
            <w:pPr>
              <w:spacing w:after="0" w:line="240" w:lineRule="auto"/>
              <w:rPr>
                <w:rFonts w:cs="Calibri"/>
                <w:sz w:val="18"/>
                <w:szCs w:val="18"/>
                <w:lang w:val="en-US"/>
              </w:rPr>
            </w:pPr>
          </w:p>
        </w:tc>
      </w:tr>
      <w:tr w:rsidR="002B305F" w:rsidRPr="008C761D" w14:paraId="697754F5" w14:textId="77777777" w:rsidTr="00E935CF">
        <w:tc>
          <w:tcPr>
            <w:tcW w:w="9016" w:type="dxa"/>
            <w:gridSpan w:val="4"/>
            <w:shd w:val="clear" w:color="auto" w:fill="D9E2F3"/>
          </w:tcPr>
          <w:p w14:paraId="347AE386" w14:textId="59810C0F"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PILLAR VIII - PFM at</w:t>
            </w:r>
            <w:r>
              <w:rPr>
                <w:rFonts w:cs="Calibri"/>
                <w:b/>
                <w:sz w:val="18"/>
                <w:szCs w:val="18"/>
                <w:lang w:val="en-US"/>
              </w:rPr>
              <w:t xml:space="preserve"> </w:t>
            </w:r>
            <w:r w:rsidRPr="008C761D">
              <w:rPr>
                <w:rFonts w:cs="Calibri"/>
                <w:b/>
                <w:sz w:val="18"/>
                <w:szCs w:val="18"/>
                <w:lang w:val="en-US"/>
              </w:rPr>
              <w:t>Local</w:t>
            </w:r>
            <w:r>
              <w:rPr>
                <w:rFonts w:cs="Calibri"/>
                <w:b/>
                <w:sz w:val="18"/>
                <w:szCs w:val="18"/>
                <w:lang w:val="en-US"/>
              </w:rPr>
              <w:t xml:space="preserve"> </w:t>
            </w:r>
            <w:r w:rsidRPr="008C761D">
              <w:rPr>
                <w:rFonts w:cs="Calibri"/>
                <w:b/>
                <w:sz w:val="18"/>
                <w:szCs w:val="18"/>
                <w:lang w:val="en-US"/>
              </w:rPr>
              <w:t>Level</w:t>
            </w:r>
          </w:p>
        </w:tc>
      </w:tr>
      <w:tr w:rsidR="002B305F" w:rsidRPr="008C761D" w14:paraId="626D8A23" w14:textId="77777777" w:rsidTr="00E935CF">
        <w:tc>
          <w:tcPr>
            <w:tcW w:w="562" w:type="dxa"/>
            <w:vMerge w:val="restart"/>
            <w:shd w:val="clear" w:color="auto" w:fill="auto"/>
          </w:tcPr>
          <w:p w14:paraId="22032D92" w14:textId="60B1D0E1" w:rsidR="002B305F" w:rsidRPr="00036FD5" w:rsidRDefault="00036FD5" w:rsidP="002B305F">
            <w:pPr>
              <w:spacing w:after="0" w:line="240" w:lineRule="auto"/>
              <w:rPr>
                <w:rFonts w:cs="Calibri"/>
                <w:sz w:val="18"/>
                <w:szCs w:val="18"/>
              </w:rPr>
            </w:pPr>
            <w:r>
              <w:rPr>
                <w:rFonts w:cs="Calibri"/>
                <w:sz w:val="18"/>
                <w:szCs w:val="18"/>
              </w:rPr>
              <w:t>18</w:t>
            </w:r>
          </w:p>
        </w:tc>
        <w:tc>
          <w:tcPr>
            <w:tcW w:w="2381" w:type="dxa"/>
            <w:vMerge w:val="restart"/>
            <w:shd w:val="clear" w:color="auto" w:fill="auto"/>
          </w:tcPr>
          <w:p w14:paraId="6EF80976"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 xml:space="preserve">Priority 1: </w:t>
            </w:r>
          </w:p>
          <w:p w14:paraId="3C8FE263" w14:textId="2D5D111D" w:rsidR="002B305F" w:rsidRPr="008C761D" w:rsidRDefault="002B305F" w:rsidP="002B305F">
            <w:pPr>
              <w:spacing w:after="0" w:line="240" w:lineRule="auto"/>
              <w:rPr>
                <w:rFonts w:cs="Calibri"/>
                <w:sz w:val="18"/>
                <w:szCs w:val="18"/>
                <w:lang w:val="en-US"/>
              </w:rPr>
            </w:pPr>
            <w:r w:rsidRPr="008C761D">
              <w:rPr>
                <w:rFonts w:cs="Calibri"/>
                <w:sz w:val="18"/>
                <w:szCs w:val="18"/>
                <w:lang w:val="en-US"/>
              </w:rPr>
              <w:t>Fiscal Decentralisation</w:t>
            </w:r>
          </w:p>
        </w:tc>
        <w:tc>
          <w:tcPr>
            <w:tcW w:w="3819" w:type="dxa"/>
            <w:shd w:val="clear" w:color="auto" w:fill="auto"/>
          </w:tcPr>
          <w:p w14:paraId="76ECC6CE" w14:textId="68C374CF" w:rsidR="002B305F" w:rsidRPr="008C761D" w:rsidRDefault="002B305F" w:rsidP="002B305F">
            <w:pPr>
              <w:spacing w:after="0" w:line="240" w:lineRule="auto"/>
              <w:rPr>
                <w:rFonts w:cs="Calibri"/>
                <w:sz w:val="18"/>
                <w:szCs w:val="18"/>
                <w:lang w:val="en-US"/>
              </w:rPr>
            </w:pPr>
            <w:r w:rsidRPr="008C761D">
              <w:rPr>
                <w:rFonts w:cs="Calibri"/>
                <w:sz w:val="18"/>
                <w:szCs w:val="18"/>
                <w:lang w:val="en-US"/>
              </w:rPr>
              <w:t>Insufficient human capacity to implement the planned activities</w:t>
            </w:r>
          </w:p>
        </w:tc>
        <w:tc>
          <w:tcPr>
            <w:tcW w:w="2254" w:type="dxa"/>
            <w:shd w:val="clear" w:color="auto" w:fill="auto"/>
          </w:tcPr>
          <w:p w14:paraId="7493BAAE" w14:textId="2D650D15" w:rsidR="002B305F" w:rsidRPr="008C761D" w:rsidRDefault="002B305F" w:rsidP="002B305F">
            <w:pPr>
              <w:spacing w:after="0" w:line="240" w:lineRule="auto"/>
              <w:rPr>
                <w:rFonts w:cs="Calibri"/>
                <w:sz w:val="18"/>
                <w:szCs w:val="18"/>
                <w:lang w:val="en-US"/>
              </w:rPr>
            </w:pPr>
            <w:r w:rsidRPr="008C761D">
              <w:rPr>
                <w:rFonts w:cs="Calibri"/>
                <w:sz w:val="18"/>
                <w:szCs w:val="18"/>
                <w:lang w:val="en-US"/>
              </w:rPr>
              <w:t>Ministry of Finance</w:t>
            </w:r>
          </w:p>
        </w:tc>
      </w:tr>
      <w:tr w:rsidR="002B305F" w:rsidRPr="008C761D" w14:paraId="6F9DA58F" w14:textId="77777777" w:rsidTr="00E935CF">
        <w:tc>
          <w:tcPr>
            <w:tcW w:w="562" w:type="dxa"/>
            <w:vMerge/>
            <w:shd w:val="clear" w:color="auto" w:fill="auto"/>
          </w:tcPr>
          <w:p w14:paraId="1F595455"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4104FEC5"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77AEA6C0" w14:textId="6231ACEF" w:rsidR="002B305F" w:rsidRPr="008C761D" w:rsidRDefault="002B305F" w:rsidP="002B305F">
            <w:pPr>
              <w:spacing w:after="0" w:line="240" w:lineRule="auto"/>
              <w:rPr>
                <w:rFonts w:cs="Calibri"/>
                <w:sz w:val="18"/>
                <w:szCs w:val="18"/>
                <w:lang w:val="en-US"/>
              </w:rPr>
            </w:pPr>
            <w:r w:rsidRPr="008C761D">
              <w:rPr>
                <w:rFonts w:cs="Calibri"/>
                <w:sz w:val="18"/>
                <w:szCs w:val="18"/>
                <w:lang w:val="en-US"/>
              </w:rPr>
              <w:t>Delay in the adoption of laws and by-laws</w:t>
            </w:r>
          </w:p>
        </w:tc>
        <w:tc>
          <w:tcPr>
            <w:tcW w:w="2254" w:type="dxa"/>
            <w:shd w:val="clear" w:color="auto" w:fill="auto"/>
          </w:tcPr>
          <w:p w14:paraId="02401621" w14:textId="1BB1B23E" w:rsidR="002B305F" w:rsidRPr="008C761D" w:rsidRDefault="002B305F" w:rsidP="002B305F">
            <w:pPr>
              <w:spacing w:after="0" w:line="240" w:lineRule="auto"/>
              <w:rPr>
                <w:rFonts w:cs="Calibri"/>
                <w:sz w:val="18"/>
                <w:szCs w:val="18"/>
                <w:lang w:val="en-US"/>
              </w:rPr>
            </w:pPr>
            <w:r w:rsidRPr="008C761D">
              <w:rPr>
                <w:rFonts w:cs="Calibri"/>
                <w:sz w:val="18"/>
                <w:szCs w:val="18"/>
                <w:lang w:val="en-US"/>
              </w:rPr>
              <w:t>Assembly of RNM</w:t>
            </w:r>
          </w:p>
        </w:tc>
      </w:tr>
      <w:tr w:rsidR="002B305F" w:rsidRPr="008C761D" w14:paraId="2B397E02" w14:textId="77777777" w:rsidTr="00E935CF">
        <w:tc>
          <w:tcPr>
            <w:tcW w:w="562" w:type="dxa"/>
            <w:vMerge/>
            <w:shd w:val="clear" w:color="auto" w:fill="auto"/>
          </w:tcPr>
          <w:p w14:paraId="0DE55A49"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32C56C53"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5AD982C5" w14:textId="3C35329B" w:rsidR="002B305F" w:rsidRPr="008C761D" w:rsidRDefault="002B305F" w:rsidP="002B305F">
            <w:pPr>
              <w:spacing w:after="0" w:line="240" w:lineRule="auto"/>
              <w:rPr>
                <w:rFonts w:cs="Calibri"/>
                <w:sz w:val="18"/>
                <w:szCs w:val="18"/>
                <w:lang w:val="en-US"/>
              </w:rPr>
            </w:pPr>
            <w:r w:rsidRPr="008C761D">
              <w:rPr>
                <w:rFonts w:cs="Calibri"/>
                <w:sz w:val="18"/>
                <w:szCs w:val="18"/>
                <w:lang w:val="en-US"/>
              </w:rPr>
              <w:t>Political risks - untimely constitution of the Government and the Assembly of the RNM</w:t>
            </w:r>
          </w:p>
        </w:tc>
        <w:tc>
          <w:tcPr>
            <w:tcW w:w="2254" w:type="dxa"/>
            <w:shd w:val="clear" w:color="auto" w:fill="auto"/>
          </w:tcPr>
          <w:p w14:paraId="657A9881" w14:textId="05FE1803" w:rsidR="002B305F" w:rsidRPr="008C761D" w:rsidRDefault="002B305F" w:rsidP="002B305F">
            <w:pPr>
              <w:spacing w:after="0" w:line="240" w:lineRule="auto"/>
              <w:rPr>
                <w:rFonts w:cs="Calibri"/>
                <w:sz w:val="18"/>
                <w:szCs w:val="18"/>
                <w:lang w:val="en-US"/>
              </w:rPr>
            </w:pPr>
            <w:r w:rsidRPr="008C761D">
              <w:rPr>
                <w:rFonts w:cs="Calibri"/>
                <w:sz w:val="18"/>
                <w:szCs w:val="18"/>
                <w:lang w:val="en-US"/>
              </w:rPr>
              <w:t>Government and Assembly of RNM</w:t>
            </w:r>
          </w:p>
        </w:tc>
      </w:tr>
      <w:tr w:rsidR="002B305F" w:rsidRPr="008C761D" w14:paraId="7F7F818B" w14:textId="77777777" w:rsidTr="00E935CF">
        <w:tc>
          <w:tcPr>
            <w:tcW w:w="562" w:type="dxa"/>
            <w:vMerge/>
            <w:shd w:val="clear" w:color="auto" w:fill="auto"/>
          </w:tcPr>
          <w:p w14:paraId="57A3D0D7"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428FB833"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1E9A4C2E" w14:textId="0D1E4C1A" w:rsidR="002B305F" w:rsidRPr="008C761D" w:rsidRDefault="002B305F" w:rsidP="002B305F">
            <w:pPr>
              <w:spacing w:after="0" w:line="240" w:lineRule="auto"/>
              <w:rPr>
                <w:rFonts w:cs="Calibri"/>
                <w:sz w:val="18"/>
                <w:szCs w:val="18"/>
                <w:lang w:val="en-US"/>
              </w:rPr>
            </w:pPr>
            <w:r w:rsidRPr="008C761D">
              <w:rPr>
                <w:rFonts w:cs="Calibri"/>
                <w:sz w:val="18"/>
                <w:szCs w:val="18"/>
                <w:lang w:val="en-US"/>
              </w:rPr>
              <w:t>Insufficient interest of the top management</w:t>
            </w:r>
          </w:p>
        </w:tc>
        <w:tc>
          <w:tcPr>
            <w:tcW w:w="2254" w:type="dxa"/>
            <w:shd w:val="clear" w:color="auto" w:fill="auto"/>
          </w:tcPr>
          <w:p w14:paraId="20693769" w14:textId="03DCFF06" w:rsidR="002B305F" w:rsidRPr="008C761D" w:rsidRDefault="002B305F" w:rsidP="002B305F">
            <w:pPr>
              <w:spacing w:after="0" w:line="240" w:lineRule="auto"/>
              <w:rPr>
                <w:rFonts w:cs="Calibri"/>
                <w:sz w:val="18"/>
                <w:szCs w:val="18"/>
                <w:lang w:val="en-US"/>
              </w:rPr>
            </w:pPr>
            <w:r w:rsidRPr="008C761D">
              <w:rPr>
                <w:rFonts w:cs="Calibri"/>
                <w:sz w:val="18"/>
                <w:szCs w:val="18"/>
                <w:lang w:val="en-US"/>
              </w:rPr>
              <w:t>Ministry of Local Self-Government</w:t>
            </w:r>
          </w:p>
        </w:tc>
      </w:tr>
      <w:tr w:rsidR="002B305F" w:rsidRPr="008C761D" w14:paraId="59F22751" w14:textId="77777777" w:rsidTr="00E935CF">
        <w:tc>
          <w:tcPr>
            <w:tcW w:w="562" w:type="dxa"/>
            <w:vMerge/>
            <w:shd w:val="clear" w:color="auto" w:fill="auto"/>
          </w:tcPr>
          <w:p w14:paraId="5999BFDC"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7A623941"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253B66C1" w14:textId="28FF193A" w:rsidR="002B305F" w:rsidRPr="008C761D" w:rsidRDefault="002B305F" w:rsidP="002B305F">
            <w:pPr>
              <w:spacing w:after="0" w:line="240" w:lineRule="auto"/>
              <w:rPr>
                <w:rFonts w:cs="Calibri"/>
                <w:sz w:val="18"/>
                <w:szCs w:val="18"/>
                <w:lang w:val="en-US"/>
              </w:rPr>
            </w:pPr>
            <w:r w:rsidRPr="008C761D">
              <w:rPr>
                <w:rFonts w:cs="Calibri"/>
                <w:sz w:val="18"/>
                <w:szCs w:val="18"/>
                <w:lang w:val="en-US"/>
              </w:rPr>
              <w:t>Departure or reduced interest among donors to support activities</w:t>
            </w:r>
          </w:p>
        </w:tc>
        <w:tc>
          <w:tcPr>
            <w:tcW w:w="2254" w:type="dxa"/>
            <w:shd w:val="clear" w:color="auto" w:fill="auto"/>
          </w:tcPr>
          <w:p w14:paraId="72E1C291" w14:textId="743C7724" w:rsidR="002B305F" w:rsidRPr="008C761D" w:rsidRDefault="002B305F" w:rsidP="002B305F">
            <w:pPr>
              <w:spacing w:after="0" w:line="240" w:lineRule="auto"/>
              <w:rPr>
                <w:rFonts w:cs="Calibri"/>
                <w:sz w:val="18"/>
                <w:szCs w:val="18"/>
                <w:lang w:val="en-US"/>
              </w:rPr>
            </w:pPr>
            <w:r w:rsidRPr="008C761D">
              <w:rPr>
                <w:rFonts w:cs="Calibri"/>
                <w:sz w:val="18"/>
                <w:szCs w:val="18"/>
                <w:lang w:val="en-US"/>
              </w:rPr>
              <w:t>Donors</w:t>
            </w:r>
          </w:p>
        </w:tc>
      </w:tr>
      <w:tr w:rsidR="002B305F" w:rsidRPr="008C761D" w14:paraId="0F76AC27" w14:textId="77777777" w:rsidTr="00E935CF">
        <w:tc>
          <w:tcPr>
            <w:tcW w:w="562" w:type="dxa"/>
            <w:vMerge w:val="restart"/>
            <w:shd w:val="clear" w:color="auto" w:fill="auto"/>
          </w:tcPr>
          <w:p w14:paraId="39DB24F8" w14:textId="71991168" w:rsidR="002B305F" w:rsidRPr="00036FD5" w:rsidRDefault="00036FD5" w:rsidP="002B305F">
            <w:pPr>
              <w:spacing w:after="0" w:line="240" w:lineRule="auto"/>
              <w:rPr>
                <w:rFonts w:cs="Calibri"/>
                <w:sz w:val="18"/>
                <w:szCs w:val="18"/>
              </w:rPr>
            </w:pPr>
            <w:r>
              <w:rPr>
                <w:rFonts w:cs="Calibri"/>
                <w:sz w:val="18"/>
                <w:szCs w:val="18"/>
              </w:rPr>
              <w:t>19</w:t>
            </w:r>
          </w:p>
        </w:tc>
        <w:tc>
          <w:tcPr>
            <w:tcW w:w="2381" w:type="dxa"/>
            <w:vMerge w:val="restart"/>
            <w:shd w:val="clear" w:color="auto" w:fill="auto"/>
          </w:tcPr>
          <w:p w14:paraId="27261011" w14:textId="77777777" w:rsidR="002B305F" w:rsidRPr="008C761D" w:rsidRDefault="002B305F" w:rsidP="002B305F">
            <w:pPr>
              <w:spacing w:after="0" w:line="240" w:lineRule="auto"/>
              <w:rPr>
                <w:rFonts w:cs="Calibri"/>
                <w:b/>
                <w:sz w:val="18"/>
                <w:szCs w:val="18"/>
                <w:lang w:val="en-US"/>
              </w:rPr>
            </w:pPr>
            <w:r w:rsidRPr="008C761D">
              <w:rPr>
                <w:rFonts w:cs="Calibri"/>
                <w:b/>
                <w:sz w:val="18"/>
                <w:szCs w:val="18"/>
                <w:lang w:val="en-US"/>
              </w:rPr>
              <w:t>Priority 2:</w:t>
            </w:r>
          </w:p>
          <w:p w14:paraId="7A432B12" w14:textId="0AAC0E87" w:rsidR="002B305F" w:rsidRPr="008C761D" w:rsidRDefault="002B305F" w:rsidP="002B305F">
            <w:pPr>
              <w:spacing w:after="0" w:line="240" w:lineRule="auto"/>
              <w:rPr>
                <w:rFonts w:cs="Calibri"/>
                <w:sz w:val="18"/>
                <w:szCs w:val="18"/>
                <w:lang w:val="en-US"/>
              </w:rPr>
            </w:pPr>
            <w:r w:rsidRPr="008C761D">
              <w:rPr>
                <w:rFonts w:cs="Calibri"/>
                <w:sz w:val="18"/>
                <w:szCs w:val="18"/>
                <w:lang w:val="en-US"/>
              </w:rPr>
              <w:t>Fiscal Discipline, Transparency and Accountability on Local Level</w:t>
            </w:r>
          </w:p>
        </w:tc>
        <w:tc>
          <w:tcPr>
            <w:tcW w:w="3819" w:type="dxa"/>
            <w:shd w:val="clear" w:color="auto" w:fill="auto"/>
          </w:tcPr>
          <w:p w14:paraId="7DD85C01" w14:textId="583348B4" w:rsidR="002B305F" w:rsidRPr="008C761D" w:rsidRDefault="002B305F" w:rsidP="002B305F">
            <w:pPr>
              <w:spacing w:after="0" w:line="240" w:lineRule="auto"/>
              <w:rPr>
                <w:rFonts w:cs="Calibri"/>
                <w:sz w:val="18"/>
                <w:szCs w:val="18"/>
                <w:lang w:val="en-US"/>
              </w:rPr>
            </w:pPr>
            <w:r w:rsidRPr="008C761D">
              <w:rPr>
                <w:rFonts w:cs="Calibri"/>
                <w:sz w:val="18"/>
                <w:szCs w:val="18"/>
                <w:lang w:val="en-US"/>
              </w:rPr>
              <w:t>Insufficient human capacity to implement the planned activities</w:t>
            </w:r>
          </w:p>
        </w:tc>
        <w:tc>
          <w:tcPr>
            <w:tcW w:w="2254" w:type="dxa"/>
            <w:shd w:val="clear" w:color="auto" w:fill="auto"/>
          </w:tcPr>
          <w:p w14:paraId="704E85FA" w14:textId="42790558" w:rsidR="002B305F" w:rsidRPr="008C761D" w:rsidRDefault="002B305F" w:rsidP="002B305F">
            <w:pPr>
              <w:spacing w:after="0" w:line="240" w:lineRule="auto"/>
              <w:rPr>
                <w:rFonts w:cs="Calibri"/>
                <w:sz w:val="18"/>
                <w:szCs w:val="18"/>
                <w:lang w:val="en-US"/>
              </w:rPr>
            </w:pPr>
            <w:r w:rsidRPr="008C761D">
              <w:rPr>
                <w:rFonts w:cs="Calibri"/>
                <w:sz w:val="18"/>
                <w:szCs w:val="18"/>
                <w:lang w:val="en-US"/>
              </w:rPr>
              <w:t xml:space="preserve">Ministry of Finance </w:t>
            </w:r>
          </w:p>
        </w:tc>
      </w:tr>
      <w:tr w:rsidR="002B305F" w:rsidRPr="008C761D" w14:paraId="355328BC" w14:textId="77777777" w:rsidTr="00E935CF">
        <w:tc>
          <w:tcPr>
            <w:tcW w:w="562" w:type="dxa"/>
            <w:vMerge/>
            <w:shd w:val="clear" w:color="auto" w:fill="auto"/>
          </w:tcPr>
          <w:p w14:paraId="56B71009"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47EF0821"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3817B22E" w14:textId="12D83682" w:rsidR="002B305F" w:rsidRPr="008C761D" w:rsidRDefault="002B305F" w:rsidP="002B305F">
            <w:pPr>
              <w:spacing w:after="0" w:line="240" w:lineRule="auto"/>
              <w:rPr>
                <w:rFonts w:cs="Calibri"/>
                <w:sz w:val="18"/>
                <w:szCs w:val="18"/>
                <w:lang w:val="en-US"/>
              </w:rPr>
            </w:pPr>
            <w:r w:rsidRPr="008C761D">
              <w:rPr>
                <w:rFonts w:cs="Calibri"/>
                <w:sz w:val="18"/>
                <w:szCs w:val="18"/>
                <w:lang w:val="en-US"/>
              </w:rPr>
              <w:t>Delay in the adoption of laws and by-laws</w:t>
            </w:r>
          </w:p>
        </w:tc>
        <w:tc>
          <w:tcPr>
            <w:tcW w:w="2254" w:type="dxa"/>
            <w:shd w:val="clear" w:color="auto" w:fill="auto"/>
          </w:tcPr>
          <w:p w14:paraId="001B6089" w14:textId="2AE326FF" w:rsidR="002B305F" w:rsidRPr="008C761D" w:rsidRDefault="002B305F" w:rsidP="002B305F">
            <w:pPr>
              <w:spacing w:after="0" w:line="240" w:lineRule="auto"/>
              <w:rPr>
                <w:rFonts w:cs="Calibri"/>
                <w:sz w:val="18"/>
                <w:szCs w:val="18"/>
                <w:lang w:val="en-US"/>
              </w:rPr>
            </w:pPr>
            <w:r w:rsidRPr="008C761D">
              <w:rPr>
                <w:rFonts w:cs="Calibri"/>
                <w:sz w:val="18"/>
                <w:szCs w:val="18"/>
                <w:lang w:val="en-US"/>
              </w:rPr>
              <w:t>Assembly of RNM</w:t>
            </w:r>
          </w:p>
        </w:tc>
      </w:tr>
      <w:tr w:rsidR="002B305F" w:rsidRPr="008C761D" w14:paraId="2843A46C" w14:textId="77777777" w:rsidTr="00E935CF">
        <w:tc>
          <w:tcPr>
            <w:tcW w:w="562" w:type="dxa"/>
            <w:vMerge/>
            <w:shd w:val="clear" w:color="auto" w:fill="auto"/>
          </w:tcPr>
          <w:p w14:paraId="524E7A48"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27B5F70C"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0AD34780" w14:textId="4E6F7772" w:rsidR="002B305F" w:rsidRPr="008C761D" w:rsidRDefault="002B305F" w:rsidP="002B305F">
            <w:pPr>
              <w:spacing w:after="0" w:line="240" w:lineRule="auto"/>
              <w:rPr>
                <w:rFonts w:cs="Calibri"/>
                <w:sz w:val="18"/>
                <w:szCs w:val="18"/>
                <w:lang w:val="en-US"/>
              </w:rPr>
            </w:pPr>
            <w:r w:rsidRPr="008C761D">
              <w:rPr>
                <w:rFonts w:cs="Calibri"/>
                <w:sz w:val="18"/>
                <w:szCs w:val="18"/>
                <w:lang w:val="en-US"/>
              </w:rPr>
              <w:t>Departure or reduced interest among donors to support activities</w:t>
            </w:r>
          </w:p>
        </w:tc>
        <w:tc>
          <w:tcPr>
            <w:tcW w:w="2254" w:type="dxa"/>
            <w:shd w:val="clear" w:color="auto" w:fill="auto"/>
          </w:tcPr>
          <w:p w14:paraId="666ABF8E" w14:textId="3C0DDCAA" w:rsidR="002B305F" w:rsidRPr="008C761D" w:rsidRDefault="002B305F" w:rsidP="002B305F">
            <w:pPr>
              <w:spacing w:after="0" w:line="240" w:lineRule="auto"/>
              <w:rPr>
                <w:rFonts w:cs="Calibri"/>
                <w:sz w:val="18"/>
                <w:szCs w:val="18"/>
                <w:lang w:val="en-US"/>
              </w:rPr>
            </w:pPr>
            <w:r w:rsidRPr="008C761D">
              <w:rPr>
                <w:rFonts w:cs="Calibri"/>
                <w:sz w:val="18"/>
                <w:szCs w:val="18"/>
                <w:lang w:val="en-US"/>
              </w:rPr>
              <w:t>Donors</w:t>
            </w:r>
          </w:p>
        </w:tc>
      </w:tr>
      <w:tr w:rsidR="002B305F" w:rsidRPr="008C761D" w14:paraId="2AC532F7" w14:textId="77777777" w:rsidTr="00E935CF">
        <w:tc>
          <w:tcPr>
            <w:tcW w:w="562" w:type="dxa"/>
            <w:vMerge/>
            <w:shd w:val="clear" w:color="auto" w:fill="auto"/>
          </w:tcPr>
          <w:p w14:paraId="4607840C" w14:textId="77777777" w:rsidR="002B305F" w:rsidRPr="008C761D" w:rsidRDefault="002B305F" w:rsidP="002B305F">
            <w:pPr>
              <w:spacing w:after="0" w:line="240" w:lineRule="auto"/>
              <w:rPr>
                <w:rFonts w:cs="Calibri"/>
                <w:sz w:val="18"/>
                <w:szCs w:val="18"/>
                <w:lang w:val="en-US"/>
              </w:rPr>
            </w:pPr>
          </w:p>
        </w:tc>
        <w:tc>
          <w:tcPr>
            <w:tcW w:w="2381" w:type="dxa"/>
            <w:vMerge/>
            <w:shd w:val="clear" w:color="auto" w:fill="auto"/>
          </w:tcPr>
          <w:p w14:paraId="29619EC5" w14:textId="77777777" w:rsidR="002B305F" w:rsidRPr="008C761D" w:rsidRDefault="002B305F" w:rsidP="002B305F">
            <w:pPr>
              <w:spacing w:after="0" w:line="240" w:lineRule="auto"/>
              <w:rPr>
                <w:rFonts w:cs="Calibri"/>
                <w:b/>
                <w:sz w:val="18"/>
                <w:szCs w:val="18"/>
                <w:lang w:val="en-US"/>
              </w:rPr>
            </w:pPr>
          </w:p>
        </w:tc>
        <w:tc>
          <w:tcPr>
            <w:tcW w:w="3819" w:type="dxa"/>
            <w:shd w:val="clear" w:color="auto" w:fill="auto"/>
          </w:tcPr>
          <w:p w14:paraId="2114C050" w14:textId="0F0E2346" w:rsidR="002B305F" w:rsidRPr="008C761D" w:rsidRDefault="002B305F" w:rsidP="002B305F">
            <w:pPr>
              <w:spacing w:after="0" w:line="240" w:lineRule="auto"/>
              <w:rPr>
                <w:rFonts w:cs="Calibri"/>
                <w:sz w:val="18"/>
                <w:szCs w:val="18"/>
                <w:lang w:val="en-US"/>
              </w:rPr>
            </w:pPr>
            <w:r w:rsidRPr="008C761D">
              <w:rPr>
                <w:rFonts w:cs="Calibri"/>
                <w:sz w:val="18"/>
                <w:szCs w:val="18"/>
                <w:lang w:val="en-US"/>
              </w:rPr>
              <w:t>Political risks - untimely constitution of the Government and the Assembly of the RNM</w:t>
            </w:r>
          </w:p>
        </w:tc>
        <w:tc>
          <w:tcPr>
            <w:tcW w:w="2254" w:type="dxa"/>
            <w:shd w:val="clear" w:color="auto" w:fill="auto"/>
          </w:tcPr>
          <w:p w14:paraId="34228140" w14:textId="2E659B85" w:rsidR="002B305F" w:rsidRPr="008C761D" w:rsidRDefault="002B305F" w:rsidP="002B305F">
            <w:pPr>
              <w:spacing w:after="0" w:line="240" w:lineRule="auto"/>
              <w:rPr>
                <w:rFonts w:cs="Calibri"/>
                <w:sz w:val="18"/>
                <w:szCs w:val="18"/>
                <w:lang w:val="en-US"/>
              </w:rPr>
            </w:pPr>
            <w:r w:rsidRPr="008C761D">
              <w:rPr>
                <w:rFonts w:cs="Calibri"/>
                <w:sz w:val="18"/>
                <w:szCs w:val="18"/>
                <w:lang w:val="en-US"/>
              </w:rPr>
              <w:t>Government and Assembly of RNM</w:t>
            </w:r>
          </w:p>
        </w:tc>
      </w:tr>
    </w:tbl>
    <w:p w14:paraId="6A4108D7" w14:textId="77777777" w:rsidR="007707F9" w:rsidRPr="008C761D" w:rsidRDefault="007707F9" w:rsidP="00E84CD0">
      <w:pPr>
        <w:spacing w:after="120" w:line="240" w:lineRule="auto"/>
        <w:jc w:val="both"/>
        <w:rPr>
          <w:rFonts w:cs="Calibri"/>
          <w:lang w:val="en-US"/>
        </w:rPr>
      </w:pPr>
    </w:p>
    <w:p w14:paraId="5BFD1B83" w14:textId="77777777" w:rsidR="00E57EF2" w:rsidRPr="008C761D" w:rsidRDefault="00E57EF2" w:rsidP="00E84CD0">
      <w:pPr>
        <w:spacing w:after="120" w:line="240" w:lineRule="auto"/>
        <w:jc w:val="both"/>
        <w:rPr>
          <w:rFonts w:cs="Calibri"/>
          <w:lang w:val="en-US"/>
        </w:rPr>
      </w:pPr>
    </w:p>
    <w:p w14:paraId="181550A7" w14:textId="77777777" w:rsidR="00F34365" w:rsidRPr="008C761D" w:rsidRDefault="00F34365" w:rsidP="00E84CD0">
      <w:pPr>
        <w:pStyle w:val="Heading1"/>
        <w:spacing w:line="240" w:lineRule="auto"/>
        <w:jc w:val="both"/>
        <w:rPr>
          <w:rFonts w:ascii="Calibri" w:eastAsia="MS PGothic" w:hAnsi="Calibri" w:cs="Calibri"/>
          <w:color w:val="2F5496"/>
          <w:kern w:val="0"/>
          <w:lang w:val="en-US" w:eastAsia="zh-CN"/>
        </w:rPr>
      </w:pPr>
    </w:p>
    <w:p w14:paraId="04C3C4E7" w14:textId="77777777" w:rsidR="00F34365" w:rsidRPr="008C761D" w:rsidRDefault="00F34365" w:rsidP="00E84CD0">
      <w:pPr>
        <w:spacing w:line="240" w:lineRule="auto"/>
        <w:jc w:val="both"/>
        <w:rPr>
          <w:rFonts w:cs="Calibri"/>
          <w:lang w:val="en-US" w:eastAsia="zh-CN"/>
        </w:rPr>
      </w:pPr>
    </w:p>
    <w:p w14:paraId="6565882A" w14:textId="77777777" w:rsidR="00AC77D0" w:rsidRPr="008C761D" w:rsidRDefault="00AC77D0" w:rsidP="00E84CD0">
      <w:pPr>
        <w:spacing w:line="240" w:lineRule="auto"/>
        <w:jc w:val="both"/>
        <w:rPr>
          <w:rFonts w:cs="Calibri"/>
          <w:lang w:val="en-US" w:eastAsia="zh-CN"/>
        </w:rPr>
      </w:pPr>
    </w:p>
    <w:p w14:paraId="0325A095" w14:textId="77777777" w:rsidR="00A42B0B" w:rsidRPr="008C761D" w:rsidRDefault="00A42B0B" w:rsidP="00E84CD0">
      <w:pPr>
        <w:spacing w:line="240" w:lineRule="auto"/>
        <w:jc w:val="both"/>
        <w:rPr>
          <w:rFonts w:cs="Calibri"/>
          <w:lang w:val="en-US" w:eastAsia="zh-CN"/>
        </w:rPr>
      </w:pPr>
    </w:p>
    <w:sectPr w:rsidR="00A42B0B" w:rsidRPr="008C761D" w:rsidSect="00CF3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E10A" w14:textId="77777777" w:rsidR="0093115D" w:rsidRDefault="0093115D" w:rsidP="00EC7BE5">
      <w:pPr>
        <w:spacing w:after="0" w:line="240" w:lineRule="auto"/>
      </w:pPr>
      <w:r>
        <w:separator/>
      </w:r>
    </w:p>
  </w:endnote>
  <w:endnote w:type="continuationSeparator" w:id="0">
    <w:p w14:paraId="5DF0C735" w14:textId="77777777" w:rsidR="0093115D" w:rsidRDefault="0093115D" w:rsidP="00EC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cedonian Tm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ndnya">
    <w:panose1 w:val="00000400000000000000"/>
    <w:charset w:val="01"/>
    <w:family w:val="roman"/>
    <w:pitch w:val="variable"/>
  </w:font>
  <w:font w:name="StobiSans Regular">
    <w:panose1 w:val="02000503030000020004"/>
    <w:charset w:val="00"/>
    <w:family w:val="modern"/>
    <w:notTrueType/>
    <w:pitch w:val="variable"/>
    <w:sig w:usb0="A00002AF" w:usb1="5000A07B" w:usb2="00000000" w:usb3="00000000" w:csb0="0000009F" w:csb1="00000000"/>
  </w:font>
  <w:font w:name="Geneva">
    <w:charset w:val="00"/>
    <w:family w:val="swiss"/>
    <w:pitch w:val="variable"/>
    <w:sig w:usb0="00000007" w:usb1="00000000" w:usb2="00000000" w:usb3="00000000" w:csb0="00000093"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obiSerifRegular-Identity-H">
    <w:altName w:val="MS P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5C81" w14:textId="77777777" w:rsidR="0093115D" w:rsidRDefault="0093115D" w:rsidP="00EC7BE5">
      <w:pPr>
        <w:spacing w:after="0" w:line="240" w:lineRule="auto"/>
      </w:pPr>
      <w:r>
        <w:separator/>
      </w:r>
    </w:p>
  </w:footnote>
  <w:footnote w:type="continuationSeparator" w:id="0">
    <w:p w14:paraId="3B3B65EE" w14:textId="77777777" w:rsidR="0093115D" w:rsidRDefault="0093115D" w:rsidP="00EC7BE5">
      <w:pPr>
        <w:spacing w:after="0" w:line="240" w:lineRule="auto"/>
      </w:pPr>
      <w:r>
        <w:continuationSeparator/>
      </w:r>
    </w:p>
  </w:footnote>
  <w:footnote w:id="1">
    <w:p w14:paraId="2F500AB4" w14:textId="77777777" w:rsidR="0093115D" w:rsidRDefault="0093115D" w:rsidP="00086725">
      <w:pPr>
        <w:pStyle w:val="Normal1"/>
        <w:pBdr>
          <w:top w:val="nil"/>
          <w:left w:val="nil"/>
          <w:bottom w:val="nil"/>
          <w:right w:val="nil"/>
          <w:between w:val="nil"/>
        </w:pBdr>
        <w:spacing w:before="40" w:after="0" w:line="240" w:lineRule="auto"/>
        <w:ind w:left="142" w:hanging="142"/>
        <w:jc w:val="both"/>
        <w:rPr>
          <w:rFonts w:ascii="Times New Roman" w:eastAsia="Times New Roman" w:hAnsi="Times New Roman" w:cs="Times New Roman"/>
          <w:color w:val="000000"/>
          <w:sz w:val="16"/>
          <w:szCs w:val="16"/>
        </w:rPr>
      </w:pPr>
      <w:r>
        <w:rPr>
          <w:vertAlign w:val="superscript"/>
        </w:rPr>
        <w:footnoteRef/>
      </w:r>
      <w:r>
        <w:rPr>
          <w:rFonts w:ascii="Arial Narrow" w:eastAsia="Arial Narrow" w:hAnsi="Arial Narrow" w:cs="Arial Narrow"/>
          <w:color w:val="000000"/>
          <w:sz w:val="16"/>
          <w:szCs w:val="16"/>
        </w:rPr>
        <w:t>Pursuant to the 2021 Modifications and Amendments to the Budget of the Republic of North Macedonia (“Official Gazette", no. 171/21)</w:t>
      </w:r>
    </w:p>
  </w:footnote>
  <w:footnote w:id="2">
    <w:p w14:paraId="2CB773BC" w14:textId="77777777" w:rsidR="0093115D" w:rsidRPr="00C25339" w:rsidRDefault="0093115D" w:rsidP="00C60174">
      <w:pPr>
        <w:pStyle w:val="FootnoteText"/>
        <w:rPr>
          <w:lang w:val="en-US"/>
        </w:rPr>
      </w:pPr>
      <w:r>
        <w:rPr>
          <w:rStyle w:val="FootnoteReference"/>
        </w:rPr>
        <w:footnoteRef/>
      </w:r>
      <w:r w:rsidRPr="00AE42FF">
        <w:rPr>
          <w:rFonts w:ascii="StobiSans Regular" w:hAnsi="StobiSans Regular"/>
          <w:sz w:val="16"/>
          <w:szCs w:val="16"/>
          <w:lang w:val="en-US"/>
        </w:rPr>
        <w:t>The  Strategy for Public Administration Reform (2023-2030) with Action Plan 2023-2026 was adopted by the Government on 11</w:t>
      </w:r>
      <w:r w:rsidRPr="00AE42FF">
        <w:rPr>
          <w:rFonts w:ascii="StobiSans Regular" w:hAnsi="StobiSans Regular"/>
          <w:sz w:val="16"/>
          <w:szCs w:val="16"/>
          <w:vertAlign w:val="superscript"/>
          <w:lang w:val="en-US"/>
        </w:rPr>
        <w:t>th</w:t>
      </w:r>
      <w:r w:rsidRPr="00AE42FF">
        <w:rPr>
          <w:rFonts w:ascii="StobiSans Regular" w:hAnsi="StobiSans Regular"/>
          <w:sz w:val="16"/>
          <w:szCs w:val="16"/>
          <w:lang w:val="en-US"/>
        </w:rPr>
        <w:t xml:space="preserve"> July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F679" w14:textId="77777777" w:rsidR="0093115D" w:rsidRDefault="00174835">
    <w:pPr>
      <w:pStyle w:val="Header"/>
    </w:pPr>
    <w:r>
      <w:rPr>
        <w:noProof/>
        <w:lang w:eastAsia="mk-MK"/>
      </w:rPr>
      <w:pict w14:anchorId="70C96C35">
        <v:shapetype id="_x0000_t202" coordsize="21600,21600" o:spt="202" path="m,l,21600r21600,l21600,xe">
          <v:stroke joinstyle="miter"/>
          <v:path gradientshapeok="t" o:connecttype="rect"/>
        </v:shapetype>
        <v:shape id="_x0000_s1034" type="#_x0000_t202" style="position:absolute;margin-left:92.9pt;margin-top:33.9pt;width:427.4pt;height:2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9vugIAALwFAAAOAAAAZHJzL2Uyb0RvYy54bWysVNtunDAQfa/Uf7D8ToCt2QUUNkqWpaqU&#10;XqSkH+AFs1gFm9rehbTqv3ds9pbkpWrLA7LH4zNnZo7n+mbsWrRnSnMpMhxeBRgxUcqKi22Gvz4W&#10;XoyRNlRUtJWCZfiJaXyzfPvmeuhTNpONbCumEIAInQ59hhtj+tT3ddmwjuor2TMBh7VUHTWwVVu/&#10;UnQA9K71Z0Ew9wepql7JkmkN1nw6xEuHX9esNJ/rWjOD2gwDN+P+yv039u8vr2m6VbRveHmgQf+C&#10;RUe5gKAnqJwainaKv4LqeKmklrW5KmXny7rmJXM5QDZh8CKbh4b2zOUCxdH9qUz6/8GWn/ZfFOIV&#10;9C6M4ihKEgIdE7SDXj2y0aA7OaLIlmnodQreDz34mxHMcMWlrPt7WX7TSMhVQ8WW3Solh4bRCmiG&#10;9qZ/cXXC0RZkM3yUFYShOyMd0FirztYQqoIAHdr1dGqRpVKCMSKzRRLDUQln7xZBTFwPfZoeb/dK&#10;m/dMdsguMqxAAg6d7u+1sWxoenSxwYQseNs6GbTimQEcJwvEhqv2zLJwXf2ZBMk6XsfEI7P52iNB&#10;nnu3xYp48yJcRPm7fLXKw182bkjShlcVEzbMUWEh+bMOHrQ+aeOkMS1bXlk4S0mr7WbVKrSnoPDC&#10;fa7mcHJ285/TcEWAXF6kFM5IcDdLvGIeLzxSkMhLoMBeECZ3yTwgCcmL5yndc8H+PSU0ZDiJZtEk&#10;pjPpF7kF7nudG007bmCGtLzLcHxyoqmV4FpUrrWG8nZaX5TC0j+XAtp9bLQTrNXopFYzbkZAsSre&#10;yOoJpKskKAtECIMPFo1UPzAaYIhkWH/fUcUwaj8IkH8SEtAnMm4DC3Vp3RytVJQAkeHSKIymzcpM&#10;M2rXK75tIMb01IS8hcdSc6fjM5/DE4MR4dI5jDM7gy73zus8dJe/AQAA//8DAFBLAwQUAAYACAAA&#10;ACEAmotri+EAAAALAQAADwAAAGRycy9kb3ducmV2LnhtbEyPQU/CQBCF7yb+h82YeCGyS4VKarfE&#10;kGDkCIqR29Id22p3tukuUP+9w0lPMy/v5c03+WJwrThhHxpPGiZjBQKp9LahSsPb6+puDiJEQ9a0&#10;nlDDDwZYFNdXucmsP9MGT9tYCS6hkBkNdYxdJmUoa3QmjH2HxN6n752JLPtK2t6cudy1MlEqlc40&#10;xBdq0+GyxvJ7e3Qa2vf7vdztlorWq8nzfrZ5+fgaTbW+vRmeHkFEHOJfGC74jA4FMx38kWwQLev5&#10;jNGjhvSB5yWgpioFceAtSROQRS7//1D8AgAA//8DAFBLAQItABQABgAIAAAAIQC2gziS/gAAAOEB&#10;AAATAAAAAAAAAAAAAAAAAAAAAABbQ29udGVudF9UeXBlc10ueG1sUEsBAi0AFAAGAAgAAAAhADj9&#10;If/WAAAAlAEAAAsAAAAAAAAAAAAAAAAALwEAAF9yZWxzLy5yZWxzUEsBAi0AFAAGAAgAAAAhACMU&#10;32+6AgAAvAUAAA4AAAAAAAAAAAAAAAAALgIAAGRycy9lMm9Eb2MueG1sUEsBAi0AFAAGAAgAAAAh&#10;AJqLa4vhAAAACwEAAA8AAAAAAAAAAAAAAAAAFAUAAGRycy9kb3ducmV2LnhtbFBLBQYAAAAABAAE&#10;APMAAAAiBgAAAAA=&#10;" o:allowincell="f" filled="f" stroked="f">
          <v:textbox style="mso-next-textbox:#_x0000_s1034" inset=",0,,0">
            <w:txbxContent>
              <w:p w14:paraId="4BA168B4" w14:textId="77777777" w:rsidR="0093115D" w:rsidRPr="00890621" w:rsidRDefault="0093115D" w:rsidP="00331B35">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4</w:t>
                </w:r>
                <w:r w:rsidRPr="00277EF5">
                  <w:rPr>
                    <w:b/>
                    <w:color w:val="0070C0"/>
                  </w:rPr>
                  <w:t xml:space="preserve"> - 202</w:t>
                </w:r>
                <w:r>
                  <w:rPr>
                    <w:b/>
                    <w:color w:val="0070C0"/>
                    <w:lang w:val="en-US"/>
                  </w:rPr>
                  <w:t>7</w:t>
                </w:r>
              </w:p>
              <w:p w14:paraId="0A3A9B02" w14:textId="77777777" w:rsidR="0093115D" w:rsidRPr="00811121" w:rsidRDefault="0093115D" w:rsidP="00331B35">
                <w:pPr>
                  <w:spacing w:after="0" w:line="240" w:lineRule="auto"/>
                  <w:jc w:val="right"/>
                  <w:rPr>
                    <w:b/>
                    <w:color w:val="CD0000"/>
                    <w:lang w:val="en-US"/>
                  </w:rPr>
                </w:pPr>
              </w:p>
            </w:txbxContent>
          </v:textbox>
          <w10:wrap anchorx="page" anchory="page"/>
        </v:shape>
      </w:pict>
    </w:r>
    <w:r>
      <w:rPr>
        <w:noProof/>
        <w:lang w:eastAsia="mk-MK"/>
      </w:rPr>
      <w:pict w14:anchorId="7A4921B0">
        <v:shape id="Text Box 2" o:spid="_x0000_s1035" type="#_x0000_t202" style="position:absolute;margin-left:533.75pt;margin-top:33.9pt;width:61.25pt;height:1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SRiwIAABcFAAAOAAAAZHJzL2Uyb0RvYy54bWysVGtv0zAU/Y7Ef7D8vcuD9JFo6bR2FCGN&#10;h7TxA1zbaSwc29huk4H471w7bTcGSAjRD6kf18fn3nOuL6+GTqIDt05oVePsIsWIK6qZULsaf7rf&#10;TBYYOU8UI1IrXuMH7vDV8uWLy95UPNetloxbBCDKVb2pceu9qZLE0ZZ3xF1owxVsNtp2xMPU7hJm&#10;SQ/onUzyNJ0lvbbMWE25c7B6M27iZcRvGk79h6Zx3CNZY+Dm49fG7zZ8k+UlqXaWmFbQIw3yDyw6&#10;IhRceoa6IZ6gvRW/QHWCWu104y+o7hLdNILymANkk6XPsrlrieExFyiOM+cyuf8HS98fPlokWI0X&#10;2bTIi1k6xUiRDqS654NHKz2gPFSpN66C4DsD4X6AZVA7ZuzMraafHVJ63RK149fW6r7lhAHLLJxM&#10;nhwdcVwA2fbvNINryN7rCDQ0tgslhKIgQAe1Hs4KBSoUFufz+WIODClsZWX5qowKJqQ6HTbW+Tdc&#10;dygMamzBABGcHG6dD2RIdQoJdzktBdsIKePE7rZradGBgFnyzbQoZ5H/szCpQrDS4diIOK4AR7gj&#10;7AW2UfxvZZYX6SovJ5vZYj4pNsV0Us7TxSTNylU5S4uyuNl8DwSzomoFY1zdCsVPRsyKvxP62BKj&#10;haIVUV/jcppPR4X+mGQaf79LshMe+lKKDoxxDiJV0PW1YpA2qTwRchwnP9OPVYYanP5jVaILgvCj&#10;BfywHaLtokWCQ7aaPYAtrAbZQHt4U2DQavsVox76s8buy55YjpF8q8BaZVYUoaHjBAb26er2tEoU&#10;BYgaU28xGidrP7b/3lixa+GO0cZKX4MRGxFN8sjnaF/ovpjN8aUI7f10HqMe37PlDwAAAP//AwBQ&#10;SwMEFAAGAAgAAAAhAPFQ9VDfAAAACwEAAA8AAABkcnMvZG93bnJldi54bWxMj8FOwzAQRO9I/IO1&#10;SNyo3UqkJMSpEAJUcUEtCHF0k20csNdR7Kbp37M9wXG0o9n3ytXknRhxiF0gDfOZAoFUh6ajVsPH&#10;+/PNHYiYDDXGBUINJ4ywqi4vSlM04UgbHLepFTxCsTAabEp9IWWsLXoTZ6FH4ts+DN4kjkMrm8Ec&#10;edw7uVAqk950xB+s6fHRYv2zPXgN9Zj86/pt/fkkbXpxp736/rJK6+ur6eEeRMIp/ZXhjM/oUDHT&#10;LhyoicJxVtnylrsasiU7nBvzXLHeTkOeL0BWpfzvUP0CAAD//wMAUEsBAi0AFAAGAAgAAAAhALaD&#10;OJL+AAAA4QEAABMAAAAAAAAAAAAAAAAAAAAAAFtDb250ZW50X1R5cGVzXS54bWxQSwECLQAUAAYA&#10;CAAAACEAOP0h/9YAAACUAQAACwAAAAAAAAAAAAAAAAAvAQAAX3JlbHMvLnJlbHNQSwECLQAUAAYA&#10;CAAAACEAK96EkYsCAAAXBQAADgAAAAAAAAAAAAAAAAAuAgAAZHJzL2Uyb0RvYy54bWxQSwECLQAU&#10;AAYACAAAACEA8VD1UN8AAAALAQAADwAAAAAAAAAAAAAAAADlBAAAZHJzL2Rvd25yZXYueG1sUEsF&#10;BgAAAAAEAAQA8wAAAPEFAAAAAA==&#10;" o:allowincell="f" fillcolor="#2f5496" stroked="f">
          <v:textbox style="mso-next-textbox:#Text Box 2" inset=",0,,0">
            <w:txbxContent>
              <w:p w14:paraId="4FA4BF87" w14:textId="5C568BD3" w:rsidR="0093115D" w:rsidRPr="00E50D10" w:rsidRDefault="0093115D" w:rsidP="00331B35">
                <w:pPr>
                  <w:spacing w:after="0" w:line="240" w:lineRule="auto"/>
                  <w:rPr>
                    <w:color w:val="FFFFFF"/>
                  </w:rPr>
                </w:pPr>
                <w:r>
                  <w:fldChar w:fldCharType="begin"/>
                </w:r>
                <w:r>
                  <w:instrText xml:space="preserve"> PAGE   \* MERGEFORMAT </w:instrText>
                </w:r>
                <w:r>
                  <w:fldChar w:fldCharType="separate"/>
                </w:r>
                <w:r w:rsidR="007030F8" w:rsidRPr="007030F8">
                  <w:rPr>
                    <w:noProof/>
                    <w:color w:val="FFFFFF"/>
                  </w:rP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5857" w14:textId="77777777" w:rsidR="0093115D" w:rsidRDefault="00174835">
    <w:pPr>
      <w:pStyle w:val="Header"/>
    </w:pPr>
    <w:r>
      <w:rPr>
        <w:noProof/>
        <w:lang w:eastAsia="mk-MK"/>
      </w:rPr>
      <w:pict w14:anchorId="629E67A1">
        <v:shapetype id="_x0000_t202" coordsize="21600,21600" o:spt="202" path="m,l,21600r21600,l21600,xe">
          <v:stroke joinstyle="miter"/>
          <v:path gradientshapeok="t" o:connecttype="rect"/>
        </v:shapetype>
        <v:shape id="Text Box 1" o:spid="_x0000_s1036" type="#_x0000_t202" style="position:absolute;margin-left:92.9pt;margin-top:33.9pt;width:427.4pt;height:2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gRvQIAAMIFAAAOAAAAZHJzL2Uyb0RvYy54bWysVG1vmzAQ/j5p/8Hyd8pLnQRQSdWGME3q&#10;XqR2P8ABE6yBzWwn0E377zubJk1aTZq28QHZ5/Nz99w9vqvrsWvRninNpchweBFgxEQpKy62Gf7y&#10;UHgxRtpQUdFWCpbhR6bx9fLtm6uhT1kkG9lWTCEAETod+gw3xvSp7+uyYR3VF7JnAg5rqTpqYKu2&#10;fqXoAOhd60dBMPcHqapeyZJpDdZ8OsRLh1/XrDSf6lozg9oMQ27G/ZX7b+zfX17RdKto3/DyKQ36&#10;F1l0lAsIeoTKqaFop/grqI6XSmpZm4tSdr6sa14yxwHYhMELNvcN7ZnjAsXR/bFM+v/Blh/3nxXi&#10;VYYJSeI4WCQzjATtoFUPbDToVo4otFUaep2C830P7mYEM3TbMdb9nSy/aiTkqqFiy26UkkPDaAVZ&#10;upv+ydUJR1uQzfBBVhCG7ox0QGOtOltCKAoCdOjW47FDNpUSjDMSLZIYjko4u1wEMXEt9Gl6uN0r&#10;bd4x2SG7yLACBTh0ur/TBniA68HFBhOy4G3rVNCKMwM4ThaIDVftmc3CNfVHEiTreB0Tj0TztUeC&#10;PPduihXx5kW4mOWX+WqVhz9t3JCkDa8qJmyYg8BC8mcNfJL6JI2jxLRseWXhbEpabTerVqE9BYEX&#10;7rPdguRP3PzzNNwxcHlBKYxIcBslXjGPFx4pyMxLoMBeECa3yTwgCcmLc0p3XLB/p4SGDCezaDaJ&#10;6bfcAve95kbTjhsYIS3vMhwfnWhqJbgWlWutobyd1ielsOk/lwIqdmi0E6zV6KRWM25G90KiwzvY&#10;yOoRFKwkCAy0COMPFo1U3zEaYJRkWH/bUcUwat8LeAVJSECmyLgNLNSpdXOwUlECRIZLozCaNisz&#10;Tapdr/i2gRjTixPyBt5MzZ2c7eOa8gEudgODwrF6Gmp2Ep3undfz6F3+AgAA//8DAFBLAwQUAAYA&#10;CAAAACEAmotri+EAAAALAQAADwAAAGRycy9kb3ducmV2LnhtbEyPQU/CQBCF7yb+h82YeCGyS4VK&#10;arfEkGDkCIqR29Id22p3tukuUP+9w0lPMy/v5c03+WJwrThhHxpPGiZjBQKp9LahSsPb6+puDiJE&#10;Q9a0nlDDDwZYFNdXucmsP9MGT9tYCS6hkBkNdYxdJmUoa3QmjH2HxN6n752JLPtK2t6cudy1MlEq&#10;lc40xBdq0+GyxvJ7e3Qa2vf7vdztlorWq8nzfrZ5+fgaTbW+vRmeHkFEHOJfGC74jA4FMx38kWwQ&#10;Lev5jNGjhvSB5yWgpioFceAtSROQRS7//1D8AgAA//8DAFBLAQItABQABgAIAAAAIQC2gziS/gAA&#10;AOEBAAATAAAAAAAAAAAAAAAAAAAAAABbQ29udGVudF9UeXBlc10ueG1sUEsBAi0AFAAGAAgAAAAh&#10;ADj9If/WAAAAlAEAAAsAAAAAAAAAAAAAAAAALwEAAF9yZWxzLy5yZWxzUEsBAi0AFAAGAAgAAAAh&#10;ALc8mBG9AgAAwgUAAA4AAAAAAAAAAAAAAAAALgIAAGRycy9lMm9Eb2MueG1sUEsBAi0AFAAGAAgA&#10;AAAhAJqLa4vhAAAACwEAAA8AAAAAAAAAAAAAAAAAFwUAAGRycy9kb3ducmV2LnhtbFBLBQYAAAAA&#10;BAAEAPMAAAAlBgAAAAA=&#10;" o:allowincell="f" filled="f" stroked="f">
          <v:textbox style="mso-next-textbox:#Text Box 1" inset=",0,,0">
            <w:txbxContent>
              <w:p w14:paraId="079F40C3" w14:textId="77777777" w:rsidR="0093115D" w:rsidRPr="00C742B4" w:rsidRDefault="0093115D" w:rsidP="00CF7144">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4</w:t>
                </w:r>
                <w:r w:rsidRPr="00277EF5">
                  <w:rPr>
                    <w:b/>
                    <w:color w:val="0070C0"/>
                  </w:rPr>
                  <w:t xml:space="preserve"> - 202</w:t>
                </w:r>
                <w:r>
                  <w:rPr>
                    <w:b/>
                    <w:color w:val="0070C0"/>
                    <w:lang w:val="en-US"/>
                  </w:rPr>
                  <w:t>7</w:t>
                </w:r>
              </w:p>
              <w:p w14:paraId="038435E9" w14:textId="77777777" w:rsidR="0093115D" w:rsidRPr="004F1113" w:rsidRDefault="0093115D" w:rsidP="004F1113">
                <w:pPr>
                  <w:spacing w:after="0" w:line="240" w:lineRule="auto"/>
                  <w:jc w:val="right"/>
                  <w:rPr>
                    <w:rFonts w:eastAsia="MS PGothic"/>
                    <w:b/>
                    <w:color w:val="CD0000"/>
                    <w:lang w:val="en-US" w:eastAsia="zh-CN"/>
                  </w:rPr>
                </w:pPr>
              </w:p>
              <w:p w14:paraId="0214E08C" w14:textId="77777777" w:rsidR="0093115D" w:rsidRPr="00811121" w:rsidRDefault="0093115D" w:rsidP="00EC7BE5">
                <w:pPr>
                  <w:spacing w:after="0" w:line="240" w:lineRule="auto"/>
                  <w:jc w:val="right"/>
                  <w:rPr>
                    <w:b/>
                    <w:color w:val="CD0000"/>
                    <w:lang w:val="en-US"/>
                  </w:rPr>
                </w:pPr>
              </w:p>
            </w:txbxContent>
          </v:textbox>
          <w10:wrap anchorx="page" anchory="page"/>
        </v:shape>
      </w:pict>
    </w:r>
    <w:r>
      <w:rPr>
        <w:noProof/>
        <w:lang w:eastAsia="mk-MK"/>
      </w:rPr>
      <w:pict w14:anchorId="71FA6DB7">
        <v:shape id="_x0000_s1037" type="#_x0000_t202" style="position:absolute;margin-left:533.75pt;margin-top:33.9pt;width:61.25pt;height:1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28jAIAABgFAAAOAAAAZHJzL2Uyb0RvYy54bWysVNmO0zAUfUfiHyy/d7I0XRJNOpqFIqRh&#10;kWb4ANd2GgvHNrbbZED8O9dOW8oAEkL0IfVyfXzuPef68mroJNpz64RWNc4uUoy4opoJta3xx8f1&#10;ZImR80QxIrXiNX7iDl+tXr647E3Fc91qybhFAKJc1Zsat96bKkkcbXlH3IU2XMFmo21HPEztNmGW&#10;9IDeySRP03nSa8uM1ZQ7B6t34yZeRfym4dS/bxrHPZI1Bm4+fm38bsI3WV2SamuJaQU90CD/wKIj&#10;QsGlJ6g74gnaWfELVCeo1U43/oLqLtFNIyiPOUA2Wfosm4eWGB5zgeI4cyqT+3+w9N3+g0WCgXbL&#10;+TQrimw2xUiRDrR65INHN3pAeShTb1wF0Q8G4v0Ay3AkpuzMvaafHFL6tiVqy6+t1X3LCQOaWTiZ&#10;nB0dcVwA2fRvNYNryM7rCDQ0tgs1hKogQAe5nk4SBSoUFheLxXIxw4jCVlaW0zJKmJDqeNhY519z&#10;3aEwqLEFB0Rwsr93PpAh1TEk3OW0FGwtpIwTu93cSov2BNySr2dFOY/8n4VJFYKVDsdGxHEFOMId&#10;YS+wjep/LbO8SG/ycrKeLxeTYl3MJuUiXU7SrLwp52lRFnfrb4FgVlStYIyre6H40YlZ8XdKH3pi&#10;9FD0IuprXM7y2ajQH5NM4+93SXbCQ2NK0dV4eQoiVdD1lWKQNqk8EXIcJz/Tj1WGGhz/Y1WiC4Lw&#10;owX8sBmi76ZHc200ewJbWA2ygfbwqMCg1fYLRj00aI3d5x2xHCP5RoG1SjBr6Og4gYE9X90cV4mi&#10;AFFj6i1G4+TWj/2/M1ZsW7hjtLHS12DERkSTBMeOfA72hfaL2RyeitDf5/MY9eNBW30HAAD//wMA&#10;UEsDBBQABgAIAAAAIQDxUPVQ3wAAAAsBAAAPAAAAZHJzL2Rvd25yZXYueG1sTI/BTsMwEETvSPyD&#10;tUjcqN1KpCTEqRACVHFBLQhxdJNtHLDXUeym6d+zPcFxtKPZ98rV5J0YcYhdIA3zmQKBVIemo1bD&#10;x/vzzR2ImAw1xgVCDSeMsKouL0pTNOFIGxy3qRU8QrEwGmxKfSFlrC16E2ehR+LbPgzeJI5DK5vB&#10;HHncO7lQKpPedMQfrOnx0WL9sz14DfWY/Ov6bf35JG16cae9+v6ySuvrq+nhHkTCKf2V4YzP6FAx&#10;0y4cqInCcVbZ8pa7GrIlO5wb81yx3k5Dni9AVqX871D9AgAA//8DAFBLAQItABQABgAIAAAAIQC2&#10;gziS/gAAAOEBAAATAAAAAAAAAAAAAAAAAAAAAABbQ29udGVudF9UeXBlc10ueG1sUEsBAi0AFAAG&#10;AAgAAAAhADj9If/WAAAAlAEAAAsAAAAAAAAAAAAAAAAALwEAAF9yZWxzLy5yZWxzUEsBAi0AFAAG&#10;AAgAAAAhAJIebbyMAgAAGAUAAA4AAAAAAAAAAAAAAAAALgIAAGRycy9lMm9Eb2MueG1sUEsBAi0A&#10;FAAGAAgAAAAhAPFQ9VDfAAAACwEAAA8AAAAAAAAAAAAAAAAA5gQAAGRycy9kb3ducmV2LnhtbFBL&#10;BQYAAAAABAAEAPMAAADyBQAAAAA=&#10;" o:allowincell="f" fillcolor="#2f5496" stroked="f">
          <v:textbox style="mso-next-textbox:#_x0000_s1037" inset=",0,,0">
            <w:txbxContent>
              <w:p w14:paraId="234C7B24" w14:textId="10510E5E" w:rsidR="0093115D" w:rsidRPr="00E50D10" w:rsidRDefault="0093115D" w:rsidP="00EC7BE5">
                <w:pPr>
                  <w:spacing w:after="0" w:line="240" w:lineRule="auto"/>
                  <w:rPr>
                    <w:color w:val="FFFFFF"/>
                  </w:rPr>
                </w:pPr>
                <w:r>
                  <w:fldChar w:fldCharType="begin"/>
                </w:r>
                <w:r>
                  <w:instrText xml:space="preserve"> PAGE   \* MERGEFORMAT </w:instrText>
                </w:r>
                <w:r>
                  <w:fldChar w:fldCharType="separate"/>
                </w:r>
                <w:r w:rsidRPr="006C2FDD">
                  <w:rPr>
                    <w:noProof/>
                    <w:color w:val="FFFFFF"/>
                  </w:rPr>
                  <w:t>204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F96"/>
    <w:multiLevelType w:val="hybridMultilevel"/>
    <w:tmpl w:val="6E74D5D8"/>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2952CCA"/>
    <w:multiLevelType w:val="multilevel"/>
    <w:tmpl w:val="4A44891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StobiSerif Regular" w:eastAsia="Times New Roman" w:hAnsi="StobiSerif Regular"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EA6708"/>
    <w:multiLevelType w:val="hybridMultilevel"/>
    <w:tmpl w:val="BE9A9264"/>
    <w:lvl w:ilvl="0" w:tplc="444A43A0">
      <w:numFmt w:val="bullet"/>
      <w:lvlText w:val="-"/>
      <w:lvlJc w:val="left"/>
      <w:pPr>
        <w:ind w:left="63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3534588"/>
    <w:multiLevelType w:val="hybridMultilevel"/>
    <w:tmpl w:val="694E675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3CD05F1"/>
    <w:multiLevelType w:val="hybridMultilevel"/>
    <w:tmpl w:val="2F10ED6A"/>
    <w:lvl w:ilvl="0" w:tplc="D60C0742">
      <w:numFmt w:val="bullet"/>
      <w:lvlText w:val="-"/>
      <w:lvlJc w:val="left"/>
      <w:pPr>
        <w:ind w:left="1440" w:hanging="360"/>
      </w:pPr>
      <w:rPr>
        <w:rFonts w:ascii="Calibri" w:eastAsia="Calibr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03D943F9"/>
    <w:multiLevelType w:val="hybridMultilevel"/>
    <w:tmpl w:val="EBB28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34730"/>
    <w:multiLevelType w:val="hybridMultilevel"/>
    <w:tmpl w:val="6BA4D16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08961A7E"/>
    <w:multiLevelType w:val="hybridMultilevel"/>
    <w:tmpl w:val="347493EE"/>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08F96533"/>
    <w:multiLevelType w:val="hybridMultilevel"/>
    <w:tmpl w:val="325413B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0A7E2DB5"/>
    <w:multiLevelType w:val="hybridMultilevel"/>
    <w:tmpl w:val="876A4D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0A8C3F7D"/>
    <w:multiLevelType w:val="hybridMultilevel"/>
    <w:tmpl w:val="608C55E8"/>
    <w:lvl w:ilvl="0" w:tplc="8D4299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04D3C"/>
    <w:multiLevelType w:val="hybridMultilevel"/>
    <w:tmpl w:val="80FA77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0BD944DA"/>
    <w:multiLevelType w:val="hybridMultilevel"/>
    <w:tmpl w:val="5DF4B190"/>
    <w:lvl w:ilvl="0" w:tplc="744C1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331B80"/>
    <w:multiLevelType w:val="hybridMultilevel"/>
    <w:tmpl w:val="41EEAA8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0DDC605E"/>
    <w:multiLevelType w:val="multilevel"/>
    <w:tmpl w:val="A11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EF273C"/>
    <w:multiLevelType w:val="hybridMultilevel"/>
    <w:tmpl w:val="E0B4D8E8"/>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0FD51DC8"/>
    <w:multiLevelType w:val="hybridMultilevel"/>
    <w:tmpl w:val="F918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FE2BBC"/>
    <w:multiLevelType w:val="hybridMultilevel"/>
    <w:tmpl w:val="E988C28A"/>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107F186B"/>
    <w:multiLevelType w:val="hybridMultilevel"/>
    <w:tmpl w:val="00145DC2"/>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0A4FA1"/>
    <w:multiLevelType w:val="hybridMultilevel"/>
    <w:tmpl w:val="3A1A4E5C"/>
    <w:lvl w:ilvl="0" w:tplc="78F836D4">
      <w:start w:val="5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12D81D0A"/>
    <w:multiLevelType w:val="hybridMultilevel"/>
    <w:tmpl w:val="8C18DBD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16004368"/>
    <w:multiLevelType w:val="hybridMultilevel"/>
    <w:tmpl w:val="82CC4004"/>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190E6E57"/>
    <w:multiLevelType w:val="hybridMultilevel"/>
    <w:tmpl w:val="DF12708C"/>
    <w:lvl w:ilvl="0" w:tplc="5F6AF85E">
      <w:start w:val="1"/>
      <w:numFmt w:val="decimal"/>
      <w:lvlText w:val="%1."/>
      <w:lvlJc w:val="left"/>
      <w:pPr>
        <w:ind w:left="720" w:hanging="360"/>
      </w:pPr>
      <w:rPr>
        <w:rFonts w:ascii="Arial" w:eastAsia="Times New Roman"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2515A"/>
    <w:multiLevelType w:val="hybridMultilevel"/>
    <w:tmpl w:val="9E4C5462"/>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1C25002D"/>
    <w:multiLevelType w:val="hybridMultilevel"/>
    <w:tmpl w:val="F2487D82"/>
    <w:lvl w:ilvl="0" w:tplc="042F0011">
      <w:start w:val="1"/>
      <w:numFmt w:val="decimal"/>
      <w:lvlText w:val="%1)"/>
      <w:lvlJc w:val="left"/>
      <w:pPr>
        <w:ind w:left="720" w:hanging="360"/>
      </w:pPr>
      <w:rPr>
        <w:rFonts w:hint="default"/>
      </w:rPr>
    </w:lvl>
    <w:lvl w:ilvl="1" w:tplc="66C05EAC">
      <w:start w:val="27"/>
      <w:numFmt w:val="bullet"/>
      <w:lvlText w:val="•"/>
      <w:lvlJc w:val="left"/>
      <w:pPr>
        <w:ind w:left="1440" w:hanging="360"/>
      </w:pPr>
      <w:rPr>
        <w:rFonts w:ascii="StobiSerif Regular" w:eastAsia="MS PGothic"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30095"/>
    <w:multiLevelType w:val="hybridMultilevel"/>
    <w:tmpl w:val="7EAAD77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1E07399B"/>
    <w:multiLevelType w:val="hybridMultilevel"/>
    <w:tmpl w:val="2BA2558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1FBC32EB"/>
    <w:multiLevelType w:val="hybridMultilevel"/>
    <w:tmpl w:val="2A4647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20A91A0B"/>
    <w:multiLevelType w:val="hybridMultilevel"/>
    <w:tmpl w:val="A7BEB072"/>
    <w:lvl w:ilvl="0" w:tplc="751C39A4">
      <w:numFmt w:val="bullet"/>
      <w:lvlText w:val="-"/>
      <w:lvlJc w:val="left"/>
      <w:pPr>
        <w:ind w:left="1080" w:hanging="360"/>
      </w:pPr>
      <w:rPr>
        <w:rFonts w:ascii="Calibri" w:eastAsia="Times New Roman" w:hAnsi="Calibri"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9" w15:restartNumberingAfterBreak="0">
    <w:nsid w:val="2161509B"/>
    <w:multiLevelType w:val="hybridMultilevel"/>
    <w:tmpl w:val="46DE432C"/>
    <w:lvl w:ilvl="0" w:tplc="115A01AE">
      <w:start w:val="2"/>
      <w:numFmt w:val="bullet"/>
      <w:lvlText w:val="-"/>
      <w:lvlJc w:val="left"/>
      <w:pPr>
        <w:ind w:left="1429" w:hanging="360"/>
      </w:pPr>
      <w:rPr>
        <w:rFonts w:ascii="StobiSerif Regular" w:eastAsia="Times New Roman" w:hAnsi="StobiSerif Regular" w:cs="Times New Roman"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30" w15:restartNumberingAfterBreak="0">
    <w:nsid w:val="218A6497"/>
    <w:multiLevelType w:val="hybridMultilevel"/>
    <w:tmpl w:val="A2A07F08"/>
    <w:lvl w:ilvl="0" w:tplc="042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C41B9F"/>
    <w:multiLevelType w:val="hybridMultilevel"/>
    <w:tmpl w:val="A920AF7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21E76353"/>
    <w:multiLevelType w:val="hybridMultilevel"/>
    <w:tmpl w:val="443AB98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22A9587C"/>
    <w:multiLevelType w:val="hybridMultilevel"/>
    <w:tmpl w:val="9428470E"/>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67D58"/>
    <w:multiLevelType w:val="hybridMultilevel"/>
    <w:tmpl w:val="BD8E8E5E"/>
    <w:lvl w:ilvl="0" w:tplc="D60C0742">
      <w:numFmt w:val="bullet"/>
      <w:lvlText w:val="-"/>
      <w:lvlJc w:val="left"/>
      <w:pPr>
        <w:ind w:left="1003" w:hanging="360"/>
      </w:pPr>
      <w:rPr>
        <w:rFonts w:ascii="Calibri" w:eastAsia="Calibri" w:hAnsi="Calibri" w:cs="Calibri" w:hint="default"/>
      </w:rPr>
    </w:lvl>
    <w:lvl w:ilvl="1" w:tplc="042F0003" w:tentative="1">
      <w:start w:val="1"/>
      <w:numFmt w:val="bullet"/>
      <w:lvlText w:val="o"/>
      <w:lvlJc w:val="left"/>
      <w:pPr>
        <w:ind w:left="1723" w:hanging="360"/>
      </w:pPr>
      <w:rPr>
        <w:rFonts w:ascii="Courier New" w:hAnsi="Courier New" w:cs="Courier New" w:hint="default"/>
      </w:rPr>
    </w:lvl>
    <w:lvl w:ilvl="2" w:tplc="042F0005" w:tentative="1">
      <w:start w:val="1"/>
      <w:numFmt w:val="bullet"/>
      <w:lvlText w:val=""/>
      <w:lvlJc w:val="left"/>
      <w:pPr>
        <w:ind w:left="2443" w:hanging="360"/>
      </w:pPr>
      <w:rPr>
        <w:rFonts w:ascii="Wingdings" w:hAnsi="Wingdings" w:hint="default"/>
      </w:rPr>
    </w:lvl>
    <w:lvl w:ilvl="3" w:tplc="042F0001" w:tentative="1">
      <w:start w:val="1"/>
      <w:numFmt w:val="bullet"/>
      <w:lvlText w:val=""/>
      <w:lvlJc w:val="left"/>
      <w:pPr>
        <w:ind w:left="3163" w:hanging="360"/>
      </w:pPr>
      <w:rPr>
        <w:rFonts w:ascii="Symbol" w:hAnsi="Symbol" w:hint="default"/>
      </w:rPr>
    </w:lvl>
    <w:lvl w:ilvl="4" w:tplc="042F0003" w:tentative="1">
      <w:start w:val="1"/>
      <w:numFmt w:val="bullet"/>
      <w:lvlText w:val="o"/>
      <w:lvlJc w:val="left"/>
      <w:pPr>
        <w:ind w:left="3883" w:hanging="360"/>
      </w:pPr>
      <w:rPr>
        <w:rFonts w:ascii="Courier New" w:hAnsi="Courier New" w:cs="Courier New" w:hint="default"/>
      </w:rPr>
    </w:lvl>
    <w:lvl w:ilvl="5" w:tplc="042F0005" w:tentative="1">
      <w:start w:val="1"/>
      <w:numFmt w:val="bullet"/>
      <w:lvlText w:val=""/>
      <w:lvlJc w:val="left"/>
      <w:pPr>
        <w:ind w:left="4603" w:hanging="360"/>
      </w:pPr>
      <w:rPr>
        <w:rFonts w:ascii="Wingdings" w:hAnsi="Wingdings" w:hint="default"/>
      </w:rPr>
    </w:lvl>
    <w:lvl w:ilvl="6" w:tplc="042F0001" w:tentative="1">
      <w:start w:val="1"/>
      <w:numFmt w:val="bullet"/>
      <w:lvlText w:val=""/>
      <w:lvlJc w:val="left"/>
      <w:pPr>
        <w:ind w:left="5323" w:hanging="360"/>
      </w:pPr>
      <w:rPr>
        <w:rFonts w:ascii="Symbol" w:hAnsi="Symbol" w:hint="default"/>
      </w:rPr>
    </w:lvl>
    <w:lvl w:ilvl="7" w:tplc="042F0003" w:tentative="1">
      <w:start w:val="1"/>
      <w:numFmt w:val="bullet"/>
      <w:lvlText w:val="o"/>
      <w:lvlJc w:val="left"/>
      <w:pPr>
        <w:ind w:left="6043" w:hanging="360"/>
      </w:pPr>
      <w:rPr>
        <w:rFonts w:ascii="Courier New" w:hAnsi="Courier New" w:cs="Courier New" w:hint="default"/>
      </w:rPr>
    </w:lvl>
    <w:lvl w:ilvl="8" w:tplc="042F0005" w:tentative="1">
      <w:start w:val="1"/>
      <w:numFmt w:val="bullet"/>
      <w:lvlText w:val=""/>
      <w:lvlJc w:val="left"/>
      <w:pPr>
        <w:ind w:left="6763" w:hanging="360"/>
      </w:pPr>
      <w:rPr>
        <w:rFonts w:ascii="Wingdings" w:hAnsi="Wingdings" w:hint="default"/>
      </w:rPr>
    </w:lvl>
  </w:abstractNum>
  <w:abstractNum w:abstractNumId="35" w15:restartNumberingAfterBreak="0">
    <w:nsid w:val="23202A57"/>
    <w:multiLevelType w:val="hybridMultilevel"/>
    <w:tmpl w:val="51606946"/>
    <w:lvl w:ilvl="0" w:tplc="9544EC1A">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233A0F01"/>
    <w:multiLevelType w:val="hybridMultilevel"/>
    <w:tmpl w:val="B20AAB8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24C853CD"/>
    <w:multiLevelType w:val="hybridMultilevel"/>
    <w:tmpl w:val="3808E334"/>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25FA1817"/>
    <w:multiLevelType w:val="hybridMultilevel"/>
    <w:tmpl w:val="B7FA8710"/>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2B285152"/>
    <w:multiLevelType w:val="hybridMultilevel"/>
    <w:tmpl w:val="FDF6644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15:restartNumberingAfterBreak="0">
    <w:nsid w:val="2D4B5DA7"/>
    <w:multiLevelType w:val="hybridMultilevel"/>
    <w:tmpl w:val="56AA3336"/>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15:restartNumberingAfterBreak="0">
    <w:nsid w:val="2E047E22"/>
    <w:multiLevelType w:val="hybridMultilevel"/>
    <w:tmpl w:val="6C28977C"/>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2EDE34AA"/>
    <w:multiLevelType w:val="hybridMultilevel"/>
    <w:tmpl w:val="CCC675B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15:restartNumberingAfterBreak="0">
    <w:nsid w:val="34042C8A"/>
    <w:multiLevelType w:val="hybridMultilevel"/>
    <w:tmpl w:val="DFC63678"/>
    <w:lvl w:ilvl="0" w:tplc="D60C07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F13C95"/>
    <w:multiLevelType w:val="hybridMultilevel"/>
    <w:tmpl w:val="DA629F0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34F262EE"/>
    <w:multiLevelType w:val="hybridMultilevel"/>
    <w:tmpl w:val="3E140318"/>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15:restartNumberingAfterBreak="0">
    <w:nsid w:val="3614681C"/>
    <w:multiLevelType w:val="hybridMultilevel"/>
    <w:tmpl w:val="41E2CEF2"/>
    <w:lvl w:ilvl="0" w:tplc="B7468016">
      <w:start w:val="1"/>
      <w:numFmt w:val="decimal"/>
      <w:lvlText w:val="%1."/>
      <w:lvlJc w:val="left"/>
      <w:pPr>
        <w:ind w:left="1256" w:hanging="360"/>
      </w:pPr>
      <w:rPr>
        <w:rFonts w:hint="default"/>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47" w15:restartNumberingAfterBreak="0">
    <w:nsid w:val="37224BF3"/>
    <w:multiLevelType w:val="hybridMultilevel"/>
    <w:tmpl w:val="BA84EB28"/>
    <w:lvl w:ilvl="0" w:tplc="042F0011">
      <w:start w:val="1"/>
      <w:numFmt w:val="decimal"/>
      <w:lvlText w:val="%1)"/>
      <w:lvlJc w:val="left"/>
      <w:pPr>
        <w:ind w:left="785" w:hanging="360"/>
      </w:pPr>
      <w:rPr>
        <w:rFonts w:hint="default"/>
      </w:rPr>
    </w:lvl>
    <w:lvl w:ilvl="1" w:tplc="66C05EAC">
      <w:start w:val="27"/>
      <w:numFmt w:val="bullet"/>
      <w:lvlText w:val="•"/>
      <w:lvlJc w:val="left"/>
      <w:pPr>
        <w:ind w:left="1440" w:hanging="360"/>
      </w:pPr>
      <w:rPr>
        <w:rFonts w:ascii="StobiSerif Regular" w:eastAsia="MS PGothic"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183561"/>
    <w:multiLevelType w:val="hybridMultilevel"/>
    <w:tmpl w:val="D0946A9C"/>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6D7F8B"/>
    <w:multiLevelType w:val="hybridMultilevel"/>
    <w:tmpl w:val="06BEE92E"/>
    <w:lvl w:ilvl="0" w:tplc="87347D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8B6167"/>
    <w:multiLevelType w:val="hybridMultilevel"/>
    <w:tmpl w:val="F93274CA"/>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1" w15:restartNumberingAfterBreak="0">
    <w:nsid w:val="3AF04BF1"/>
    <w:multiLevelType w:val="hybridMultilevel"/>
    <w:tmpl w:val="0E320B50"/>
    <w:lvl w:ilvl="0" w:tplc="5BE265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3BA01856"/>
    <w:multiLevelType w:val="hybridMultilevel"/>
    <w:tmpl w:val="92B8044A"/>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3" w15:restartNumberingAfterBreak="0">
    <w:nsid w:val="3C455324"/>
    <w:multiLevelType w:val="hybridMultilevel"/>
    <w:tmpl w:val="B5B682E6"/>
    <w:lvl w:ilvl="0" w:tplc="15D4BC7C">
      <w:numFmt w:val="bullet"/>
      <w:pStyle w:val="normalPFM-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5A59BE"/>
    <w:multiLevelType w:val="hybridMultilevel"/>
    <w:tmpl w:val="254E722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5" w15:restartNumberingAfterBreak="0">
    <w:nsid w:val="3ECC5D96"/>
    <w:multiLevelType w:val="hybridMultilevel"/>
    <w:tmpl w:val="2EB2DD92"/>
    <w:lvl w:ilvl="0" w:tplc="042F0001">
      <w:start w:val="1"/>
      <w:numFmt w:val="bullet"/>
      <w:lvlText w:val=""/>
      <w:lvlJc w:val="left"/>
      <w:pPr>
        <w:ind w:left="786" w:hanging="360"/>
      </w:pPr>
      <w:rPr>
        <w:rFonts w:ascii="Symbol" w:hAnsi="Symbol" w:hint="default"/>
      </w:rPr>
    </w:lvl>
    <w:lvl w:ilvl="1" w:tplc="042F0003" w:tentative="1">
      <w:start w:val="1"/>
      <w:numFmt w:val="bullet"/>
      <w:lvlText w:val="o"/>
      <w:lvlJc w:val="left"/>
      <w:pPr>
        <w:ind w:left="1506" w:hanging="360"/>
      </w:pPr>
      <w:rPr>
        <w:rFonts w:ascii="Courier New" w:hAnsi="Courier New" w:cs="Courier New" w:hint="default"/>
      </w:rPr>
    </w:lvl>
    <w:lvl w:ilvl="2" w:tplc="042F0005" w:tentative="1">
      <w:start w:val="1"/>
      <w:numFmt w:val="bullet"/>
      <w:lvlText w:val=""/>
      <w:lvlJc w:val="left"/>
      <w:pPr>
        <w:ind w:left="2226" w:hanging="360"/>
      </w:pPr>
      <w:rPr>
        <w:rFonts w:ascii="Wingdings" w:hAnsi="Wingdings" w:hint="default"/>
      </w:rPr>
    </w:lvl>
    <w:lvl w:ilvl="3" w:tplc="042F0001" w:tentative="1">
      <w:start w:val="1"/>
      <w:numFmt w:val="bullet"/>
      <w:lvlText w:val=""/>
      <w:lvlJc w:val="left"/>
      <w:pPr>
        <w:ind w:left="2946" w:hanging="360"/>
      </w:pPr>
      <w:rPr>
        <w:rFonts w:ascii="Symbol" w:hAnsi="Symbol" w:hint="default"/>
      </w:rPr>
    </w:lvl>
    <w:lvl w:ilvl="4" w:tplc="042F0003" w:tentative="1">
      <w:start w:val="1"/>
      <w:numFmt w:val="bullet"/>
      <w:lvlText w:val="o"/>
      <w:lvlJc w:val="left"/>
      <w:pPr>
        <w:ind w:left="3666" w:hanging="360"/>
      </w:pPr>
      <w:rPr>
        <w:rFonts w:ascii="Courier New" w:hAnsi="Courier New" w:cs="Courier New" w:hint="default"/>
      </w:rPr>
    </w:lvl>
    <w:lvl w:ilvl="5" w:tplc="042F0005" w:tentative="1">
      <w:start w:val="1"/>
      <w:numFmt w:val="bullet"/>
      <w:lvlText w:val=""/>
      <w:lvlJc w:val="left"/>
      <w:pPr>
        <w:ind w:left="4386" w:hanging="360"/>
      </w:pPr>
      <w:rPr>
        <w:rFonts w:ascii="Wingdings" w:hAnsi="Wingdings" w:hint="default"/>
      </w:rPr>
    </w:lvl>
    <w:lvl w:ilvl="6" w:tplc="042F0001" w:tentative="1">
      <w:start w:val="1"/>
      <w:numFmt w:val="bullet"/>
      <w:lvlText w:val=""/>
      <w:lvlJc w:val="left"/>
      <w:pPr>
        <w:ind w:left="5106" w:hanging="360"/>
      </w:pPr>
      <w:rPr>
        <w:rFonts w:ascii="Symbol" w:hAnsi="Symbol" w:hint="default"/>
      </w:rPr>
    </w:lvl>
    <w:lvl w:ilvl="7" w:tplc="042F0003" w:tentative="1">
      <w:start w:val="1"/>
      <w:numFmt w:val="bullet"/>
      <w:lvlText w:val="o"/>
      <w:lvlJc w:val="left"/>
      <w:pPr>
        <w:ind w:left="5826" w:hanging="360"/>
      </w:pPr>
      <w:rPr>
        <w:rFonts w:ascii="Courier New" w:hAnsi="Courier New" w:cs="Courier New" w:hint="default"/>
      </w:rPr>
    </w:lvl>
    <w:lvl w:ilvl="8" w:tplc="042F0005" w:tentative="1">
      <w:start w:val="1"/>
      <w:numFmt w:val="bullet"/>
      <w:lvlText w:val=""/>
      <w:lvlJc w:val="left"/>
      <w:pPr>
        <w:ind w:left="6546" w:hanging="360"/>
      </w:pPr>
      <w:rPr>
        <w:rFonts w:ascii="Wingdings" w:hAnsi="Wingdings" w:hint="default"/>
      </w:rPr>
    </w:lvl>
  </w:abstractNum>
  <w:abstractNum w:abstractNumId="56" w15:restartNumberingAfterBreak="0">
    <w:nsid w:val="40E14C53"/>
    <w:multiLevelType w:val="hybridMultilevel"/>
    <w:tmpl w:val="C53E71D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7" w15:restartNumberingAfterBreak="0">
    <w:nsid w:val="40F82A33"/>
    <w:multiLevelType w:val="hybridMultilevel"/>
    <w:tmpl w:val="34924E5A"/>
    <w:lvl w:ilvl="0" w:tplc="32CE9082">
      <w:start w:val="1"/>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8" w15:restartNumberingAfterBreak="0">
    <w:nsid w:val="41505D26"/>
    <w:multiLevelType w:val="hybridMultilevel"/>
    <w:tmpl w:val="887EAA0A"/>
    <w:lvl w:ilvl="0" w:tplc="744C147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9" w15:restartNumberingAfterBreak="0">
    <w:nsid w:val="460202F2"/>
    <w:multiLevelType w:val="hybridMultilevel"/>
    <w:tmpl w:val="5AB41258"/>
    <w:lvl w:ilvl="0" w:tplc="D60C0742">
      <w:numFmt w:val="bullet"/>
      <w:lvlText w:val="-"/>
      <w:lvlJc w:val="left"/>
      <w:pPr>
        <w:ind w:left="754" w:hanging="360"/>
      </w:pPr>
      <w:rPr>
        <w:rFonts w:ascii="Calibri" w:eastAsia="Calibri" w:hAnsi="Calibri" w:cs="Calibri" w:hint="default"/>
      </w:rPr>
    </w:lvl>
    <w:lvl w:ilvl="1" w:tplc="042F0003" w:tentative="1">
      <w:start w:val="1"/>
      <w:numFmt w:val="bullet"/>
      <w:lvlText w:val="o"/>
      <w:lvlJc w:val="left"/>
      <w:pPr>
        <w:ind w:left="1474" w:hanging="360"/>
      </w:pPr>
      <w:rPr>
        <w:rFonts w:ascii="Courier New" w:hAnsi="Courier New" w:cs="Courier New" w:hint="default"/>
      </w:rPr>
    </w:lvl>
    <w:lvl w:ilvl="2" w:tplc="042F0005" w:tentative="1">
      <w:start w:val="1"/>
      <w:numFmt w:val="bullet"/>
      <w:lvlText w:val=""/>
      <w:lvlJc w:val="left"/>
      <w:pPr>
        <w:ind w:left="2194" w:hanging="360"/>
      </w:pPr>
      <w:rPr>
        <w:rFonts w:ascii="Wingdings" w:hAnsi="Wingdings" w:hint="default"/>
      </w:rPr>
    </w:lvl>
    <w:lvl w:ilvl="3" w:tplc="042F0001" w:tentative="1">
      <w:start w:val="1"/>
      <w:numFmt w:val="bullet"/>
      <w:lvlText w:val=""/>
      <w:lvlJc w:val="left"/>
      <w:pPr>
        <w:ind w:left="2914" w:hanging="360"/>
      </w:pPr>
      <w:rPr>
        <w:rFonts w:ascii="Symbol" w:hAnsi="Symbol" w:hint="default"/>
      </w:rPr>
    </w:lvl>
    <w:lvl w:ilvl="4" w:tplc="042F0003" w:tentative="1">
      <w:start w:val="1"/>
      <w:numFmt w:val="bullet"/>
      <w:lvlText w:val="o"/>
      <w:lvlJc w:val="left"/>
      <w:pPr>
        <w:ind w:left="3634" w:hanging="360"/>
      </w:pPr>
      <w:rPr>
        <w:rFonts w:ascii="Courier New" w:hAnsi="Courier New" w:cs="Courier New" w:hint="default"/>
      </w:rPr>
    </w:lvl>
    <w:lvl w:ilvl="5" w:tplc="042F0005" w:tentative="1">
      <w:start w:val="1"/>
      <w:numFmt w:val="bullet"/>
      <w:lvlText w:val=""/>
      <w:lvlJc w:val="left"/>
      <w:pPr>
        <w:ind w:left="4354" w:hanging="360"/>
      </w:pPr>
      <w:rPr>
        <w:rFonts w:ascii="Wingdings" w:hAnsi="Wingdings" w:hint="default"/>
      </w:rPr>
    </w:lvl>
    <w:lvl w:ilvl="6" w:tplc="042F0001" w:tentative="1">
      <w:start w:val="1"/>
      <w:numFmt w:val="bullet"/>
      <w:lvlText w:val=""/>
      <w:lvlJc w:val="left"/>
      <w:pPr>
        <w:ind w:left="5074" w:hanging="360"/>
      </w:pPr>
      <w:rPr>
        <w:rFonts w:ascii="Symbol" w:hAnsi="Symbol" w:hint="default"/>
      </w:rPr>
    </w:lvl>
    <w:lvl w:ilvl="7" w:tplc="042F0003" w:tentative="1">
      <w:start w:val="1"/>
      <w:numFmt w:val="bullet"/>
      <w:lvlText w:val="o"/>
      <w:lvlJc w:val="left"/>
      <w:pPr>
        <w:ind w:left="5794" w:hanging="360"/>
      </w:pPr>
      <w:rPr>
        <w:rFonts w:ascii="Courier New" w:hAnsi="Courier New" w:cs="Courier New" w:hint="default"/>
      </w:rPr>
    </w:lvl>
    <w:lvl w:ilvl="8" w:tplc="042F0005" w:tentative="1">
      <w:start w:val="1"/>
      <w:numFmt w:val="bullet"/>
      <w:lvlText w:val=""/>
      <w:lvlJc w:val="left"/>
      <w:pPr>
        <w:ind w:left="6514" w:hanging="360"/>
      </w:pPr>
      <w:rPr>
        <w:rFonts w:ascii="Wingdings" w:hAnsi="Wingdings" w:hint="default"/>
      </w:rPr>
    </w:lvl>
  </w:abstractNum>
  <w:abstractNum w:abstractNumId="60" w15:restartNumberingAfterBreak="0">
    <w:nsid w:val="475C5CB5"/>
    <w:multiLevelType w:val="hybridMultilevel"/>
    <w:tmpl w:val="C68C6B06"/>
    <w:lvl w:ilvl="0" w:tplc="8370091C">
      <w:start w:val="1"/>
      <w:numFmt w:val="bullet"/>
      <w:lvlText w:val="-"/>
      <w:lvlJc w:val="left"/>
      <w:pPr>
        <w:ind w:left="720" w:hanging="360"/>
      </w:pPr>
      <w:rPr>
        <w:rFonts w:ascii="Courier New" w:hAnsi="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1" w15:restartNumberingAfterBreak="0">
    <w:nsid w:val="48E96251"/>
    <w:multiLevelType w:val="hybridMultilevel"/>
    <w:tmpl w:val="DE8AFDFA"/>
    <w:lvl w:ilvl="0" w:tplc="5F9EAC70">
      <w:start w:val="1"/>
      <w:numFmt w:val="decimal"/>
      <w:lvlText w:val="%1)"/>
      <w:lvlJc w:val="left"/>
      <w:pPr>
        <w:ind w:left="785" w:hanging="360"/>
      </w:pPr>
      <w:rPr>
        <w:rFonts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2" w15:restartNumberingAfterBreak="0">
    <w:nsid w:val="4D004059"/>
    <w:multiLevelType w:val="hybridMultilevel"/>
    <w:tmpl w:val="CB82F440"/>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3" w15:restartNumberingAfterBreak="0">
    <w:nsid w:val="4EB37175"/>
    <w:multiLevelType w:val="hybridMultilevel"/>
    <w:tmpl w:val="C24EB020"/>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BD1EE1"/>
    <w:multiLevelType w:val="hybridMultilevel"/>
    <w:tmpl w:val="A3CEC35A"/>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5" w15:restartNumberingAfterBreak="0">
    <w:nsid w:val="50EF3070"/>
    <w:multiLevelType w:val="hybridMultilevel"/>
    <w:tmpl w:val="D3BC8F96"/>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51A851FA"/>
    <w:multiLevelType w:val="hybridMultilevel"/>
    <w:tmpl w:val="755CC7DA"/>
    <w:lvl w:ilvl="0" w:tplc="E0664A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554C53"/>
    <w:multiLevelType w:val="hybridMultilevel"/>
    <w:tmpl w:val="91528D32"/>
    <w:lvl w:ilvl="0" w:tplc="9544EC1A">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8" w15:restartNumberingAfterBreak="0">
    <w:nsid w:val="52EF6782"/>
    <w:multiLevelType w:val="hybridMultilevel"/>
    <w:tmpl w:val="758AC766"/>
    <w:lvl w:ilvl="0" w:tplc="444A43A0">
      <w:numFmt w:val="bullet"/>
      <w:lvlText w:val="-"/>
      <w:lvlJc w:val="left"/>
      <w:pPr>
        <w:ind w:left="720" w:hanging="360"/>
      </w:pPr>
      <w:rPr>
        <w:rFonts w:ascii="Calibri" w:eastAsia="MS PGothic"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9" w15:restartNumberingAfterBreak="0">
    <w:nsid w:val="53DB3E1A"/>
    <w:multiLevelType w:val="hybridMultilevel"/>
    <w:tmpl w:val="766C8570"/>
    <w:lvl w:ilvl="0" w:tplc="32CE9082">
      <w:start w:val="1"/>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F62894"/>
    <w:multiLevelType w:val="hybridMultilevel"/>
    <w:tmpl w:val="FDE4B1D6"/>
    <w:lvl w:ilvl="0" w:tplc="27A2BD00">
      <w:start w:val="1"/>
      <w:numFmt w:val="bullet"/>
      <w:lvlText w:val="-"/>
      <w:lvlJc w:val="left"/>
      <w:pPr>
        <w:ind w:left="1440" w:hanging="360"/>
      </w:pPr>
      <w:rPr>
        <w:rFonts w:ascii="Calibri" w:eastAsia="Times New Roman"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71" w15:restartNumberingAfterBreak="0">
    <w:nsid w:val="58FF7B40"/>
    <w:multiLevelType w:val="hybridMultilevel"/>
    <w:tmpl w:val="571E6A56"/>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2" w15:restartNumberingAfterBreak="0">
    <w:nsid w:val="591F5654"/>
    <w:multiLevelType w:val="hybridMultilevel"/>
    <w:tmpl w:val="270C5A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4C7653"/>
    <w:multiLevelType w:val="hybridMultilevel"/>
    <w:tmpl w:val="1FB49A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15:restartNumberingAfterBreak="0">
    <w:nsid w:val="5A610775"/>
    <w:multiLevelType w:val="hybridMultilevel"/>
    <w:tmpl w:val="A1EED746"/>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15:restartNumberingAfterBreak="0">
    <w:nsid w:val="5B713497"/>
    <w:multiLevelType w:val="hybridMultilevel"/>
    <w:tmpl w:val="34760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0C5BEC"/>
    <w:multiLevelType w:val="hybridMultilevel"/>
    <w:tmpl w:val="0E042BE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7" w15:restartNumberingAfterBreak="0">
    <w:nsid w:val="5D74751A"/>
    <w:multiLevelType w:val="hybridMultilevel"/>
    <w:tmpl w:val="4F40D07C"/>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872A0B"/>
    <w:multiLevelType w:val="hybridMultilevel"/>
    <w:tmpl w:val="256A9E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9" w15:restartNumberingAfterBreak="0">
    <w:nsid w:val="60D22783"/>
    <w:multiLevelType w:val="hybridMultilevel"/>
    <w:tmpl w:val="086C8AE6"/>
    <w:lvl w:ilvl="0" w:tplc="F38491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80" w15:restartNumberingAfterBreak="0">
    <w:nsid w:val="61CB63D3"/>
    <w:multiLevelType w:val="hybridMultilevel"/>
    <w:tmpl w:val="DA80DE00"/>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1" w15:restartNumberingAfterBreak="0">
    <w:nsid w:val="61EB2F7B"/>
    <w:multiLevelType w:val="hybridMultilevel"/>
    <w:tmpl w:val="981CE2A6"/>
    <w:lvl w:ilvl="0" w:tplc="444A43A0">
      <w:numFmt w:val="bullet"/>
      <w:lvlText w:val="-"/>
      <w:lvlJc w:val="left"/>
      <w:pPr>
        <w:ind w:left="360" w:hanging="360"/>
      </w:pPr>
      <w:rPr>
        <w:rFonts w:ascii="Calibri" w:eastAsia="MS PGothic" w:hAnsi="Calibri" w:cs="Calibr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2" w15:restartNumberingAfterBreak="0">
    <w:nsid w:val="631327E7"/>
    <w:multiLevelType w:val="hybridMultilevel"/>
    <w:tmpl w:val="E4AC3D9C"/>
    <w:lvl w:ilvl="0" w:tplc="CA7A36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3" w15:restartNumberingAfterBreak="0">
    <w:nsid w:val="638D74A4"/>
    <w:multiLevelType w:val="hybridMultilevel"/>
    <w:tmpl w:val="04BAC5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4" w15:restartNumberingAfterBreak="0">
    <w:nsid w:val="64375E27"/>
    <w:multiLevelType w:val="hybridMultilevel"/>
    <w:tmpl w:val="A2CA9DEC"/>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5" w15:restartNumberingAfterBreak="0">
    <w:nsid w:val="64927252"/>
    <w:multiLevelType w:val="hybridMultilevel"/>
    <w:tmpl w:val="1A269694"/>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6" w15:restartNumberingAfterBreak="0">
    <w:nsid w:val="65412B3D"/>
    <w:multiLevelType w:val="hybridMultilevel"/>
    <w:tmpl w:val="E4841792"/>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7" w15:restartNumberingAfterBreak="0">
    <w:nsid w:val="66C96DDB"/>
    <w:multiLevelType w:val="hybridMultilevel"/>
    <w:tmpl w:val="80629970"/>
    <w:lvl w:ilvl="0" w:tplc="744C147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8" w15:restartNumberingAfterBreak="0">
    <w:nsid w:val="67975354"/>
    <w:multiLevelType w:val="hybridMultilevel"/>
    <w:tmpl w:val="7B223454"/>
    <w:lvl w:ilvl="0" w:tplc="96DCDF7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D11819"/>
    <w:multiLevelType w:val="hybridMultilevel"/>
    <w:tmpl w:val="43405A4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0" w15:restartNumberingAfterBreak="0">
    <w:nsid w:val="69390BAF"/>
    <w:multiLevelType w:val="hybridMultilevel"/>
    <w:tmpl w:val="C11279C4"/>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1" w15:restartNumberingAfterBreak="0">
    <w:nsid w:val="6ABE4E07"/>
    <w:multiLevelType w:val="hybridMultilevel"/>
    <w:tmpl w:val="605623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2" w15:restartNumberingAfterBreak="0">
    <w:nsid w:val="6B125EBD"/>
    <w:multiLevelType w:val="hybridMultilevel"/>
    <w:tmpl w:val="ABBE028C"/>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3" w15:restartNumberingAfterBreak="0">
    <w:nsid w:val="6C1F350F"/>
    <w:multiLevelType w:val="hybridMultilevel"/>
    <w:tmpl w:val="254E722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4" w15:restartNumberingAfterBreak="0">
    <w:nsid w:val="6D397638"/>
    <w:multiLevelType w:val="hybridMultilevel"/>
    <w:tmpl w:val="DA242E68"/>
    <w:lvl w:ilvl="0" w:tplc="05609D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D4E2A3A"/>
    <w:multiLevelType w:val="hybridMultilevel"/>
    <w:tmpl w:val="6FBCDEC6"/>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6" w15:restartNumberingAfterBreak="0">
    <w:nsid w:val="6DA10218"/>
    <w:multiLevelType w:val="hybridMultilevel"/>
    <w:tmpl w:val="A2A07F08"/>
    <w:lvl w:ilvl="0" w:tplc="042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EB124C"/>
    <w:multiLevelType w:val="hybridMultilevel"/>
    <w:tmpl w:val="577EF08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8" w15:restartNumberingAfterBreak="0">
    <w:nsid w:val="6DEB293E"/>
    <w:multiLevelType w:val="hybridMultilevel"/>
    <w:tmpl w:val="E59E5D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9" w15:restartNumberingAfterBreak="0">
    <w:nsid w:val="6E126EC7"/>
    <w:multiLevelType w:val="hybridMultilevel"/>
    <w:tmpl w:val="2F007BE8"/>
    <w:lvl w:ilvl="0" w:tplc="8370091C">
      <w:start w:val="1"/>
      <w:numFmt w:val="bullet"/>
      <w:lvlText w:val="-"/>
      <w:lvlJc w:val="left"/>
      <w:pPr>
        <w:ind w:left="720" w:hanging="360"/>
      </w:pPr>
      <w:rPr>
        <w:rFonts w:ascii="Courier New" w:hAnsi="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0" w15:restartNumberingAfterBreak="0">
    <w:nsid w:val="6E643AF6"/>
    <w:multiLevelType w:val="hybridMultilevel"/>
    <w:tmpl w:val="65C0089E"/>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1" w15:restartNumberingAfterBreak="0">
    <w:nsid w:val="70C62734"/>
    <w:multiLevelType w:val="hybridMultilevel"/>
    <w:tmpl w:val="47A29C78"/>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2" w15:restartNumberingAfterBreak="0">
    <w:nsid w:val="71511194"/>
    <w:multiLevelType w:val="hybridMultilevel"/>
    <w:tmpl w:val="19B0B3DE"/>
    <w:lvl w:ilvl="0" w:tplc="32CE9082">
      <w:start w:val="1"/>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3" w15:restartNumberingAfterBreak="0">
    <w:nsid w:val="7195397C"/>
    <w:multiLevelType w:val="hybridMultilevel"/>
    <w:tmpl w:val="F02EA03A"/>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4" w15:restartNumberingAfterBreak="0">
    <w:nsid w:val="725575E8"/>
    <w:multiLevelType w:val="hybridMultilevel"/>
    <w:tmpl w:val="5220E84C"/>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5" w15:restartNumberingAfterBreak="0">
    <w:nsid w:val="737C397A"/>
    <w:multiLevelType w:val="hybridMultilevel"/>
    <w:tmpl w:val="6172BC9C"/>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6" w15:restartNumberingAfterBreak="0">
    <w:nsid w:val="76FE52E5"/>
    <w:multiLevelType w:val="hybridMultilevel"/>
    <w:tmpl w:val="BC8243B0"/>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8E4C36"/>
    <w:multiLevelType w:val="hybridMultilevel"/>
    <w:tmpl w:val="00CA95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8" w15:restartNumberingAfterBreak="0">
    <w:nsid w:val="77961081"/>
    <w:multiLevelType w:val="hybridMultilevel"/>
    <w:tmpl w:val="935E2480"/>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9" w15:restartNumberingAfterBreak="0">
    <w:nsid w:val="785817D8"/>
    <w:multiLevelType w:val="hybridMultilevel"/>
    <w:tmpl w:val="0184A6DA"/>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6C1F4B"/>
    <w:multiLevelType w:val="hybridMultilevel"/>
    <w:tmpl w:val="A06021BA"/>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1" w15:restartNumberingAfterBreak="0">
    <w:nsid w:val="7A58643C"/>
    <w:multiLevelType w:val="hybridMultilevel"/>
    <w:tmpl w:val="234C90E8"/>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2" w15:restartNumberingAfterBreak="0">
    <w:nsid w:val="7CA87BB4"/>
    <w:multiLevelType w:val="hybridMultilevel"/>
    <w:tmpl w:val="D1F41F70"/>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3" w15:restartNumberingAfterBreak="0">
    <w:nsid w:val="7CC30730"/>
    <w:multiLevelType w:val="hybridMultilevel"/>
    <w:tmpl w:val="BAC830C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4" w15:restartNumberingAfterBreak="0">
    <w:nsid w:val="7EB65C70"/>
    <w:multiLevelType w:val="hybridMultilevel"/>
    <w:tmpl w:val="0E5C39A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15" w15:restartNumberingAfterBreak="0">
    <w:nsid w:val="7F216411"/>
    <w:multiLevelType w:val="hybridMultilevel"/>
    <w:tmpl w:val="42F4DC66"/>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6" w15:restartNumberingAfterBreak="0">
    <w:nsid w:val="7F74653C"/>
    <w:multiLevelType w:val="hybridMultilevel"/>
    <w:tmpl w:val="17E2AC6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53"/>
  </w:num>
  <w:num w:numId="4">
    <w:abstractNumId w:val="66"/>
  </w:num>
  <w:num w:numId="5">
    <w:abstractNumId w:val="30"/>
  </w:num>
  <w:num w:numId="6">
    <w:abstractNumId w:val="96"/>
  </w:num>
  <w:num w:numId="7">
    <w:abstractNumId w:val="60"/>
  </w:num>
  <w:num w:numId="8">
    <w:abstractNumId w:val="69"/>
  </w:num>
  <w:num w:numId="9">
    <w:abstractNumId w:val="25"/>
  </w:num>
  <w:num w:numId="10">
    <w:abstractNumId w:val="17"/>
  </w:num>
  <w:num w:numId="11">
    <w:abstractNumId w:val="84"/>
  </w:num>
  <w:num w:numId="12">
    <w:abstractNumId w:val="95"/>
  </w:num>
  <w:num w:numId="13">
    <w:abstractNumId w:val="90"/>
  </w:num>
  <w:num w:numId="14">
    <w:abstractNumId w:val="50"/>
  </w:num>
  <w:num w:numId="15">
    <w:abstractNumId w:val="41"/>
  </w:num>
  <w:num w:numId="16">
    <w:abstractNumId w:val="5"/>
  </w:num>
  <w:num w:numId="17">
    <w:abstractNumId w:val="35"/>
  </w:num>
  <w:num w:numId="18">
    <w:abstractNumId w:val="88"/>
  </w:num>
  <w:num w:numId="19">
    <w:abstractNumId w:val="79"/>
  </w:num>
  <w:num w:numId="20">
    <w:abstractNumId w:val="59"/>
  </w:num>
  <w:num w:numId="21">
    <w:abstractNumId w:val="3"/>
  </w:num>
  <w:num w:numId="22">
    <w:abstractNumId w:val="43"/>
  </w:num>
  <w:num w:numId="23">
    <w:abstractNumId w:val="4"/>
  </w:num>
  <w:num w:numId="24">
    <w:abstractNumId w:val="104"/>
  </w:num>
  <w:num w:numId="25">
    <w:abstractNumId w:val="36"/>
  </w:num>
  <w:num w:numId="26">
    <w:abstractNumId w:val="97"/>
  </w:num>
  <w:num w:numId="27">
    <w:abstractNumId w:val="54"/>
  </w:num>
  <w:num w:numId="28">
    <w:abstractNumId w:val="67"/>
  </w:num>
  <w:num w:numId="29">
    <w:abstractNumId w:val="57"/>
  </w:num>
  <w:num w:numId="30">
    <w:abstractNumId w:val="102"/>
  </w:num>
  <w:num w:numId="31">
    <w:abstractNumId w:val="110"/>
  </w:num>
  <w:num w:numId="32">
    <w:abstractNumId w:val="24"/>
  </w:num>
  <w:num w:numId="33">
    <w:abstractNumId w:val="47"/>
  </w:num>
  <w:num w:numId="34">
    <w:abstractNumId w:val="81"/>
  </w:num>
  <w:num w:numId="35">
    <w:abstractNumId w:val="2"/>
  </w:num>
  <w:num w:numId="36">
    <w:abstractNumId w:val="111"/>
  </w:num>
  <w:num w:numId="37">
    <w:abstractNumId w:val="56"/>
  </w:num>
  <w:num w:numId="38">
    <w:abstractNumId w:val="52"/>
  </w:num>
  <w:num w:numId="39">
    <w:abstractNumId w:val="37"/>
  </w:num>
  <w:num w:numId="40">
    <w:abstractNumId w:val="115"/>
  </w:num>
  <w:num w:numId="41">
    <w:abstractNumId w:val="64"/>
  </w:num>
  <w:num w:numId="42">
    <w:abstractNumId w:val="105"/>
  </w:num>
  <w:num w:numId="43">
    <w:abstractNumId w:val="112"/>
  </w:num>
  <w:num w:numId="44">
    <w:abstractNumId w:val="20"/>
  </w:num>
  <w:num w:numId="45">
    <w:abstractNumId w:val="0"/>
  </w:num>
  <w:num w:numId="46">
    <w:abstractNumId w:val="21"/>
  </w:num>
  <w:num w:numId="47">
    <w:abstractNumId w:val="38"/>
  </w:num>
  <w:num w:numId="48">
    <w:abstractNumId w:val="108"/>
  </w:num>
  <w:num w:numId="49">
    <w:abstractNumId w:val="68"/>
  </w:num>
  <w:num w:numId="50">
    <w:abstractNumId w:val="65"/>
  </w:num>
  <w:num w:numId="51">
    <w:abstractNumId w:val="101"/>
  </w:num>
  <w:num w:numId="52">
    <w:abstractNumId w:val="113"/>
  </w:num>
  <w:num w:numId="53">
    <w:abstractNumId w:val="92"/>
  </w:num>
  <w:num w:numId="54">
    <w:abstractNumId w:val="32"/>
  </w:num>
  <w:num w:numId="55">
    <w:abstractNumId w:val="15"/>
  </w:num>
  <w:num w:numId="56">
    <w:abstractNumId w:val="7"/>
  </w:num>
  <w:num w:numId="57">
    <w:abstractNumId w:val="6"/>
  </w:num>
  <w:num w:numId="58">
    <w:abstractNumId w:val="86"/>
  </w:num>
  <w:num w:numId="59">
    <w:abstractNumId w:val="71"/>
  </w:num>
  <w:num w:numId="60">
    <w:abstractNumId w:val="40"/>
  </w:num>
  <w:num w:numId="61">
    <w:abstractNumId w:val="85"/>
  </w:num>
  <w:num w:numId="62">
    <w:abstractNumId w:val="62"/>
  </w:num>
  <w:num w:numId="63">
    <w:abstractNumId w:val="55"/>
  </w:num>
  <w:num w:numId="64">
    <w:abstractNumId w:val="8"/>
  </w:num>
  <w:num w:numId="65">
    <w:abstractNumId w:val="34"/>
  </w:num>
  <w:num w:numId="66">
    <w:abstractNumId w:val="42"/>
  </w:num>
  <w:num w:numId="67">
    <w:abstractNumId w:val="116"/>
  </w:num>
  <w:num w:numId="68">
    <w:abstractNumId w:val="13"/>
  </w:num>
  <w:num w:numId="69">
    <w:abstractNumId w:val="73"/>
  </w:num>
  <w:num w:numId="70">
    <w:abstractNumId w:val="29"/>
  </w:num>
  <w:num w:numId="71">
    <w:abstractNumId w:val="74"/>
  </w:num>
  <w:num w:numId="72">
    <w:abstractNumId w:val="77"/>
  </w:num>
  <w:num w:numId="73">
    <w:abstractNumId w:val="106"/>
  </w:num>
  <w:num w:numId="74">
    <w:abstractNumId w:val="33"/>
  </w:num>
  <w:num w:numId="75">
    <w:abstractNumId w:val="18"/>
  </w:num>
  <w:num w:numId="76">
    <w:abstractNumId w:val="109"/>
  </w:num>
  <w:num w:numId="77">
    <w:abstractNumId w:val="48"/>
  </w:num>
  <w:num w:numId="78">
    <w:abstractNumId w:val="26"/>
  </w:num>
  <w:num w:numId="79">
    <w:abstractNumId w:val="99"/>
  </w:num>
  <w:num w:numId="80">
    <w:abstractNumId w:val="72"/>
  </w:num>
  <w:num w:numId="81">
    <w:abstractNumId w:val="114"/>
  </w:num>
  <w:num w:numId="82">
    <w:abstractNumId w:val="46"/>
  </w:num>
  <w:num w:numId="83">
    <w:abstractNumId w:val="75"/>
  </w:num>
  <w:num w:numId="84">
    <w:abstractNumId w:val="94"/>
  </w:num>
  <w:num w:numId="85">
    <w:abstractNumId w:val="82"/>
  </w:num>
  <w:num w:numId="86">
    <w:abstractNumId w:val="16"/>
  </w:num>
  <w:num w:numId="87">
    <w:abstractNumId w:val="61"/>
  </w:num>
  <w:num w:numId="88">
    <w:abstractNumId w:val="51"/>
  </w:num>
  <w:num w:numId="89">
    <w:abstractNumId w:val="44"/>
  </w:num>
  <w:num w:numId="90">
    <w:abstractNumId w:val="49"/>
  </w:num>
  <w:num w:numId="91">
    <w:abstractNumId w:val="100"/>
  </w:num>
  <w:num w:numId="92">
    <w:abstractNumId w:val="63"/>
  </w:num>
  <w:num w:numId="93">
    <w:abstractNumId w:val="76"/>
  </w:num>
  <w:num w:numId="94">
    <w:abstractNumId w:val="11"/>
  </w:num>
  <w:num w:numId="95">
    <w:abstractNumId w:val="22"/>
  </w:num>
  <w:num w:numId="96">
    <w:abstractNumId w:val="31"/>
  </w:num>
  <w:num w:numId="97">
    <w:abstractNumId w:val="98"/>
  </w:num>
  <w:num w:numId="98">
    <w:abstractNumId w:val="14"/>
  </w:num>
  <w:num w:numId="99">
    <w:abstractNumId w:val="58"/>
  </w:num>
  <w:num w:numId="100">
    <w:abstractNumId w:val="87"/>
  </w:num>
  <w:num w:numId="101">
    <w:abstractNumId w:val="78"/>
  </w:num>
  <w:num w:numId="102">
    <w:abstractNumId w:val="89"/>
  </w:num>
  <w:num w:numId="103">
    <w:abstractNumId w:val="91"/>
  </w:num>
  <w:num w:numId="104">
    <w:abstractNumId w:val="12"/>
  </w:num>
  <w:num w:numId="105">
    <w:abstractNumId w:val="28"/>
  </w:num>
  <w:num w:numId="106">
    <w:abstractNumId w:val="70"/>
  </w:num>
  <w:num w:numId="107">
    <w:abstractNumId w:val="1"/>
  </w:num>
  <w:num w:numId="108">
    <w:abstractNumId w:val="80"/>
  </w:num>
  <w:num w:numId="109">
    <w:abstractNumId w:val="93"/>
  </w:num>
  <w:num w:numId="110">
    <w:abstractNumId w:val="39"/>
  </w:num>
  <w:num w:numId="111">
    <w:abstractNumId w:val="103"/>
  </w:num>
  <w:num w:numId="112">
    <w:abstractNumId w:val="9"/>
  </w:num>
  <w:num w:numId="113">
    <w:abstractNumId w:val="45"/>
  </w:num>
  <w:num w:numId="114">
    <w:abstractNumId w:val="107"/>
  </w:num>
  <w:num w:numId="115">
    <w:abstractNumId w:val="83"/>
  </w:num>
  <w:num w:numId="116">
    <w:abstractNumId w:val="27"/>
  </w:num>
  <w:num w:numId="117">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E58"/>
    <w:rsid w:val="00000460"/>
    <w:rsid w:val="00000A61"/>
    <w:rsid w:val="00000CE4"/>
    <w:rsid w:val="00000D1A"/>
    <w:rsid w:val="000015E6"/>
    <w:rsid w:val="00001ECD"/>
    <w:rsid w:val="00002D9F"/>
    <w:rsid w:val="00003455"/>
    <w:rsid w:val="00004EB2"/>
    <w:rsid w:val="00006D8A"/>
    <w:rsid w:val="00010DD3"/>
    <w:rsid w:val="00010FFA"/>
    <w:rsid w:val="00011C55"/>
    <w:rsid w:val="00013AE1"/>
    <w:rsid w:val="00013B77"/>
    <w:rsid w:val="00013F44"/>
    <w:rsid w:val="000140DB"/>
    <w:rsid w:val="000147DA"/>
    <w:rsid w:val="00015129"/>
    <w:rsid w:val="00016BE0"/>
    <w:rsid w:val="000218E1"/>
    <w:rsid w:val="0002493D"/>
    <w:rsid w:val="0002594F"/>
    <w:rsid w:val="0002613F"/>
    <w:rsid w:val="00027D67"/>
    <w:rsid w:val="0003023A"/>
    <w:rsid w:val="000304CE"/>
    <w:rsid w:val="0003109D"/>
    <w:rsid w:val="00031ACD"/>
    <w:rsid w:val="000331F8"/>
    <w:rsid w:val="000343E5"/>
    <w:rsid w:val="000347F7"/>
    <w:rsid w:val="00034BBA"/>
    <w:rsid w:val="00036FD5"/>
    <w:rsid w:val="00042BEB"/>
    <w:rsid w:val="0004385D"/>
    <w:rsid w:val="00044C9B"/>
    <w:rsid w:val="0004768C"/>
    <w:rsid w:val="00050F16"/>
    <w:rsid w:val="000516D9"/>
    <w:rsid w:val="00051B34"/>
    <w:rsid w:val="000523BE"/>
    <w:rsid w:val="00053592"/>
    <w:rsid w:val="0005417B"/>
    <w:rsid w:val="00056B8A"/>
    <w:rsid w:val="00061F8C"/>
    <w:rsid w:val="00063001"/>
    <w:rsid w:val="00064C47"/>
    <w:rsid w:val="00065C82"/>
    <w:rsid w:val="00070275"/>
    <w:rsid w:val="00070786"/>
    <w:rsid w:val="00071D9B"/>
    <w:rsid w:val="00073FE9"/>
    <w:rsid w:val="000758A9"/>
    <w:rsid w:val="00080793"/>
    <w:rsid w:val="00080C88"/>
    <w:rsid w:val="000832C6"/>
    <w:rsid w:val="00083A12"/>
    <w:rsid w:val="00083C9E"/>
    <w:rsid w:val="000863C9"/>
    <w:rsid w:val="00086725"/>
    <w:rsid w:val="000874D8"/>
    <w:rsid w:val="00087C5F"/>
    <w:rsid w:val="00092D9D"/>
    <w:rsid w:val="00093E63"/>
    <w:rsid w:val="000957C1"/>
    <w:rsid w:val="00095B78"/>
    <w:rsid w:val="000969C8"/>
    <w:rsid w:val="000A08F4"/>
    <w:rsid w:val="000A0A12"/>
    <w:rsid w:val="000A3171"/>
    <w:rsid w:val="000A360D"/>
    <w:rsid w:val="000A3BB9"/>
    <w:rsid w:val="000A5366"/>
    <w:rsid w:val="000A5557"/>
    <w:rsid w:val="000B15EC"/>
    <w:rsid w:val="000B2301"/>
    <w:rsid w:val="000B2968"/>
    <w:rsid w:val="000B38EA"/>
    <w:rsid w:val="000B65BB"/>
    <w:rsid w:val="000B7BFC"/>
    <w:rsid w:val="000C0CE6"/>
    <w:rsid w:val="000C4EF7"/>
    <w:rsid w:val="000C4FB2"/>
    <w:rsid w:val="000C5444"/>
    <w:rsid w:val="000C6E33"/>
    <w:rsid w:val="000D0399"/>
    <w:rsid w:val="000D03EB"/>
    <w:rsid w:val="000D084B"/>
    <w:rsid w:val="000D19F6"/>
    <w:rsid w:val="000D2037"/>
    <w:rsid w:val="000D20D0"/>
    <w:rsid w:val="000D26B1"/>
    <w:rsid w:val="000D53FA"/>
    <w:rsid w:val="000D6082"/>
    <w:rsid w:val="000D6707"/>
    <w:rsid w:val="000D68DB"/>
    <w:rsid w:val="000E1208"/>
    <w:rsid w:val="000E1326"/>
    <w:rsid w:val="000E21C1"/>
    <w:rsid w:val="000E221B"/>
    <w:rsid w:val="000E2385"/>
    <w:rsid w:val="000F0256"/>
    <w:rsid w:val="000F1163"/>
    <w:rsid w:val="000F2250"/>
    <w:rsid w:val="000F47A4"/>
    <w:rsid w:val="000F4CB9"/>
    <w:rsid w:val="000F5766"/>
    <w:rsid w:val="000F58D7"/>
    <w:rsid w:val="000F5BF4"/>
    <w:rsid w:val="001011D2"/>
    <w:rsid w:val="00102A2B"/>
    <w:rsid w:val="00103427"/>
    <w:rsid w:val="00103AFA"/>
    <w:rsid w:val="001043E8"/>
    <w:rsid w:val="00105677"/>
    <w:rsid w:val="001111E8"/>
    <w:rsid w:val="00111FD6"/>
    <w:rsid w:val="00113906"/>
    <w:rsid w:val="00114EDE"/>
    <w:rsid w:val="001161E0"/>
    <w:rsid w:val="001162F8"/>
    <w:rsid w:val="00116405"/>
    <w:rsid w:val="0011690C"/>
    <w:rsid w:val="00116B9F"/>
    <w:rsid w:val="00116F2B"/>
    <w:rsid w:val="00120A44"/>
    <w:rsid w:val="00120E2D"/>
    <w:rsid w:val="001244A5"/>
    <w:rsid w:val="00125350"/>
    <w:rsid w:val="00126734"/>
    <w:rsid w:val="001273D3"/>
    <w:rsid w:val="00131182"/>
    <w:rsid w:val="00131634"/>
    <w:rsid w:val="001329BE"/>
    <w:rsid w:val="0013495F"/>
    <w:rsid w:val="00134B6E"/>
    <w:rsid w:val="001354BA"/>
    <w:rsid w:val="00136A72"/>
    <w:rsid w:val="00136C84"/>
    <w:rsid w:val="00136EA2"/>
    <w:rsid w:val="00140A7A"/>
    <w:rsid w:val="001415E0"/>
    <w:rsid w:val="0014298E"/>
    <w:rsid w:val="0014432F"/>
    <w:rsid w:val="0014474B"/>
    <w:rsid w:val="0014766A"/>
    <w:rsid w:val="00155B08"/>
    <w:rsid w:val="00161D93"/>
    <w:rsid w:val="00161E20"/>
    <w:rsid w:val="00163620"/>
    <w:rsid w:val="00163803"/>
    <w:rsid w:val="00163B4D"/>
    <w:rsid w:val="00164D5A"/>
    <w:rsid w:val="00164DE2"/>
    <w:rsid w:val="00165379"/>
    <w:rsid w:val="00170135"/>
    <w:rsid w:val="001725EB"/>
    <w:rsid w:val="001733BE"/>
    <w:rsid w:val="00174835"/>
    <w:rsid w:val="00175858"/>
    <w:rsid w:val="00175EF6"/>
    <w:rsid w:val="00176D5C"/>
    <w:rsid w:val="001804B8"/>
    <w:rsid w:val="00181839"/>
    <w:rsid w:val="00182F51"/>
    <w:rsid w:val="0018355F"/>
    <w:rsid w:val="00186AC6"/>
    <w:rsid w:val="00187A8C"/>
    <w:rsid w:val="001901DA"/>
    <w:rsid w:val="0019183C"/>
    <w:rsid w:val="00192ADD"/>
    <w:rsid w:val="00193232"/>
    <w:rsid w:val="001932F9"/>
    <w:rsid w:val="00194A85"/>
    <w:rsid w:val="00195A43"/>
    <w:rsid w:val="00195E1B"/>
    <w:rsid w:val="00196262"/>
    <w:rsid w:val="001966BC"/>
    <w:rsid w:val="00196939"/>
    <w:rsid w:val="00197411"/>
    <w:rsid w:val="00197C36"/>
    <w:rsid w:val="001A101A"/>
    <w:rsid w:val="001A1532"/>
    <w:rsid w:val="001A1627"/>
    <w:rsid w:val="001A1F56"/>
    <w:rsid w:val="001A50AA"/>
    <w:rsid w:val="001A5646"/>
    <w:rsid w:val="001A65AD"/>
    <w:rsid w:val="001A6E4F"/>
    <w:rsid w:val="001B0643"/>
    <w:rsid w:val="001B0D06"/>
    <w:rsid w:val="001B1DEC"/>
    <w:rsid w:val="001B1E4B"/>
    <w:rsid w:val="001B4520"/>
    <w:rsid w:val="001B4C2D"/>
    <w:rsid w:val="001B4C45"/>
    <w:rsid w:val="001B743D"/>
    <w:rsid w:val="001C2336"/>
    <w:rsid w:val="001C2C93"/>
    <w:rsid w:val="001C2E1E"/>
    <w:rsid w:val="001C377F"/>
    <w:rsid w:val="001C3AC4"/>
    <w:rsid w:val="001C3F04"/>
    <w:rsid w:val="001C4648"/>
    <w:rsid w:val="001C4890"/>
    <w:rsid w:val="001C4D8E"/>
    <w:rsid w:val="001C5BD3"/>
    <w:rsid w:val="001C5DAA"/>
    <w:rsid w:val="001C5E1C"/>
    <w:rsid w:val="001C6781"/>
    <w:rsid w:val="001C748D"/>
    <w:rsid w:val="001C7EBC"/>
    <w:rsid w:val="001D09F1"/>
    <w:rsid w:val="001D0D90"/>
    <w:rsid w:val="001D0EC1"/>
    <w:rsid w:val="001D2C03"/>
    <w:rsid w:val="001D2F67"/>
    <w:rsid w:val="001D30BA"/>
    <w:rsid w:val="001D3A28"/>
    <w:rsid w:val="001D441D"/>
    <w:rsid w:val="001D4926"/>
    <w:rsid w:val="001D505C"/>
    <w:rsid w:val="001D5C96"/>
    <w:rsid w:val="001D5CF7"/>
    <w:rsid w:val="001D7189"/>
    <w:rsid w:val="001D7B80"/>
    <w:rsid w:val="001D7F21"/>
    <w:rsid w:val="001E0717"/>
    <w:rsid w:val="001E1845"/>
    <w:rsid w:val="001E2302"/>
    <w:rsid w:val="001E2DE5"/>
    <w:rsid w:val="001E348F"/>
    <w:rsid w:val="001E392E"/>
    <w:rsid w:val="001E4F96"/>
    <w:rsid w:val="001E5582"/>
    <w:rsid w:val="001E7DED"/>
    <w:rsid w:val="001F2671"/>
    <w:rsid w:val="001F38CA"/>
    <w:rsid w:val="001F5CDA"/>
    <w:rsid w:val="001F6C7D"/>
    <w:rsid w:val="001F6E49"/>
    <w:rsid w:val="002003A1"/>
    <w:rsid w:val="0020127A"/>
    <w:rsid w:val="00201303"/>
    <w:rsid w:val="00201928"/>
    <w:rsid w:val="0020483D"/>
    <w:rsid w:val="002061E2"/>
    <w:rsid w:val="00206DD1"/>
    <w:rsid w:val="00210F94"/>
    <w:rsid w:val="00211020"/>
    <w:rsid w:val="00212B36"/>
    <w:rsid w:val="00212B38"/>
    <w:rsid w:val="00214506"/>
    <w:rsid w:val="00214C91"/>
    <w:rsid w:val="00215129"/>
    <w:rsid w:val="002151A8"/>
    <w:rsid w:val="00215227"/>
    <w:rsid w:val="00215B58"/>
    <w:rsid w:val="00220193"/>
    <w:rsid w:val="002209FA"/>
    <w:rsid w:val="00221230"/>
    <w:rsid w:val="00222EFE"/>
    <w:rsid w:val="002233D7"/>
    <w:rsid w:val="00223CA7"/>
    <w:rsid w:val="002249CC"/>
    <w:rsid w:val="00230688"/>
    <w:rsid w:val="0023078B"/>
    <w:rsid w:val="002320F5"/>
    <w:rsid w:val="0023317C"/>
    <w:rsid w:val="00236ABA"/>
    <w:rsid w:val="00236E96"/>
    <w:rsid w:val="002371A1"/>
    <w:rsid w:val="00240E9C"/>
    <w:rsid w:val="00241538"/>
    <w:rsid w:val="002415B7"/>
    <w:rsid w:val="00241B9F"/>
    <w:rsid w:val="002428A3"/>
    <w:rsid w:val="00243D72"/>
    <w:rsid w:val="002445ED"/>
    <w:rsid w:val="002454D1"/>
    <w:rsid w:val="00246335"/>
    <w:rsid w:val="00250000"/>
    <w:rsid w:val="00251AB4"/>
    <w:rsid w:val="00251D09"/>
    <w:rsid w:val="00252024"/>
    <w:rsid w:val="00252A9D"/>
    <w:rsid w:val="0025469A"/>
    <w:rsid w:val="00255DDA"/>
    <w:rsid w:val="00257E02"/>
    <w:rsid w:val="002600BC"/>
    <w:rsid w:val="00260C8D"/>
    <w:rsid w:val="002619F1"/>
    <w:rsid w:val="00263A7B"/>
    <w:rsid w:val="0026555B"/>
    <w:rsid w:val="002666B3"/>
    <w:rsid w:val="00266E07"/>
    <w:rsid w:val="00270F3C"/>
    <w:rsid w:val="00270FA1"/>
    <w:rsid w:val="00273347"/>
    <w:rsid w:val="00275046"/>
    <w:rsid w:val="002751FC"/>
    <w:rsid w:val="0027559D"/>
    <w:rsid w:val="00275961"/>
    <w:rsid w:val="00277EF5"/>
    <w:rsid w:val="0028097F"/>
    <w:rsid w:val="00280C93"/>
    <w:rsid w:val="00281C21"/>
    <w:rsid w:val="00282D41"/>
    <w:rsid w:val="0028413D"/>
    <w:rsid w:val="00284285"/>
    <w:rsid w:val="0028678E"/>
    <w:rsid w:val="00286DA4"/>
    <w:rsid w:val="00287198"/>
    <w:rsid w:val="00292DC0"/>
    <w:rsid w:val="002939F2"/>
    <w:rsid w:val="00294C08"/>
    <w:rsid w:val="00296673"/>
    <w:rsid w:val="002A1058"/>
    <w:rsid w:val="002A1612"/>
    <w:rsid w:val="002A18CD"/>
    <w:rsid w:val="002A1F0C"/>
    <w:rsid w:val="002A2550"/>
    <w:rsid w:val="002A276C"/>
    <w:rsid w:val="002A4495"/>
    <w:rsid w:val="002A6C47"/>
    <w:rsid w:val="002A7867"/>
    <w:rsid w:val="002B0058"/>
    <w:rsid w:val="002B0DEA"/>
    <w:rsid w:val="002B211F"/>
    <w:rsid w:val="002B2513"/>
    <w:rsid w:val="002B305F"/>
    <w:rsid w:val="002B42DA"/>
    <w:rsid w:val="002B4411"/>
    <w:rsid w:val="002B44F9"/>
    <w:rsid w:val="002B532B"/>
    <w:rsid w:val="002B7440"/>
    <w:rsid w:val="002B77A4"/>
    <w:rsid w:val="002B795B"/>
    <w:rsid w:val="002C3B3F"/>
    <w:rsid w:val="002C52B9"/>
    <w:rsid w:val="002C6416"/>
    <w:rsid w:val="002C7651"/>
    <w:rsid w:val="002C7DDC"/>
    <w:rsid w:val="002D005D"/>
    <w:rsid w:val="002D2080"/>
    <w:rsid w:val="002D232A"/>
    <w:rsid w:val="002D2734"/>
    <w:rsid w:val="002D27B9"/>
    <w:rsid w:val="002D3140"/>
    <w:rsid w:val="002D3356"/>
    <w:rsid w:val="002D4F59"/>
    <w:rsid w:val="002D5D8C"/>
    <w:rsid w:val="002D7620"/>
    <w:rsid w:val="002D7739"/>
    <w:rsid w:val="002E167A"/>
    <w:rsid w:val="002E26BE"/>
    <w:rsid w:val="002E276D"/>
    <w:rsid w:val="002E3378"/>
    <w:rsid w:val="002E44A1"/>
    <w:rsid w:val="002E473F"/>
    <w:rsid w:val="002E4AA9"/>
    <w:rsid w:val="002E67EB"/>
    <w:rsid w:val="002E7714"/>
    <w:rsid w:val="002F2453"/>
    <w:rsid w:val="002F640E"/>
    <w:rsid w:val="002F66AB"/>
    <w:rsid w:val="003028DD"/>
    <w:rsid w:val="003032D3"/>
    <w:rsid w:val="00303F52"/>
    <w:rsid w:val="0030493E"/>
    <w:rsid w:val="00305BEB"/>
    <w:rsid w:val="00306ADD"/>
    <w:rsid w:val="00307718"/>
    <w:rsid w:val="00310C4C"/>
    <w:rsid w:val="00310EAB"/>
    <w:rsid w:val="00311157"/>
    <w:rsid w:val="00311881"/>
    <w:rsid w:val="003119D7"/>
    <w:rsid w:val="00311E24"/>
    <w:rsid w:val="00312654"/>
    <w:rsid w:val="00313EF5"/>
    <w:rsid w:val="00315B62"/>
    <w:rsid w:val="003161DE"/>
    <w:rsid w:val="00316758"/>
    <w:rsid w:val="003170B2"/>
    <w:rsid w:val="003172CB"/>
    <w:rsid w:val="003174D5"/>
    <w:rsid w:val="00320C0A"/>
    <w:rsid w:val="00321AEA"/>
    <w:rsid w:val="00322B19"/>
    <w:rsid w:val="00322C06"/>
    <w:rsid w:val="00322E91"/>
    <w:rsid w:val="00323092"/>
    <w:rsid w:val="00323292"/>
    <w:rsid w:val="00324EE7"/>
    <w:rsid w:val="00324F56"/>
    <w:rsid w:val="00325E2E"/>
    <w:rsid w:val="00330707"/>
    <w:rsid w:val="00331B35"/>
    <w:rsid w:val="00332EF2"/>
    <w:rsid w:val="00333019"/>
    <w:rsid w:val="003339C4"/>
    <w:rsid w:val="00333A73"/>
    <w:rsid w:val="00334D60"/>
    <w:rsid w:val="0033587C"/>
    <w:rsid w:val="00336595"/>
    <w:rsid w:val="00340ADA"/>
    <w:rsid w:val="00341059"/>
    <w:rsid w:val="00347E5C"/>
    <w:rsid w:val="0035096E"/>
    <w:rsid w:val="0035356D"/>
    <w:rsid w:val="0035363B"/>
    <w:rsid w:val="00353B8E"/>
    <w:rsid w:val="00353FC6"/>
    <w:rsid w:val="00354FF9"/>
    <w:rsid w:val="003558E5"/>
    <w:rsid w:val="003564BB"/>
    <w:rsid w:val="00356610"/>
    <w:rsid w:val="00357694"/>
    <w:rsid w:val="003577F0"/>
    <w:rsid w:val="00360014"/>
    <w:rsid w:val="00361D95"/>
    <w:rsid w:val="00361E94"/>
    <w:rsid w:val="0036417C"/>
    <w:rsid w:val="0036422A"/>
    <w:rsid w:val="003647C6"/>
    <w:rsid w:val="0036711D"/>
    <w:rsid w:val="00367CB7"/>
    <w:rsid w:val="00370DB2"/>
    <w:rsid w:val="00370E19"/>
    <w:rsid w:val="00372DEA"/>
    <w:rsid w:val="00373302"/>
    <w:rsid w:val="003738B6"/>
    <w:rsid w:val="0037412C"/>
    <w:rsid w:val="00375FEC"/>
    <w:rsid w:val="0037602D"/>
    <w:rsid w:val="00376718"/>
    <w:rsid w:val="0037730E"/>
    <w:rsid w:val="003833B0"/>
    <w:rsid w:val="00384FEA"/>
    <w:rsid w:val="0038698B"/>
    <w:rsid w:val="00386A77"/>
    <w:rsid w:val="00387B88"/>
    <w:rsid w:val="00390101"/>
    <w:rsid w:val="003906F8"/>
    <w:rsid w:val="00390871"/>
    <w:rsid w:val="00391591"/>
    <w:rsid w:val="0039240E"/>
    <w:rsid w:val="00392ADD"/>
    <w:rsid w:val="0039386B"/>
    <w:rsid w:val="00393BB9"/>
    <w:rsid w:val="00394BC1"/>
    <w:rsid w:val="00394DD5"/>
    <w:rsid w:val="00396665"/>
    <w:rsid w:val="00397142"/>
    <w:rsid w:val="003A259C"/>
    <w:rsid w:val="003A2AF9"/>
    <w:rsid w:val="003A2F6C"/>
    <w:rsid w:val="003A338C"/>
    <w:rsid w:val="003A513F"/>
    <w:rsid w:val="003A5A44"/>
    <w:rsid w:val="003A5B8F"/>
    <w:rsid w:val="003A72E7"/>
    <w:rsid w:val="003A763F"/>
    <w:rsid w:val="003B0486"/>
    <w:rsid w:val="003B1958"/>
    <w:rsid w:val="003B239E"/>
    <w:rsid w:val="003B2558"/>
    <w:rsid w:val="003B34A2"/>
    <w:rsid w:val="003B362E"/>
    <w:rsid w:val="003B55EA"/>
    <w:rsid w:val="003B5EDA"/>
    <w:rsid w:val="003B733F"/>
    <w:rsid w:val="003C0FE0"/>
    <w:rsid w:val="003C1378"/>
    <w:rsid w:val="003C1602"/>
    <w:rsid w:val="003C20E4"/>
    <w:rsid w:val="003C3927"/>
    <w:rsid w:val="003C4B70"/>
    <w:rsid w:val="003C4CC9"/>
    <w:rsid w:val="003C5627"/>
    <w:rsid w:val="003C5A83"/>
    <w:rsid w:val="003C6564"/>
    <w:rsid w:val="003C7A42"/>
    <w:rsid w:val="003D02D1"/>
    <w:rsid w:val="003D136A"/>
    <w:rsid w:val="003D26D2"/>
    <w:rsid w:val="003D28D1"/>
    <w:rsid w:val="003D47FC"/>
    <w:rsid w:val="003D7F95"/>
    <w:rsid w:val="003E0DC8"/>
    <w:rsid w:val="003E0F1C"/>
    <w:rsid w:val="003E2607"/>
    <w:rsid w:val="003E2B03"/>
    <w:rsid w:val="003E6048"/>
    <w:rsid w:val="003E6E80"/>
    <w:rsid w:val="003E70C1"/>
    <w:rsid w:val="003F3FB2"/>
    <w:rsid w:val="003F623B"/>
    <w:rsid w:val="003F6C85"/>
    <w:rsid w:val="003F6E24"/>
    <w:rsid w:val="003F762A"/>
    <w:rsid w:val="003F7CAC"/>
    <w:rsid w:val="00400CCF"/>
    <w:rsid w:val="00404784"/>
    <w:rsid w:val="00404D96"/>
    <w:rsid w:val="00405D15"/>
    <w:rsid w:val="004072B7"/>
    <w:rsid w:val="004079E5"/>
    <w:rsid w:val="00407B01"/>
    <w:rsid w:val="00410554"/>
    <w:rsid w:val="0041086C"/>
    <w:rsid w:val="00411DF8"/>
    <w:rsid w:val="004133B5"/>
    <w:rsid w:val="00416436"/>
    <w:rsid w:val="00416676"/>
    <w:rsid w:val="0042097F"/>
    <w:rsid w:val="004232D3"/>
    <w:rsid w:val="00423757"/>
    <w:rsid w:val="00424D6D"/>
    <w:rsid w:val="0042620E"/>
    <w:rsid w:val="00430035"/>
    <w:rsid w:val="0043103A"/>
    <w:rsid w:val="00431364"/>
    <w:rsid w:val="00432C08"/>
    <w:rsid w:val="00432D15"/>
    <w:rsid w:val="00433544"/>
    <w:rsid w:val="004339B9"/>
    <w:rsid w:val="00435E4D"/>
    <w:rsid w:val="00436DD4"/>
    <w:rsid w:val="004406B7"/>
    <w:rsid w:val="00440CD6"/>
    <w:rsid w:val="00441501"/>
    <w:rsid w:val="0044402B"/>
    <w:rsid w:val="00444F57"/>
    <w:rsid w:val="0044563B"/>
    <w:rsid w:val="00445691"/>
    <w:rsid w:val="00446404"/>
    <w:rsid w:val="004473B1"/>
    <w:rsid w:val="0045005A"/>
    <w:rsid w:val="00451736"/>
    <w:rsid w:val="0045213E"/>
    <w:rsid w:val="004530C6"/>
    <w:rsid w:val="00454DF3"/>
    <w:rsid w:val="00456166"/>
    <w:rsid w:val="004577BC"/>
    <w:rsid w:val="00457AF1"/>
    <w:rsid w:val="00460ED3"/>
    <w:rsid w:val="00462FE0"/>
    <w:rsid w:val="0046356F"/>
    <w:rsid w:val="004639B1"/>
    <w:rsid w:val="00465A9A"/>
    <w:rsid w:val="00466420"/>
    <w:rsid w:val="004667E7"/>
    <w:rsid w:val="004702CC"/>
    <w:rsid w:val="004706BF"/>
    <w:rsid w:val="00470B8D"/>
    <w:rsid w:val="00470DE7"/>
    <w:rsid w:val="004718D6"/>
    <w:rsid w:val="00471D19"/>
    <w:rsid w:val="00471D49"/>
    <w:rsid w:val="00471F61"/>
    <w:rsid w:val="004722DA"/>
    <w:rsid w:val="00472503"/>
    <w:rsid w:val="004725BB"/>
    <w:rsid w:val="00472AAF"/>
    <w:rsid w:val="00472E64"/>
    <w:rsid w:val="00473090"/>
    <w:rsid w:val="004735E5"/>
    <w:rsid w:val="00474F2C"/>
    <w:rsid w:val="0047634C"/>
    <w:rsid w:val="004766CA"/>
    <w:rsid w:val="00477DC1"/>
    <w:rsid w:val="00480205"/>
    <w:rsid w:val="00482674"/>
    <w:rsid w:val="0048297E"/>
    <w:rsid w:val="00482A8E"/>
    <w:rsid w:val="004835EC"/>
    <w:rsid w:val="00483617"/>
    <w:rsid w:val="00485BAA"/>
    <w:rsid w:val="00490631"/>
    <w:rsid w:val="00491720"/>
    <w:rsid w:val="00492444"/>
    <w:rsid w:val="004930D3"/>
    <w:rsid w:val="00495CA3"/>
    <w:rsid w:val="00497A40"/>
    <w:rsid w:val="00497F2C"/>
    <w:rsid w:val="004A02B4"/>
    <w:rsid w:val="004A0FAA"/>
    <w:rsid w:val="004A293B"/>
    <w:rsid w:val="004A38AA"/>
    <w:rsid w:val="004A38FD"/>
    <w:rsid w:val="004A42BB"/>
    <w:rsid w:val="004A5321"/>
    <w:rsid w:val="004A54E8"/>
    <w:rsid w:val="004A6A6A"/>
    <w:rsid w:val="004B0866"/>
    <w:rsid w:val="004B17AF"/>
    <w:rsid w:val="004B25EB"/>
    <w:rsid w:val="004B4957"/>
    <w:rsid w:val="004B4EFD"/>
    <w:rsid w:val="004B5176"/>
    <w:rsid w:val="004B70A2"/>
    <w:rsid w:val="004C08B1"/>
    <w:rsid w:val="004C19D5"/>
    <w:rsid w:val="004C20D3"/>
    <w:rsid w:val="004C3A1E"/>
    <w:rsid w:val="004C53FB"/>
    <w:rsid w:val="004C6518"/>
    <w:rsid w:val="004C665D"/>
    <w:rsid w:val="004D04F1"/>
    <w:rsid w:val="004D2A56"/>
    <w:rsid w:val="004D37EF"/>
    <w:rsid w:val="004D467C"/>
    <w:rsid w:val="004D62C6"/>
    <w:rsid w:val="004D660D"/>
    <w:rsid w:val="004D6919"/>
    <w:rsid w:val="004E0245"/>
    <w:rsid w:val="004E1B74"/>
    <w:rsid w:val="004E1E75"/>
    <w:rsid w:val="004E3455"/>
    <w:rsid w:val="004E43D4"/>
    <w:rsid w:val="004E5E5B"/>
    <w:rsid w:val="004E5FA6"/>
    <w:rsid w:val="004F0DB1"/>
    <w:rsid w:val="004F1113"/>
    <w:rsid w:val="004F1AAA"/>
    <w:rsid w:val="004F27B2"/>
    <w:rsid w:val="004F61A2"/>
    <w:rsid w:val="005003AA"/>
    <w:rsid w:val="00500BAA"/>
    <w:rsid w:val="00501570"/>
    <w:rsid w:val="00502056"/>
    <w:rsid w:val="005020D4"/>
    <w:rsid w:val="00502986"/>
    <w:rsid w:val="00502B27"/>
    <w:rsid w:val="0050393B"/>
    <w:rsid w:val="00503D8F"/>
    <w:rsid w:val="00504F55"/>
    <w:rsid w:val="00505396"/>
    <w:rsid w:val="00506D31"/>
    <w:rsid w:val="005078CD"/>
    <w:rsid w:val="005116C2"/>
    <w:rsid w:val="00512F09"/>
    <w:rsid w:val="00512F55"/>
    <w:rsid w:val="00513478"/>
    <w:rsid w:val="005134D7"/>
    <w:rsid w:val="00514D12"/>
    <w:rsid w:val="00515229"/>
    <w:rsid w:val="005154FC"/>
    <w:rsid w:val="005155A0"/>
    <w:rsid w:val="00515935"/>
    <w:rsid w:val="00516748"/>
    <w:rsid w:val="0051785C"/>
    <w:rsid w:val="005223DD"/>
    <w:rsid w:val="005224E2"/>
    <w:rsid w:val="00522D07"/>
    <w:rsid w:val="00523B80"/>
    <w:rsid w:val="00523F1A"/>
    <w:rsid w:val="00524B3C"/>
    <w:rsid w:val="00525B8D"/>
    <w:rsid w:val="00526315"/>
    <w:rsid w:val="00527253"/>
    <w:rsid w:val="00527D2D"/>
    <w:rsid w:val="00530091"/>
    <w:rsid w:val="00530132"/>
    <w:rsid w:val="00530AE1"/>
    <w:rsid w:val="00530DC6"/>
    <w:rsid w:val="00532C0E"/>
    <w:rsid w:val="005330C5"/>
    <w:rsid w:val="0053387A"/>
    <w:rsid w:val="00533C34"/>
    <w:rsid w:val="00534056"/>
    <w:rsid w:val="00535345"/>
    <w:rsid w:val="00537425"/>
    <w:rsid w:val="00537A1E"/>
    <w:rsid w:val="00541631"/>
    <w:rsid w:val="00541AB4"/>
    <w:rsid w:val="00542194"/>
    <w:rsid w:val="0054315C"/>
    <w:rsid w:val="00544E4A"/>
    <w:rsid w:val="005453CC"/>
    <w:rsid w:val="00545626"/>
    <w:rsid w:val="00546765"/>
    <w:rsid w:val="00546A5D"/>
    <w:rsid w:val="00547D12"/>
    <w:rsid w:val="0055058A"/>
    <w:rsid w:val="00551308"/>
    <w:rsid w:val="00551499"/>
    <w:rsid w:val="00552C77"/>
    <w:rsid w:val="005533C9"/>
    <w:rsid w:val="00554B10"/>
    <w:rsid w:val="005550BA"/>
    <w:rsid w:val="005551A6"/>
    <w:rsid w:val="00555720"/>
    <w:rsid w:val="00560316"/>
    <w:rsid w:val="00560C49"/>
    <w:rsid w:val="0056153D"/>
    <w:rsid w:val="0056247F"/>
    <w:rsid w:val="00562612"/>
    <w:rsid w:val="005629EC"/>
    <w:rsid w:val="00563431"/>
    <w:rsid w:val="00563F14"/>
    <w:rsid w:val="0056463D"/>
    <w:rsid w:val="00565026"/>
    <w:rsid w:val="005671A9"/>
    <w:rsid w:val="0057237A"/>
    <w:rsid w:val="005742CC"/>
    <w:rsid w:val="005760FB"/>
    <w:rsid w:val="00577356"/>
    <w:rsid w:val="00577A56"/>
    <w:rsid w:val="00577E52"/>
    <w:rsid w:val="00581F48"/>
    <w:rsid w:val="0058242F"/>
    <w:rsid w:val="00583628"/>
    <w:rsid w:val="00583C72"/>
    <w:rsid w:val="0058567E"/>
    <w:rsid w:val="00586B41"/>
    <w:rsid w:val="00591740"/>
    <w:rsid w:val="00593A13"/>
    <w:rsid w:val="0059475C"/>
    <w:rsid w:val="00594C2A"/>
    <w:rsid w:val="005965F3"/>
    <w:rsid w:val="005968C6"/>
    <w:rsid w:val="00597A0E"/>
    <w:rsid w:val="005A1DDF"/>
    <w:rsid w:val="005A432E"/>
    <w:rsid w:val="005A6AD5"/>
    <w:rsid w:val="005A7B9D"/>
    <w:rsid w:val="005A7D5B"/>
    <w:rsid w:val="005B0C60"/>
    <w:rsid w:val="005B2203"/>
    <w:rsid w:val="005B28E4"/>
    <w:rsid w:val="005B3F79"/>
    <w:rsid w:val="005B4D83"/>
    <w:rsid w:val="005B5475"/>
    <w:rsid w:val="005B5B61"/>
    <w:rsid w:val="005B5EB4"/>
    <w:rsid w:val="005C0E14"/>
    <w:rsid w:val="005C2555"/>
    <w:rsid w:val="005C29D1"/>
    <w:rsid w:val="005C30F3"/>
    <w:rsid w:val="005C4562"/>
    <w:rsid w:val="005C52C3"/>
    <w:rsid w:val="005C65EB"/>
    <w:rsid w:val="005C755A"/>
    <w:rsid w:val="005D0442"/>
    <w:rsid w:val="005D0964"/>
    <w:rsid w:val="005D0AD4"/>
    <w:rsid w:val="005D0B4F"/>
    <w:rsid w:val="005D0DCC"/>
    <w:rsid w:val="005D3164"/>
    <w:rsid w:val="005D6CD9"/>
    <w:rsid w:val="005D6DD5"/>
    <w:rsid w:val="005D7226"/>
    <w:rsid w:val="005D7303"/>
    <w:rsid w:val="005D7742"/>
    <w:rsid w:val="005D7EF7"/>
    <w:rsid w:val="005E17B6"/>
    <w:rsid w:val="005E209F"/>
    <w:rsid w:val="005E3644"/>
    <w:rsid w:val="005E50A3"/>
    <w:rsid w:val="005E5647"/>
    <w:rsid w:val="005E6C71"/>
    <w:rsid w:val="005F1425"/>
    <w:rsid w:val="005F1D37"/>
    <w:rsid w:val="005F251D"/>
    <w:rsid w:val="005F2CFF"/>
    <w:rsid w:val="005F3447"/>
    <w:rsid w:val="005F5EF7"/>
    <w:rsid w:val="005F63DC"/>
    <w:rsid w:val="005F75B4"/>
    <w:rsid w:val="005F7B64"/>
    <w:rsid w:val="005F7DDD"/>
    <w:rsid w:val="0060087E"/>
    <w:rsid w:val="00600944"/>
    <w:rsid w:val="00600C61"/>
    <w:rsid w:val="00601D01"/>
    <w:rsid w:val="00602A32"/>
    <w:rsid w:val="00602D86"/>
    <w:rsid w:val="006030B4"/>
    <w:rsid w:val="00603AFD"/>
    <w:rsid w:val="00605115"/>
    <w:rsid w:val="00605833"/>
    <w:rsid w:val="00606008"/>
    <w:rsid w:val="00607B2A"/>
    <w:rsid w:val="0061162F"/>
    <w:rsid w:val="00612A97"/>
    <w:rsid w:val="0061473B"/>
    <w:rsid w:val="00614B59"/>
    <w:rsid w:val="00615794"/>
    <w:rsid w:val="00615B7F"/>
    <w:rsid w:val="006168F7"/>
    <w:rsid w:val="00616FDF"/>
    <w:rsid w:val="00620955"/>
    <w:rsid w:val="006213A5"/>
    <w:rsid w:val="006225F3"/>
    <w:rsid w:val="00622767"/>
    <w:rsid w:val="00624A77"/>
    <w:rsid w:val="006302CD"/>
    <w:rsid w:val="00631C2A"/>
    <w:rsid w:val="00632257"/>
    <w:rsid w:val="00634178"/>
    <w:rsid w:val="0063513E"/>
    <w:rsid w:val="00635D19"/>
    <w:rsid w:val="00640005"/>
    <w:rsid w:val="006407CE"/>
    <w:rsid w:val="00641A7C"/>
    <w:rsid w:val="00643919"/>
    <w:rsid w:val="00644BED"/>
    <w:rsid w:val="006465EB"/>
    <w:rsid w:val="00646D84"/>
    <w:rsid w:val="006510F6"/>
    <w:rsid w:val="00651B3F"/>
    <w:rsid w:val="00651B69"/>
    <w:rsid w:val="006521E5"/>
    <w:rsid w:val="00652644"/>
    <w:rsid w:val="00656524"/>
    <w:rsid w:val="006566CE"/>
    <w:rsid w:val="00657A76"/>
    <w:rsid w:val="00657DD0"/>
    <w:rsid w:val="00662BC1"/>
    <w:rsid w:val="00664F8E"/>
    <w:rsid w:val="00665774"/>
    <w:rsid w:val="00667B40"/>
    <w:rsid w:val="00670CEC"/>
    <w:rsid w:val="00671935"/>
    <w:rsid w:val="00674329"/>
    <w:rsid w:val="0067495A"/>
    <w:rsid w:val="006759CF"/>
    <w:rsid w:val="00677DF3"/>
    <w:rsid w:val="00680AFC"/>
    <w:rsid w:val="00681A06"/>
    <w:rsid w:val="00683034"/>
    <w:rsid w:val="00684D9E"/>
    <w:rsid w:val="00684FAD"/>
    <w:rsid w:val="0068535B"/>
    <w:rsid w:val="00685C1C"/>
    <w:rsid w:val="006902D5"/>
    <w:rsid w:val="00690F6E"/>
    <w:rsid w:val="0069157C"/>
    <w:rsid w:val="006962C7"/>
    <w:rsid w:val="00696BCE"/>
    <w:rsid w:val="00696C29"/>
    <w:rsid w:val="00697441"/>
    <w:rsid w:val="0069765A"/>
    <w:rsid w:val="006A0F62"/>
    <w:rsid w:val="006A10F9"/>
    <w:rsid w:val="006A1E97"/>
    <w:rsid w:val="006A2D9B"/>
    <w:rsid w:val="006A31C8"/>
    <w:rsid w:val="006A55CA"/>
    <w:rsid w:val="006A56A2"/>
    <w:rsid w:val="006A593F"/>
    <w:rsid w:val="006A657E"/>
    <w:rsid w:val="006A743B"/>
    <w:rsid w:val="006A78BE"/>
    <w:rsid w:val="006A7DCD"/>
    <w:rsid w:val="006B074D"/>
    <w:rsid w:val="006B1000"/>
    <w:rsid w:val="006B1F2A"/>
    <w:rsid w:val="006B3D46"/>
    <w:rsid w:val="006B6230"/>
    <w:rsid w:val="006C1227"/>
    <w:rsid w:val="006C2AB0"/>
    <w:rsid w:val="006C2EC1"/>
    <w:rsid w:val="006C2FDD"/>
    <w:rsid w:val="006C3D42"/>
    <w:rsid w:val="006C4BCF"/>
    <w:rsid w:val="006C524D"/>
    <w:rsid w:val="006C58A3"/>
    <w:rsid w:val="006C7477"/>
    <w:rsid w:val="006D1448"/>
    <w:rsid w:val="006D267C"/>
    <w:rsid w:val="006D2826"/>
    <w:rsid w:val="006D34E4"/>
    <w:rsid w:val="006D574F"/>
    <w:rsid w:val="006D799D"/>
    <w:rsid w:val="006E0B57"/>
    <w:rsid w:val="006E1574"/>
    <w:rsid w:val="006E5B2A"/>
    <w:rsid w:val="006E7237"/>
    <w:rsid w:val="006E729E"/>
    <w:rsid w:val="006F03AD"/>
    <w:rsid w:val="006F08EF"/>
    <w:rsid w:val="006F39C2"/>
    <w:rsid w:val="006F5904"/>
    <w:rsid w:val="006F6F79"/>
    <w:rsid w:val="006F7C77"/>
    <w:rsid w:val="00700E4B"/>
    <w:rsid w:val="00701ACC"/>
    <w:rsid w:val="00702EEA"/>
    <w:rsid w:val="007030F8"/>
    <w:rsid w:val="00703772"/>
    <w:rsid w:val="00705C79"/>
    <w:rsid w:val="007068F9"/>
    <w:rsid w:val="007069F5"/>
    <w:rsid w:val="00707BCD"/>
    <w:rsid w:val="00710A16"/>
    <w:rsid w:val="00710CE1"/>
    <w:rsid w:val="00714262"/>
    <w:rsid w:val="007143EE"/>
    <w:rsid w:val="007146F3"/>
    <w:rsid w:val="007163C9"/>
    <w:rsid w:val="00716E69"/>
    <w:rsid w:val="00717EF8"/>
    <w:rsid w:val="00724C3E"/>
    <w:rsid w:val="00726AC7"/>
    <w:rsid w:val="00730CBF"/>
    <w:rsid w:val="007328F1"/>
    <w:rsid w:val="00734D3C"/>
    <w:rsid w:val="0073528B"/>
    <w:rsid w:val="00736B21"/>
    <w:rsid w:val="00736F00"/>
    <w:rsid w:val="00737D4D"/>
    <w:rsid w:val="007404AA"/>
    <w:rsid w:val="0074198F"/>
    <w:rsid w:val="00742767"/>
    <w:rsid w:val="00742E30"/>
    <w:rsid w:val="0074307A"/>
    <w:rsid w:val="007431EF"/>
    <w:rsid w:val="00743B10"/>
    <w:rsid w:val="0074523B"/>
    <w:rsid w:val="00745B1E"/>
    <w:rsid w:val="00747300"/>
    <w:rsid w:val="00747E10"/>
    <w:rsid w:val="00751530"/>
    <w:rsid w:val="00752994"/>
    <w:rsid w:val="00752E21"/>
    <w:rsid w:val="00753956"/>
    <w:rsid w:val="007541EA"/>
    <w:rsid w:val="00757B79"/>
    <w:rsid w:val="00760702"/>
    <w:rsid w:val="00762BE3"/>
    <w:rsid w:val="00762C77"/>
    <w:rsid w:val="00764B1D"/>
    <w:rsid w:val="007658A6"/>
    <w:rsid w:val="00767604"/>
    <w:rsid w:val="00770435"/>
    <w:rsid w:val="007707F9"/>
    <w:rsid w:val="0077246F"/>
    <w:rsid w:val="00772494"/>
    <w:rsid w:val="007733B2"/>
    <w:rsid w:val="00774F79"/>
    <w:rsid w:val="007755BE"/>
    <w:rsid w:val="00775A75"/>
    <w:rsid w:val="00775FFC"/>
    <w:rsid w:val="00777157"/>
    <w:rsid w:val="00780ECD"/>
    <w:rsid w:val="00781122"/>
    <w:rsid w:val="007816FF"/>
    <w:rsid w:val="00782AC8"/>
    <w:rsid w:val="0078388E"/>
    <w:rsid w:val="007847CE"/>
    <w:rsid w:val="00786788"/>
    <w:rsid w:val="00786CDB"/>
    <w:rsid w:val="00787202"/>
    <w:rsid w:val="00790101"/>
    <w:rsid w:val="00790347"/>
    <w:rsid w:val="00792681"/>
    <w:rsid w:val="00794E24"/>
    <w:rsid w:val="0079585A"/>
    <w:rsid w:val="00796FC9"/>
    <w:rsid w:val="00797B65"/>
    <w:rsid w:val="007A16CC"/>
    <w:rsid w:val="007A1FFE"/>
    <w:rsid w:val="007A2589"/>
    <w:rsid w:val="007A2C4F"/>
    <w:rsid w:val="007A2F5E"/>
    <w:rsid w:val="007A56BC"/>
    <w:rsid w:val="007A5B61"/>
    <w:rsid w:val="007A61CE"/>
    <w:rsid w:val="007A6A6B"/>
    <w:rsid w:val="007A7373"/>
    <w:rsid w:val="007A7606"/>
    <w:rsid w:val="007A7ACD"/>
    <w:rsid w:val="007B09DD"/>
    <w:rsid w:val="007B0B12"/>
    <w:rsid w:val="007B1112"/>
    <w:rsid w:val="007B44CB"/>
    <w:rsid w:val="007C09A6"/>
    <w:rsid w:val="007C5EA9"/>
    <w:rsid w:val="007C6C8C"/>
    <w:rsid w:val="007C7D91"/>
    <w:rsid w:val="007C7E32"/>
    <w:rsid w:val="007D3633"/>
    <w:rsid w:val="007D4259"/>
    <w:rsid w:val="007D6CD2"/>
    <w:rsid w:val="007D7366"/>
    <w:rsid w:val="007E06BA"/>
    <w:rsid w:val="007E2817"/>
    <w:rsid w:val="007E4865"/>
    <w:rsid w:val="007E7BAE"/>
    <w:rsid w:val="007E7DA5"/>
    <w:rsid w:val="007F1736"/>
    <w:rsid w:val="007F2986"/>
    <w:rsid w:val="007F497B"/>
    <w:rsid w:val="007F5C46"/>
    <w:rsid w:val="007F65F1"/>
    <w:rsid w:val="008006B4"/>
    <w:rsid w:val="00803035"/>
    <w:rsid w:val="00803221"/>
    <w:rsid w:val="00803224"/>
    <w:rsid w:val="0080480E"/>
    <w:rsid w:val="00804D1C"/>
    <w:rsid w:val="00805909"/>
    <w:rsid w:val="00805C9D"/>
    <w:rsid w:val="00806CE6"/>
    <w:rsid w:val="00807CE4"/>
    <w:rsid w:val="00811167"/>
    <w:rsid w:val="00811FF0"/>
    <w:rsid w:val="00812973"/>
    <w:rsid w:val="00813662"/>
    <w:rsid w:val="00813754"/>
    <w:rsid w:val="00813A99"/>
    <w:rsid w:val="00813C45"/>
    <w:rsid w:val="00813F23"/>
    <w:rsid w:val="00814762"/>
    <w:rsid w:val="00815A4F"/>
    <w:rsid w:val="008208F0"/>
    <w:rsid w:val="00821903"/>
    <w:rsid w:val="00824DFD"/>
    <w:rsid w:val="00824E44"/>
    <w:rsid w:val="0082572C"/>
    <w:rsid w:val="00827158"/>
    <w:rsid w:val="008309D5"/>
    <w:rsid w:val="0083222D"/>
    <w:rsid w:val="00835FCA"/>
    <w:rsid w:val="00844229"/>
    <w:rsid w:val="00846174"/>
    <w:rsid w:val="008468F3"/>
    <w:rsid w:val="00846F30"/>
    <w:rsid w:val="0084759C"/>
    <w:rsid w:val="00850011"/>
    <w:rsid w:val="00850137"/>
    <w:rsid w:val="00850496"/>
    <w:rsid w:val="008508D9"/>
    <w:rsid w:val="00852647"/>
    <w:rsid w:val="008540F1"/>
    <w:rsid w:val="008546FC"/>
    <w:rsid w:val="008571E1"/>
    <w:rsid w:val="00860277"/>
    <w:rsid w:val="00860E17"/>
    <w:rsid w:val="008618D5"/>
    <w:rsid w:val="00862ED2"/>
    <w:rsid w:val="00863627"/>
    <w:rsid w:val="008643E7"/>
    <w:rsid w:val="0086518D"/>
    <w:rsid w:val="008655AE"/>
    <w:rsid w:val="008663EC"/>
    <w:rsid w:val="0086685B"/>
    <w:rsid w:val="008669D8"/>
    <w:rsid w:val="00872748"/>
    <w:rsid w:val="008739B8"/>
    <w:rsid w:val="008747A1"/>
    <w:rsid w:val="0087571A"/>
    <w:rsid w:val="00876557"/>
    <w:rsid w:val="008766EA"/>
    <w:rsid w:val="00881767"/>
    <w:rsid w:val="00882808"/>
    <w:rsid w:val="00885C38"/>
    <w:rsid w:val="008861B4"/>
    <w:rsid w:val="00887AA0"/>
    <w:rsid w:val="00887DA2"/>
    <w:rsid w:val="00887F6F"/>
    <w:rsid w:val="00890621"/>
    <w:rsid w:val="008924AD"/>
    <w:rsid w:val="0089258D"/>
    <w:rsid w:val="008928A9"/>
    <w:rsid w:val="008934EF"/>
    <w:rsid w:val="00893A61"/>
    <w:rsid w:val="00893CDE"/>
    <w:rsid w:val="008953A6"/>
    <w:rsid w:val="00895AFA"/>
    <w:rsid w:val="008975AC"/>
    <w:rsid w:val="008A08A7"/>
    <w:rsid w:val="008A3044"/>
    <w:rsid w:val="008A32E8"/>
    <w:rsid w:val="008A57D2"/>
    <w:rsid w:val="008A58DB"/>
    <w:rsid w:val="008A5C87"/>
    <w:rsid w:val="008A5F9D"/>
    <w:rsid w:val="008A6CAC"/>
    <w:rsid w:val="008A70A1"/>
    <w:rsid w:val="008A714C"/>
    <w:rsid w:val="008B148A"/>
    <w:rsid w:val="008B19A7"/>
    <w:rsid w:val="008B244E"/>
    <w:rsid w:val="008B259E"/>
    <w:rsid w:val="008B30B1"/>
    <w:rsid w:val="008B4C47"/>
    <w:rsid w:val="008B5D3D"/>
    <w:rsid w:val="008B6531"/>
    <w:rsid w:val="008B6B3B"/>
    <w:rsid w:val="008B7739"/>
    <w:rsid w:val="008C3A44"/>
    <w:rsid w:val="008C48FA"/>
    <w:rsid w:val="008C761D"/>
    <w:rsid w:val="008D17AC"/>
    <w:rsid w:val="008D1B70"/>
    <w:rsid w:val="008D1BC9"/>
    <w:rsid w:val="008D2403"/>
    <w:rsid w:val="008D2563"/>
    <w:rsid w:val="008D3EBF"/>
    <w:rsid w:val="008D42D0"/>
    <w:rsid w:val="008D51C1"/>
    <w:rsid w:val="008D6252"/>
    <w:rsid w:val="008D75D3"/>
    <w:rsid w:val="008E06E4"/>
    <w:rsid w:val="008E27A7"/>
    <w:rsid w:val="008E2F30"/>
    <w:rsid w:val="008E3051"/>
    <w:rsid w:val="008E6C2F"/>
    <w:rsid w:val="008F05AB"/>
    <w:rsid w:val="008F0EBD"/>
    <w:rsid w:val="008F131B"/>
    <w:rsid w:val="008F22FA"/>
    <w:rsid w:val="008F2FD7"/>
    <w:rsid w:val="008F33B4"/>
    <w:rsid w:val="008F3936"/>
    <w:rsid w:val="008F3C1A"/>
    <w:rsid w:val="008F64EE"/>
    <w:rsid w:val="008F6708"/>
    <w:rsid w:val="008F71F3"/>
    <w:rsid w:val="008F758B"/>
    <w:rsid w:val="00900638"/>
    <w:rsid w:val="00900A9D"/>
    <w:rsid w:val="00903255"/>
    <w:rsid w:val="009036A5"/>
    <w:rsid w:val="00903D3F"/>
    <w:rsid w:val="0090486E"/>
    <w:rsid w:val="00910F3C"/>
    <w:rsid w:val="00911665"/>
    <w:rsid w:val="009125BD"/>
    <w:rsid w:val="009127FF"/>
    <w:rsid w:val="00912BB3"/>
    <w:rsid w:val="00912F53"/>
    <w:rsid w:val="00912FD7"/>
    <w:rsid w:val="00913C84"/>
    <w:rsid w:val="00916D2C"/>
    <w:rsid w:val="00916F05"/>
    <w:rsid w:val="009177A3"/>
    <w:rsid w:val="0092105E"/>
    <w:rsid w:val="0092177F"/>
    <w:rsid w:val="009219F2"/>
    <w:rsid w:val="009220E2"/>
    <w:rsid w:val="00922EC5"/>
    <w:rsid w:val="00923211"/>
    <w:rsid w:val="00923BCD"/>
    <w:rsid w:val="00927E89"/>
    <w:rsid w:val="0093115D"/>
    <w:rsid w:val="009327EB"/>
    <w:rsid w:val="00936202"/>
    <w:rsid w:val="00936DB8"/>
    <w:rsid w:val="00937F96"/>
    <w:rsid w:val="00941F70"/>
    <w:rsid w:val="00942045"/>
    <w:rsid w:val="009425E2"/>
    <w:rsid w:val="00942C16"/>
    <w:rsid w:val="00943749"/>
    <w:rsid w:val="00944D78"/>
    <w:rsid w:val="00947034"/>
    <w:rsid w:val="00951462"/>
    <w:rsid w:val="00952AC0"/>
    <w:rsid w:val="00954160"/>
    <w:rsid w:val="00954557"/>
    <w:rsid w:val="00954612"/>
    <w:rsid w:val="009573F6"/>
    <w:rsid w:val="009606E7"/>
    <w:rsid w:val="00960E9C"/>
    <w:rsid w:val="009610EC"/>
    <w:rsid w:val="00964F4D"/>
    <w:rsid w:val="00966148"/>
    <w:rsid w:val="009673EA"/>
    <w:rsid w:val="009705CB"/>
    <w:rsid w:val="00971B5C"/>
    <w:rsid w:val="00972A3A"/>
    <w:rsid w:val="00976223"/>
    <w:rsid w:val="00976389"/>
    <w:rsid w:val="0097730E"/>
    <w:rsid w:val="00980452"/>
    <w:rsid w:val="00981348"/>
    <w:rsid w:val="00981EF5"/>
    <w:rsid w:val="00982DAE"/>
    <w:rsid w:val="00982FE7"/>
    <w:rsid w:val="0098508C"/>
    <w:rsid w:val="00985B99"/>
    <w:rsid w:val="00986F4F"/>
    <w:rsid w:val="00990F59"/>
    <w:rsid w:val="009919EC"/>
    <w:rsid w:val="00992722"/>
    <w:rsid w:val="009934D0"/>
    <w:rsid w:val="009943B5"/>
    <w:rsid w:val="00994F1D"/>
    <w:rsid w:val="0099767B"/>
    <w:rsid w:val="00997D53"/>
    <w:rsid w:val="009A0130"/>
    <w:rsid w:val="009A0A49"/>
    <w:rsid w:val="009A22EE"/>
    <w:rsid w:val="009A39F1"/>
    <w:rsid w:val="009A5B11"/>
    <w:rsid w:val="009A7962"/>
    <w:rsid w:val="009A7D1A"/>
    <w:rsid w:val="009B047F"/>
    <w:rsid w:val="009B13E2"/>
    <w:rsid w:val="009B21FE"/>
    <w:rsid w:val="009B405C"/>
    <w:rsid w:val="009B4122"/>
    <w:rsid w:val="009B5409"/>
    <w:rsid w:val="009B7E58"/>
    <w:rsid w:val="009C083F"/>
    <w:rsid w:val="009C1462"/>
    <w:rsid w:val="009C1870"/>
    <w:rsid w:val="009C19B5"/>
    <w:rsid w:val="009C1E76"/>
    <w:rsid w:val="009C38B3"/>
    <w:rsid w:val="009C56A3"/>
    <w:rsid w:val="009C57AD"/>
    <w:rsid w:val="009D0861"/>
    <w:rsid w:val="009D14FF"/>
    <w:rsid w:val="009D31F0"/>
    <w:rsid w:val="009D36A7"/>
    <w:rsid w:val="009D583D"/>
    <w:rsid w:val="009E10A8"/>
    <w:rsid w:val="009E10D3"/>
    <w:rsid w:val="009E1317"/>
    <w:rsid w:val="009E1B9C"/>
    <w:rsid w:val="009E4FC6"/>
    <w:rsid w:val="009E5BE6"/>
    <w:rsid w:val="009E61E1"/>
    <w:rsid w:val="009E65B8"/>
    <w:rsid w:val="009E6A03"/>
    <w:rsid w:val="009F0150"/>
    <w:rsid w:val="009F0567"/>
    <w:rsid w:val="009F07BB"/>
    <w:rsid w:val="009F4DFA"/>
    <w:rsid w:val="009F6773"/>
    <w:rsid w:val="00A00124"/>
    <w:rsid w:val="00A01213"/>
    <w:rsid w:val="00A034D1"/>
    <w:rsid w:val="00A04330"/>
    <w:rsid w:val="00A049E3"/>
    <w:rsid w:val="00A051FF"/>
    <w:rsid w:val="00A077F9"/>
    <w:rsid w:val="00A07B61"/>
    <w:rsid w:val="00A103CE"/>
    <w:rsid w:val="00A104BE"/>
    <w:rsid w:val="00A108D3"/>
    <w:rsid w:val="00A11215"/>
    <w:rsid w:val="00A11998"/>
    <w:rsid w:val="00A132AA"/>
    <w:rsid w:val="00A1340B"/>
    <w:rsid w:val="00A13553"/>
    <w:rsid w:val="00A13E9D"/>
    <w:rsid w:val="00A1503B"/>
    <w:rsid w:val="00A16272"/>
    <w:rsid w:val="00A163ED"/>
    <w:rsid w:val="00A17308"/>
    <w:rsid w:val="00A21096"/>
    <w:rsid w:val="00A2147E"/>
    <w:rsid w:val="00A21E23"/>
    <w:rsid w:val="00A2281F"/>
    <w:rsid w:val="00A230A0"/>
    <w:rsid w:val="00A27B96"/>
    <w:rsid w:val="00A30E6E"/>
    <w:rsid w:val="00A34242"/>
    <w:rsid w:val="00A34658"/>
    <w:rsid w:val="00A358C4"/>
    <w:rsid w:val="00A401E4"/>
    <w:rsid w:val="00A40510"/>
    <w:rsid w:val="00A42B0B"/>
    <w:rsid w:val="00A43DCA"/>
    <w:rsid w:val="00A459B4"/>
    <w:rsid w:val="00A4613D"/>
    <w:rsid w:val="00A47247"/>
    <w:rsid w:val="00A47379"/>
    <w:rsid w:val="00A518FD"/>
    <w:rsid w:val="00A52219"/>
    <w:rsid w:val="00A540B3"/>
    <w:rsid w:val="00A54DA6"/>
    <w:rsid w:val="00A60A8E"/>
    <w:rsid w:val="00A62813"/>
    <w:rsid w:val="00A63593"/>
    <w:rsid w:val="00A64926"/>
    <w:rsid w:val="00A64FD7"/>
    <w:rsid w:val="00A66D36"/>
    <w:rsid w:val="00A67C68"/>
    <w:rsid w:val="00A70273"/>
    <w:rsid w:val="00A705BA"/>
    <w:rsid w:val="00A72B30"/>
    <w:rsid w:val="00A73080"/>
    <w:rsid w:val="00A73A8F"/>
    <w:rsid w:val="00A74524"/>
    <w:rsid w:val="00A75165"/>
    <w:rsid w:val="00A80FB1"/>
    <w:rsid w:val="00A824CE"/>
    <w:rsid w:val="00A82E4A"/>
    <w:rsid w:val="00A83051"/>
    <w:rsid w:val="00A84423"/>
    <w:rsid w:val="00A856F9"/>
    <w:rsid w:val="00A8586F"/>
    <w:rsid w:val="00A85A79"/>
    <w:rsid w:val="00A86583"/>
    <w:rsid w:val="00A86950"/>
    <w:rsid w:val="00A86AFB"/>
    <w:rsid w:val="00A87654"/>
    <w:rsid w:val="00A87B84"/>
    <w:rsid w:val="00A91687"/>
    <w:rsid w:val="00A917C2"/>
    <w:rsid w:val="00A92F52"/>
    <w:rsid w:val="00A93154"/>
    <w:rsid w:val="00A93178"/>
    <w:rsid w:val="00A935E3"/>
    <w:rsid w:val="00A95DBA"/>
    <w:rsid w:val="00A96244"/>
    <w:rsid w:val="00A9690C"/>
    <w:rsid w:val="00AA03A6"/>
    <w:rsid w:val="00AA1757"/>
    <w:rsid w:val="00AA316B"/>
    <w:rsid w:val="00AA3B52"/>
    <w:rsid w:val="00AA5B83"/>
    <w:rsid w:val="00AA6B72"/>
    <w:rsid w:val="00AB0EB0"/>
    <w:rsid w:val="00AB3E94"/>
    <w:rsid w:val="00AB405B"/>
    <w:rsid w:val="00AC0C66"/>
    <w:rsid w:val="00AC0DD2"/>
    <w:rsid w:val="00AC155C"/>
    <w:rsid w:val="00AC1ACF"/>
    <w:rsid w:val="00AC339B"/>
    <w:rsid w:val="00AC5C99"/>
    <w:rsid w:val="00AC73C6"/>
    <w:rsid w:val="00AC77D0"/>
    <w:rsid w:val="00AD0557"/>
    <w:rsid w:val="00AD1685"/>
    <w:rsid w:val="00AD1DC1"/>
    <w:rsid w:val="00AD5242"/>
    <w:rsid w:val="00AD58AF"/>
    <w:rsid w:val="00AD6555"/>
    <w:rsid w:val="00AD6F7E"/>
    <w:rsid w:val="00AD7B0C"/>
    <w:rsid w:val="00AE0C5A"/>
    <w:rsid w:val="00AE6B01"/>
    <w:rsid w:val="00AE731E"/>
    <w:rsid w:val="00AE74E2"/>
    <w:rsid w:val="00AE762A"/>
    <w:rsid w:val="00AE7926"/>
    <w:rsid w:val="00AF09F1"/>
    <w:rsid w:val="00AF1506"/>
    <w:rsid w:val="00AF15BB"/>
    <w:rsid w:val="00AF16F8"/>
    <w:rsid w:val="00AF2E34"/>
    <w:rsid w:val="00AF340F"/>
    <w:rsid w:val="00AF4A39"/>
    <w:rsid w:val="00AF708D"/>
    <w:rsid w:val="00B0007A"/>
    <w:rsid w:val="00B00E86"/>
    <w:rsid w:val="00B0352B"/>
    <w:rsid w:val="00B065D5"/>
    <w:rsid w:val="00B10BE6"/>
    <w:rsid w:val="00B10FB1"/>
    <w:rsid w:val="00B110BC"/>
    <w:rsid w:val="00B126C5"/>
    <w:rsid w:val="00B12971"/>
    <w:rsid w:val="00B1312A"/>
    <w:rsid w:val="00B13A98"/>
    <w:rsid w:val="00B1410F"/>
    <w:rsid w:val="00B17307"/>
    <w:rsid w:val="00B1768F"/>
    <w:rsid w:val="00B22FA4"/>
    <w:rsid w:val="00B24504"/>
    <w:rsid w:val="00B24A85"/>
    <w:rsid w:val="00B24B05"/>
    <w:rsid w:val="00B2530A"/>
    <w:rsid w:val="00B25CB1"/>
    <w:rsid w:val="00B26C9B"/>
    <w:rsid w:val="00B2734D"/>
    <w:rsid w:val="00B30165"/>
    <w:rsid w:val="00B32722"/>
    <w:rsid w:val="00B32E97"/>
    <w:rsid w:val="00B3498B"/>
    <w:rsid w:val="00B35116"/>
    <w:rsid w:val="00B35134"/>
    <w:rsid w:val="00B3526A"/>
    <w:rsid w:val="00B35F2B"/>
    <w:rsid w:val="00B3714E"/>
    <w:rsid w:val="00B37F73"/>
    <w:rsid w:val="00B406C8"/>
    <w:rsid w:val="00B40D9D"/>
    <w:rsid w:val="00B43269"/>
    <w:rsid w:val="00B441B3"/>
    <w:rsid w:val="00B44855"/>
    <w:rsid w:val="00B45049"/>
    <w:rsid w:val="00B455AE"/>
    <w:rsid w:val="00B4611C"/>
    <w:rsid w:val="00B4638B"/>
    <w:rsid w:val="00B53E8A"/>
    <w:rsid w:val="00B5445D"/>
    <w:rsid w:val="00B569AF"/>
    <w:rsid w:val="00B56F36"/>
    <w:rsid w:val="00B57633"/>
    <w:rsid w:val="00B577DC"/>
    <w:rsid w:val="00B6497D"/>
    <w:rsid w:val="00B650B0"/>
    <w:rsid w:val="00B6646E"/>
    <w:rsid w:val="00B70954"/>
    <w:rsid w:val="00B71180"/>
    <w:rsid w:val="00B718CE"/>
    <w:rsid w:val="00B72A15"/>
    <w:rsid w:val="00B7305C"/>
    <w:rsid w:val="00B74861"/>
    <w:rsid w:val="00B74A9E"/>
    <w:rsid w:val="00B77BB0"/>
    <w:rsid w:val="00B81C67"/>
    <w:rsid w:val="00B84551"/>
    <w:rsid w:val="00B86D6E"/>
    <w:rsid w:val="00B90D94"/>
    <w:rsid w:val="00B91F4E"/>
    <w:rsid w:val="00B93449"/>
    <w:rsid w:val="00B934AE"/>
    <w:rsid w:val="00B94C83"/>
    <w:rsid w:val="00B94D4D"/>
    <w:rsid w:val="00B95D4E"/>
    <w:rsid w:val="00B965C8"/>
    <w:rsid w:val="00B96D81"/>
    <w:rsid w:val="00B96FAD"/>
    <w:rsid w:val="00BA1310"/>
    <w:rsid w:val="00BA1858"/>
    <w:rsid w:val="00BA3616"/>
    <w:rsid w:val="00BA36D4"/>
    <w:rsid w:val="00BA56FF"/>
    <w:rsid w:val="00BA57FF"/>
    <w:rsid w:val="00BA59DA"/>
    <w:rsid w:val="00BA5E44"/>
    <w:rsid w:val="00BA5E64"/>
    <w:rsid w:val="00BA762A"/>
    <w:rsid w:val="00BA7BEA"/>
    <w:rsid w:val="00BB100C"/>
    <w:rsid w:val="00BB1959"/>
    <w:rsid w:val="00BB2181"/>
    <w:rsid w:val="00BB23FD"/>
    <w:rsid w:val="00BB26B9"/>
    <w:rsid w:val="00BB3D82"/>
    <w:rsid w:val="00BB5970"/>
    <w:rsid w:val="00BC0995"/>
    <w:rsid w:val="00BC3286"/>
    <w:rsid w:val="00BC45DC"/>
    <w:rsid w:val="00BC4F39"/>
    <w:rsid w:val="00BC5453"/>
    <w:rsid w:val="00BC5C06"/>
    <w:rsid w:val="00BC6397"/>
    <w:rsid w:val="00BD00E3"/>
    <w:rsid w:val="00BD13DE"/>
    <w:rsid w:val="00BD185B"/>
    <w:rsid w:val="00BD19D6"/>
    <w:rsid w:val="00BD1A6F"/>
    <w:rsid w:val="00BD26BA"/>
    <w:rsid w:val="00BD26CB"/>
    <w:rsid w:val="00BD31AB"/>
    <w:rsid w:val="00BD33BB"/>
    <w:rsid w:val="00BD394C"/>
    <w:rsid w:val="00BD43CB"/>
    <w:rsid w:val="00BD5A28"/>
    <w:rsid w:val="00BD67CE"/>
    <w:rsid w:val="00BD7FAF"/>
    <w:rsid w:val="00BE0692"/>
    <w:rsid w:val="00BE1000"/>
    <w:rsid w:val="00BE210D"/>
    <w:rsid w:val="00BE3283"/>
    <w:rsid w:val="00BE4CB9"/>
    <w:rsid w:val="00BE4F72"/>
    <w:rsid w:val="00BE579B"/>
    <w:rsid w:val="00BE5D6E"/>
    <w:rsid w:val="00BE6BC2"/>
    <w:rsid w:val="00BE77BD"/>
    <w:rsid w:val="00BF0E28"/>
    <w:rsid w:val="00BF1107"/>
    <w:rsid w:val="00BF1348"/>
    <w:rsid w:val="00BF18DA"/>
    <w:rsid w:val="00BF211F"/>
    <w:rsid w:val="00BF2ED3"/>
    <w:rsid w:val="00BF368A"/>
    <w:rsid w:val="00BF3ED5"/>
    <w:rsid w:val="00BF5873"/>
    <w:rsid w:val="00C00D01"/>
    <w:rsid w:val="00C022CE"/>
    <w:rsid w:val="00C025EB"/>
    <w:rsid w:val="00C03CC8"/>
    <w:rsid w:val="00C04C60"/>
    <w:rsid w:val="00C051D8"/>
    <w:rsid w:val="00C10268"/>
    <w:rsid w:val="00C10862"/>
    <w:rsid w:val="00C11C29"/>
    <w:rsid w:val="00C135CE"/>
    <w:rsid w:val="00C14970"/>
    <w:rsid w:val="00C14B27"/>
    <w:rsid w:val="00C15C5D"/>
    <w:rsid w:val="00C166F2"/>
    <w:rsid w:val="00C174C0"/>
    <w:rsid w:val="00C17C8E"/>
    <w:rsid w:val="00C17F2F"/>
    <w:rsid w:val="00C20D18"/>
    <w:rsid w:val="00C2210D"/>
    <w:rsid w:val="00C225E4"/>
    <w:rsid w:val="00C24B88"/>
    <w:rsid w:val="00C2671E"/>
    <w:rsid w:val="00C2785B"/>
    <w:rsid w:val="00C27BAF"/>
    <w:rsid w:val="00C30E08"/>
    <w:rsid w:val="00C31EC2"/>
    <w:rsid w:val="00C34014"/>
    <w:rsid w:val="00C3451E"/>
    <w:rsid w:val="00C35034"/>
    <w:rsid w:val="00C36177"/>
    <w:rsid w:val="00C42983"/>
    <w:rsid w:val="00C45332"/>
    <w:rsid w:val="00C45798"/>
    <w:rsid w:val="00C45A9A"/>
    <w:rsid w:val="00C45C1D"/>
    <w:rsid w:val="00C46D6C"/>
    <w:rsid w:val="00C47346"/>
    <w:rsid w:val="00C502BC"/>
    <w:rsid w:val="00C502E0"/>
    <w:rsid w:val="00C5262B"/>
    <w:rsid w:val="00C5299E"/>
    <w:rsid w:val="00C53B12"/>
    <w:rsid w:val="00C557D8"/>
    <w:rsid w:val="00C55A60"/>
    <w:rsid w:val="00C576BC"/>
    <w:rsid w:val="00C57990"/>
    <w:rsid w:val="00C60174"/>
    <w:rsid w:val="00C62B01"/>
    <w:rsid w:val="00C63C13"/>
    <w:rsid w:val="00C64020"/>
    <w:rsid w:val="00C640AE"/>
    <w:rsid w:val="00C642A6"/>
    <w:rsid w:val="00C64F6E"/>
    <w:rsid w:val="00C673DF"/>
    <w:rsid w:val="00C67D94"/>
    <w:rsid w:val="00C67DE8"/>
    <w:rsid w:val="00C67FF9"/>
    <w:rsid w:val="00C70966"/>
    <w:rsid w:val="00C70AA7"/>
    <w:rsid w:val="00C71286"/>
    <w:rsid w:val="00C71BA3"/>
    <w:rsid w:val="00C71F1D"/>
    <w:rsid w:val="00C742B4"/>
    <w:rsid w:val="00C74C84"/>
    <w:rsid w:val="00C75160"/>
    <w:rsid w:val="00C81AD2"/>
    <w:rsid w:val="00C830E2"/>
    <w:rsid w:val="00C83BF4"/>
    <w:rsid w:val="00C83E66"/>
    <w:rsid w:val="00C84820"/>
    <w:rsid w:val="00C84918"/>
    <w:rsid w:val="00C85142"/>
    <w:rsid w:val="00C91012"/>
    <w:rsid w:val="00C91E59"/>
    <w:rsid w:val="00C91FA1"/>
    <w:rsid w:val="00C932B9"/>
    <w:rsid w:val="00C93667"/>
    <w:rsid w:val="00C93723"/>
    <w:rsid w:val="00C94D0B"/>
    <w:rsid w:val="00C9688E"/>
    <w:rsid w:val="00C97D7F"/>
    <w:rsid w:val="00C97F25"/>
    <w:rsid w:val="00CA0A83"/>
    <w:rsid w:val="00CA0BA6"/>
    <w:rsid w:val="00CA19F8"/>
    <w:rsid w:val="00CA37F0"/>
    <w:rsid w:val="00CA41E4"/>
    <w:rsid w:val="00CA5076"/>
    <w:rsid w:val="00CA6856"/>
    <w:rsid w:val="00CA7074"/>
    <w:rsid w:val="00CB0A09"/>
    <w:rsid w:val="00CB0BA7"/>
    <w:rsid w:val="00CB2CFF"/>
    <w:rsid w:val="00CB33DB"/>
    <w:rsid w:val="00CB545F"/>
    <w:rsid w:val="00CB6B60"/>
    <w:rsid w:val="00CB6E17"/>
    <w:rsid w:val="00CC1043"/>
    <w:rsid w:val="00CC5740"/>
    <w:rsid w:val="00CC7F36"/>
    <w:rsid w:val="00CD142F"/>
    <w:rsid w:val="00CD281A"/>
    <w:rsid w:val="00CD28AC"/>
    <w:rsid w:val="00CD3E5C"/>
    <w:rsid w:val="00CD5A29"/>
    <w:rsid w:val="00CD7297"/>
    <w:rsid w:val="00CE0AF2"/>
    <w:rsid w:val="00CE0F6C"/>
    <w:rsid w:val="00CE124A"/>
    <w:rsid w:val="00CE1544"/>
    <w:rsid w:val="00CE1E9E"/>
    <w:rsid w:val="00CE2DE3"/>
    <w:rsid w:val="00CE2DF4"/>
    <w:rsid w:val="00CE502F"/>
    <w:rsid w:val="00CE55CA"/>
    <w:rsid w:val="00CE5F45"/>
    <w:rsid w:val="00CE7173"/>
    <w:rsid w:val="00CE7740"/>
    <w:rsid w:val="00CE7B39"/>
    <w:rsid w:val="00CE7C42"/>
    <w:rsid w:val="00CF05B9"/>
    <w:rsid w:val="00CF0FEA"/>
    <w:rsid w:val="00CF1FC6"/>
    <w:rsid w:val="00CF2B56"/>
    <w:rsid w:val="00CF32BC"/>
    <w:rsid w:val="00CF40C4"/>
    <w:rsid w:val="00CF6FC1"/>
    <w:rsid w:val="00CF7144"/>
    <w:rsid w:val="00D000E2"/>
    <w:rsid w:val="00D0049A"/>
    <w:rsid w:val="00D00A68"/>
    <w:rsid w:val="00D013AC"/>
    <w:rsid w:val="00D04623"/>
    <w:rsid w:val="00D04FAE"/>
    <w:rsid w:val="00D0649D"/>
    <w:rsid w:val="00D10E05"/>
    <w:rsid w:val="00D144DD"/>
    <w:rsid w:val="00D145D3"/>
    <w:rsid w:val="00D14A15"/>
    <w:rsid w:val="00D14AA0"/>
    <w:rsid w:val="00D15EE6"/>
    <w:rsid w:val="00D16F97"/>
    <w:rsid w:val="00D175AA"/>
    <w:rsid w:val="00D21537"/>
    <w:rsid w:val="00D2452E"/>
    <w:rsid w:val="00D25367"/>
    <w:rsid w:val="00D26E0D"/>
    <w:rsid w:val="00D3018D"/>
    <w:rsid w:val="00D30E64"/>
    <w:rsid w:val="00D32403"/>
    <w:rsid w:val="00D32A6D"/>
    <w:rsid w:val="00D32F89"/>
    <w:rsid w:val="00D33399"/>
    <w:rsid w:val="00D3676F"/>
    <w:rsid w:val="00D411F6"/>
    <w:rsid w:val="00D4120D"/>
    <w:rsid w:val="00D42528"/>
    <w:rsid w:val="00D42E51"/>
    <w:rsid w:val="00D45CB1"/>
    <w:rsid w:val="00D4719C"/>
    <w:rsid w:val="00D50A1E"/>
    <w:rsid w:val="00D532B7"/>
    <w:rsid w:val="00D53B29"/>
    <w:rsid w:val="00D563FE"/>
    <w:rsid w:val="00D629D0"/>
    <w:rsid w:val="00D63F14"/>
    <w:rsid w:val="00D64EF8"/>
    <w:rsid w:val="00D652D0"/>
    <w:rsid w:val="00D6545E"/>
    <w:rsid w:val="00D66374"/>
    <w:rsid w:val="00D66DDE"/>
    <w:rsid w:val="00D67AD0"/>
    <w:rsid w:val="00D67B41"/>
    <w:rsid w:val="00D7143B"/>
    <w:rsid w:val="00D71473"/>
    <w:rsid w:val="00D74B18"/>
    <w:rsid w:val="00D76505"/>
    <w:rsid w:val="00D801F3"/>
    <w:rsid w:val="00D82494"/>
    <w:rsid w:val="00D8328C"/>
    <w:rsid w:val="00D839A9"/>
    <w:rsid w:val="00D83A79"/>
    <w:rsid w:val="00D83AA8"/>
    <w:rsid w:val="00D83DFC"/>
    <w:rsid w:val="00D847E0"/>
    <w:rsid w:val="00D849B1"/>
    <w:rsid w:val="00D91B99"/>
    <w:rsid w:val="00D937EE"/>
    <w:rsid w:val="00D9410D"/>
    <w:rsid w:val="00D94E20"/>
    <w:rsid w:val="00D956C3"/>
    <w:rsid w:val="00DA5A86"/>
    <w:rsid w:val="00DB0B2A"/>
    <w:rsid w:val="00DB20E1"/>
    <w:rsid w:val="00DB245C"/>
    <w:rsid w:val="00DB4712"/>
    <w:rsid w:val="00DB5FEF"/>
    <w:rsid w:val="00DC12F5"/>
    <w:rsid w:val="00DC244C"/>
    <w:rsid w:val="00DC2B9E"/>
    <w:rsid w:val="00DC30FD"/>
    <w:rsid w:val="00DC3267"/>
    <w:rsid w:val="00DC32B5"/>
    <w:rsid w:val="00DC36BF"/>
    <w:rsid w:val="00DC3ADF"/>
    <w:rsid w:val="00DC6161"/>
    <w:rsid w:val="00DC61E5"/>
    <w:rsid w:val="00DD1BBC"/>
    <w:rsid w:val="00DD20CD"/>
    <w:rsid w:val="00DD2EC7"/>
    <w:rsid w:val="00DD3815"/>
    <w:rsid w:val="00DD55D4"/>
    <w:rsid w:val="00DD5A05"/>
    <w:rsid w:val="00DD678E"/>
    <w:rsid w:val="00DE336E"/>
    <w:rsid w:val="00DE5065"/>
    <w:rsid w:val="00DE53AB"/>
    <w:rsid w:val="00DE5E35"/>
    <w:rsid w:val="00DE6A98"/>
    <w:rsid w:val="00DE7154"/>
    <w:rsid w:val="00DE74D4"/>
    <w:rsid w:val="00DE7D8F"/>
    <w:rsid w:val="00DF185F"/>
    <w:rsid w:val="00DF2987"/>
    <w:rsid w:val="00DF3C0C"/>
    <w:rsid w:val="00DF4048"/>
    <w:rsid w:val="00DF4073"/>
    <w:rsid w:val="00DF51C1"/>
    <w:rsid w:val="00DF6C91"/>
    <w:rsid w:val="00DF6ED4"/>
    <w:rsid w:val="00DF6F7F"/>
    <w:rsid w:val="00E00980"/>
    <w:rsid w:val="00E0316C"/>
    <w:rsid w:val="00E03B1A"/>
    <w:rsid w:val="00E0472A"/>
    <w:rsid w:val="00E04B56"/>
    <w:rsid w:val="00E059A9"/>
    <w:rsid w:val="00E07291"/>
    <w:rsid w:val="00E1079E"/>
    <w:rsid w:val="00E12AF2"/>
    <w:rsid w:val="00E13B43"/>
    <w:rsid w:val="00E156AD"/>
    <w:rsid w:val="00E167D9"/>
    <w:rsid w:val="00E17781"/>
    <w:rsid w:val="00E17D6D"/>
    <w:rsid w:val="00E20D65"/>
    <w:rsid w:val="00E21453"/>
    <w:rsid w:val="00E215BC"/>
    <w:rsid w:val="00E21CCF"/>
    <w:rsid w:val="00E225D3"/>
    <w:rsid w:val="00E22F6C"/>
    <w:rsid w:val="00E23B9E"/>
    <w:rsid w:val="00E256EE"/>
    <w:rsid w:val="00E2662D"/>
    <w:rsid w:val="00E27AE0"/>
    <w:rsid w:val="00E31665"/>
    <w:rsid w:val="00E31FAA"/>
    <w:rsid w:val="00E3318E"/>
    <w:rsid w:val="00E343D0"/>
    <w:rsid w:val="00E345CE"/>
    <w:rsid w:val="00E351AA"/>
    <w:rsid w:val="00E37050"/>
    <w:rsid w:val="00E3750A"/>
    <w:rsid w:val="00E37D83"/>
    <w:rsid w:val="00E41ED2"/>
    <w:rsid w:val="00E42C72"/>
    <w:rsid w:val="00E43615"/>
    <w:rsid w:val="00E44303"/>
    <w:rsid w:val="00E4444B"/>
    <w:rsid w:val="00E461B1"/>
    <w:rsid w:val="00E4644A"/>
    <w:rsid w:val="00E46A16"/>
    <w:rsid w:val="00E47071"/>
    <w:rsid w:val="00E47AF4"/>
    <w:rsid w:val="00E5098B"/>
    <w:rsid w:val="00E51EDD"/>
    <w:rsid w:val="00E57EF2"/>
    <w:rsid w:val="00E6089F"/>
    <w:rsid w:val="00E6110F"/>
    <w:rsid w:val="00E62783"/>
    <w:rsid w:val="00E62F90"/>
    <w:rsid w:val="00E6324F"/>
    <w:rsid w:val="00E634B2"/>
    <w:rsid w:val="00E64B54"/>
    <w:rsid w:val="00E65412"/>
    <w:rsid w:val="00E676EB"/>
    <w:rsid w:val="00E677E6"/>
    <w:rsid w:val="00E700B9"/>
    <w:rsid w:val="00E70BF6"/>
    <w:rsid w:val="00E72EA7"/>
    <w:rsid w:val="00E74A27"/>
    <w:rsid w:val="00E778E2"/>
    <w:rsid w:val="00E80284"/>
    <w:rsid w:val="00E838F4"/>
    <w:rsid w:val="00E83911"/>
    <w:rsid w:val="00E83C20"/>
    <w:rsid w:val="00E84CD0"/>
    <w:rsid w:val="00E86147"/>
    <w:rsid w:val="00E86FCA"/>
    <w:rsid w:val="00E87853"/>
    <w:rsid w:val="00E91F45"/>
    <w:rsid w:val="00E924AD"/>
    <w:rsid w:val="00E935CF"/>
    <w:rsid w:val="00E935D2"/>
    <w:rsid w:val="00E93DCC"/>
    <w:rsid w:val="00E971C8"/>
    <w:rsid w:val="00E9784D"/>
    <w:rsid w:val="00E97E20"/>
    <w:rsid w:val="00EA0EC7"/>
    <w:rsid w:val="00EA1198"/>
    <w:rsid w:val="00EA2380"/>
    <w:rsid w:val="00EA3C71"/>
    <w:rsid w:val="00EA4DEC"/>
    <w:rsid w:val="00EA6450"/>
    <w:rsid w:val="00EB1186"/>
    <w:rsid w:val="00EB301D"/>
    <w:rsid w:val="00EB4278"/>
    <w:rsid w:val="00EB6589"/>
    <w:rsid w:val="00EB65DB"/>
    <w:rsid w:val="00EB74C8"/>
    <w:rsid w:val="00EC011C"/>
    <w:rsid w:val="00EC3065"/>
    <w:rsid w:val="00EC396C"/>
    <w:rsid w:val="00EC4886"/>
    <w:rsid w:val="00EC5032"/>
    <w:rsid w:val="00EC5559"/>
    <w:rsid w:val="00EC5DD8"/>
    <w:rsid w:val="00EC60D2"/>
    <w:rsid w:val="00EC69B4"/>
    <w:rsid w:val="00EC6BA7"/>
    <w:rsid w:val="00EC7294"/>
    <w:rsid w:val="00EC7BE5"/>
    <w:rsid w:val="00ED0A76"/>
    <w:rsid w:val="00ED0C77"/>
    <w:rsid w:val="00ED29D8"/>
    <w:rsid w:val="00ED2D5D"/>
    <w:rsid w:val="00ED4954"/>
    <w:rsid w:val="00ED4DB3"/>
    <w:rsid w:val="00ED53C7"/>
    <w:rsid w:val="00ED68BD"/>
    <w:rsid w:val="00ED7EE9"/>
    <w:rsid w:val="00EE1E1C"/>
    <w:rsid w:val="00EE1FAA"/>
    <w:rsid w:val="00EE4E65"/>
    <w:rsid w:val="00EE5A7A"/>
    <w:rsid w:val="00EE7F06"/>
    <w:rsid w:val="00EF14C9"/>
    <w:rsid w:val="00EF2752"/>
    <w:rsid w:val="00EF2AC4"/>
    <w:rsid w:val="00EF3206"/>
    <w:rsid w:val="00EF36B9"/>
    <w:rsid w:val="00EF3FBF"/>
    <w:rsid w:val="00EF5E2A"/>
    <w:rsid w:val="00EF6688"/>
    <w:rsid w:val="00EF6D4B"/>
    <w:rsid w:val="00EF7030"/>
    <w:rsid w:val="00EF7622"/>
    <w:rsid w:val="00EF797B"/>
    <w:rsid w:val="00F003C9"/>
    <w:rsid w:val="00F004A4"/>
    <w:rsid w:val="00F00A2D"/>
    <w:rsid w:val="00F01E25"/>
    <w:rsid w:val="00F021AF"/>
    <w:rsid w:val="00F03CB9"/>
    <w:rsid w:val="00F040E9"/>
    <w:rsid w:val="00F04564"/>
    <w:rsid w:val="00F0462E"/>
    <w:rsid w:val="00F0585F"/>
    <w:rsid w:val="00F06A35"/>
    <w:rsid w:val="00F0751F"/>
    <w:rsid w:val="00F077AE"/>
    <w:rsid w:val="00F13CA8"/>
    <w:rsid w:val="00F20E44"/>
    <w:rsid w:val="00F228F0"/>
    <w:rsid w:val="00F2397B"/>
    <w:rsid w:val="00F24076"/>
    <w:rsid w:val="00F255BD"/>
    <w:rsid w:val="00F26056"/>
    <w:rsid w:val="00F26F49"/>
    <w:rsid w:val="00F26FC5"/>
    <w:rsid w:val="00F30D4F"/>
    <w:rsid w:val="00F31729"/>
    <w:rsid w:val="00F3251E"/>
    <w:rsid w:val="00F32886"/>
    <w:rsid w:val="00F3340A"/>
    <w:rsid w:val="00F33DBC"/>
    <w:rsid w:val="00F34365"/>
    <w:rsid w:val="00F3545A"/>
    <w:rsid w:val="00F36337"/>
    <w:rsid w:val="00F36B90"/>
    <w:rsid w:val="00F40EEA"/>
    <w:rsid w:val="00F42080"/>
    <w:rsid w:val="00F4681C"/>
    <w:rsid w:val="00F46E0B"/>
    <w:rsid w:val="00F50612"/>
    <w:rsid w:val="00F50C2B"/>
    <w:rsid w:val="00F517CA"/>
    <w:rsid w:val="00F51E6B"/>
    <w:rsid w:val="00F52DC3"/>
    <w:rsid w:val="00F53989"/>
    <w:rsid w:val="00F55519"/>
    <w:rsid w:val="00F55BEE"/>
    <w:rsid w:val="00F5636B"/>
    <w:rsid w:val="00F569A0"/>
    <w:rsid w:val="00F56E6C"/>
    <w:rsid w:val="00F6171F"/>
    <w:rsid w:val="00F62301"/>
    <w:rsid w:val="00F6351B"/>
    <w:rsid w:val="00F647F5"/>
    <w:rsid w:val="00F649FF"/>
    <w:rsid w:val="00F66DF5"/>
    <w:rsid w:val="00F700C4"/>
    <w:rsid w:val="00F701AD"/>
    <w:rsid w:val="00F7037E"/>
    <w:rsid w:val="00F7334C"/>
    <w:rsid w:val="00F74469"/>
    <w:rsid w:val="00F769D0"/>
    <w:rsid w:val="00F777F4"/>
    <w:rsid w:val="00F85C64"/>
    <w:rsid w:val="00F86EDD"/>
    <w:rsid w:val="00F87FA1"/>
    <w:rsid w:val="00F90378"/>
    <w:rsid w:val="00F944C4"/>
    <w:rsid w:val="00F94AEF"/>
    <w:rsid w:val="00F973F0"/>
    <w:rsid w:val="00FA0128"/>
    <w:rsid w:val="00FA0745"/>
    <w:rsid w:val="00FA10C2"/>
    <w:rsid w:val="00FA2C24"/>
    <w:rsid w:val="00FA40D0"/>
    <w:rsid w:val="00FA4334"/>
    <w:rsid w:val="00FA5134"/>
    <w:rsid w:val="00FA5CF1"/>
    <w:rsid w:val="00FA602C"/>
    <w:rsid w:val="00FA6922"/>
    <w:rsid w:val="00FA7078"/>
    <w:rsid w:val="00FA7C4B"/>
    <w:rsid w:val="00FA7FFC"/>
    <w:rsid w:val="00FB0213"/>
    <w:rsid w:val="00FB02B0"/>
    <w:rsid w:val="00FB3237"/>
    <w:rsid w:val="00FB4F90"/>
    <w:rsid w:val="00FB5DF5"/>
    <w:rsid w:val="00FB6C92"/>
    <w:rsid w:val="00FB7CC0"/>
    <w:rsid w:val="00FC2A8C"/>
    <w:rsid w:val="00FC2E5C"/>
    <w:rsid w:val="00FC313E"/>
    <w:rsid w:val="00FC3AB5"/>
    <w:rsid w:val="00FC425B"/>
    <w:rsid w:val="00FC5027"/>
    <w:rsid w:val="00FC63A0"/>
    <w:rsid w:val="00FC69BB"/>
    <w:rsid w:val="00FC75A1"/>
    <w:rsid w:val="00FD1416"/>
    <w:rsid w:val="00FD1F37"/>
    <w:rsid w:val="00FD28C9"/>
    <w:rsid w:val="00FD328D"/>
    <w:rsid w:val="00FD485A"/>
    <w:rsid w:val="00FD4DCF"/>
    <w:rsid w:val="00FD69EE"/>
    <w:rsid w:val="00FE0625"/>
    <w:rsid w:val="00FE17EA"/>
    <w:rsid w:val="00FE344D"/>
    <w:rsid w:val="00FE41CE"/>
    <w:rsid w:val="00FE718B"/>
    <w:rsid w:val="00FE7E4E"/>
    <w:rsid w:val="00FF018C"/>
    <w:rsid w:val="00FF03E7"/>
    <w:rsid w:val="00FF079C"/>
    <w:rsid w:val="00FF0ECD"/>
    <w:rsid w:val="00FF1EE0"/>
    <w:rsid w:val="00FF202C"/>
    <w:rsid w:val="00FF28E1"/>
    <w:rsid w:val="00FF3D1E"/>
    <w:rsid w:val="00FF40DD"/>
    <w:rsid w:val="00FF50AD"/>
    <w:rsid w:val="00FF5F7F"/>
    <w:rsid w:val="00FF6D99"/>
    <w:rsid w:val="00FF6FA5"/>
    <w:rsid w:val="00FF7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E9BC3AA"/>
  <w15:docId w15:val="{BAF85C5D-87D0-438D-8B67-1EF31BA6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4A4"/>
    <w:pPr>
      <w:spacing w:after="200" w:line="276" w:lineRule="auto"/>
    </w:pPr>
    <w:rPr>
      <w:sz w:val="22"/>
      <w:szCs w:val="22"/>
      <w:lang w:val="mk-MK"/>
    </w:rPr>
  </w:style>
  <w:style w:type="paragraph" w:styleId="Heading1">
    <w:name w:val="heading 1"/>
    <w:aliases w:val="1"/>
    <w:basedOn w:val="Normal"/>
    <w:next w:val="Normal"/>
    <w:link w:val="Heading1Char"/>
    <w:qFormat/>
    <w:rsid w:val="00577E52"/>
    <w:pPr>
      <w:keepNext/>
      <w:spacing w:before="240" w:after="60"/>
      <w:outlineLvl w:val="0"/>
    </w:pPr>
    <w:rPr>
      <w:rFonts w:ascii="Calibri Light" w:eastAsia="Times New Roman" w:hAnsi="Calibri Light"/>
      <w:b/>
      <w:bCs/>
      <w:kern w:val="32"/>
      <w:sz w:val="32"/>
      <w:szCs w:val="32"/>
    </w:rPr>
  </w:style>
  <w:style w:type="paragraph" w:styleId="Heading2">
    <w:name w:val="heading 2"/>
    <w:aliases w:val="Text"/>
    <w:basedOn w:val="Normal"/>
    <w:next w:val="Normal"/>
    <w:link w:val="Heading2Char"/>
    <w:qFormat/>
    <w:rsid w:val="00BB2181"/>
    <w:pPr>
      <w:keepNext/>
      <w:keepLines/>
      <w:pageBreakBefore/>
      <w:spacing w:after="120" w:line="264" w:lineRule="auto"/>
      <w:jc w:val="both"/>
      <w:outlineLvl w:val="1"/>
    </w:pPr>
    <w:rPr>
      <w:rFonts w:eastAsia="MS PGothic"/>
      <w:b/>
      <w:bCs/>
      <w:color w:val="CD0000"/>
      <w:sz w:val="32"/>
      <w:szCs w:val="26"/>
      <w:lang w:val="sl-SI" w:eastAsia="zh-CN"/>
    </w:rPr>
  </w:style>
  <w:style w:type="paragraph" w:styleId="Heading3">
    <w:name w:val="heading 3"/>
    <w:aliases w:val="(text)"/>
    <w:basedOn w:val="Normal"/>
    <w:next w:val="Normal"/>
    <w:link w:val="Heading3Char"/>
    <w:qFormat/>
    <w:rsid w:val="00BB2181"/>
    <w:pPr>
      <w:keepNext/>
      <w:keepLines/>
      <w:spacing w:before="600" w:after="120" w:line="264" w:lineRule="auto"/>
      <w:ind w:left="1100" w:hanging="1100"/>
      <w:jc w:val="both"/>
      <w:outlineLvl w:val="2"/>
    </w:pPr>
    <w:rPr>
      <w:rFonts w:eastAsia="MS PGothic"/>
      <w:b/>
      <w:bCs/>
      <w:iCs/>
      <w:color w:val="CD0000"/>
      <w:sz w:val="28"/>
      <w:szCs w:val="20"/>
      <w:lang w:val="sl-SI" w:eastAsia="zh-CN"/>
    </w:rPr>
  </w:style>
  <w:style w:type="paragraph" w:styleId="Heading4">
    <w:name w:val="heading 4"/>
    <w:basedOn w:val="Normal"/>
    <w:next w:val="Normal"/>
    <w:link w:val="Heading4Char"/>
    <w:qFormat/>
    <w:rsid w:val="00BB2181"/>
    <w:pPr>
      <w:keepNext/>
      <w:keepLines/>
      <w:spacing w:before="160" w:after="60" w:line="264" w:lineRule="auto"/>
      <w:jc w:val="both"/>
      <w:outlineLvl w:val="3"/>
    </w:pPr>
    <w:rPr>
      <w:rFonts w:eastAsia="MS PGothic"/>
      <w:b/>
      <w:bCs/>
      <w:i/>
      <w:iCs/>
      <w:color w:val="4F81BD"/>
      <w:sz w:val="21"/>
      <w:szCs w:val="21"/>
      <w:lang w:val="en-GB" w:eastAsia="zh-CN"/>
    </w:rPr>
  </w:style>
  <w:style w:type="paragraph" w:styleId="Heading5">
    <w:name w:val="heading 5"/>
    <w:basedOn w:val="Normal"/>
    <w:next w:val="Normal"/>
    <w:link w:val="Heading5Char"/>
    <w:uiPriority w:val="9"/>
    <w:unhideWhenUsed/>
    <w:qFormat/>
    <w:rsid w:val="00B126C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etavstnd1">
    <w:name w:val="Inget avstånd1"/>
    <w:link w:val="IngetavstndChar"/>
    <w:rsid w:val="009B7E58"/>
    <w:rPr>
      <w:rFonts w:eastAsia="MS PGothic"/>
      <w:sz w:val="22"/>
      <w:szCs w:val="22"/>
      <w:lang w:eastAsia="zh-CN"/>
    </w:rPr>
  </w:style>
  <w:style w:type="character" w:customStyle="1" w:styleId="IngetavstndChar">
    <w:name w:val="Inget avstånd Char"/>
    <w:link w:val="Ingetavstnd1"/>
    <w:locked/>
    <w:rsid w:val="009B7E58"/>
    <w:rPr>
      <w:rFonts w:eastAsia="MS PGothic"/>
      <w:sz w:val="22"/>
      <w:szCs w:val="22"/>
      <w:lang w:val="en-US" w:eastAsia="zh-CN" w:bidi="ar-SA"/>
    </w:rPr>
  </w:style>
  <w:style w:type="character" w:customStyle="1" w:styleId="Heading2Char">
    <w:name w:val="Heading 2 Char"/>
    <w:aliases w:val="Text Char"/>
    <w:link w:val="Heading2"/>
    <w:rsid w:val="00BB2181"/>
    <w:rPr>
      <w:rFonts w:eastAsia="MS PGothic"/>
      <w:b/>
      <w:bCs/>
      <w:color w:val="CD0000"/>
      <w:sz w:val="32"/>
      <w:szCs w:val="26"/>
      <w:lang w:val="sl-SI" w:eastAsia="zh-CN"/>
    </w:rPr>
  </w:style>
  <w:style w:type="character" w:customStyle="1" w:styleId="Heading3Char">
    <w:name w:val="Heading 3 Char"/>
    <w:aliases w:val="(text) Char"/>
    <w:link w:val="Heading3"/>
    <w:rsid w:val="00BB2181"/>
    <w:rPr>
      <w:rFonts w:eastAsia="MS PGothic"/>
      <w:b/>
      <w:bCs/>
      <w:iCs/>
      <w:color w:val="CD0000"/>
      <w:sz w:val="28"/>
      <w:lang w:val="sl-SI" w:eastAsia="zh-CN"/>
    </w:rPr>
  </w:style>
  <w:style w:type="character" w:customStyle="1" w:styleId="Heading4Char">
    <w:name w:val="Heading 4 Char"/>
    <w:link w:val="Heading4"/>
    <w:rsid w:val="00BB2181"/>
    <w:rPr>
      <w:rFonts w:eastAsia="MS PGothic"/>
      <w:b/>
      <w:bCs/>
      <w:i/>
      <w:iCs/>
      <w:color w:val="4F81BD"/>
      <w:sz w:val="21"/>
      <w:szCs w:val="21"/>
      <w:lang w:val="en-GB" w:eastAsia="zh-CN"/>
    </w:rPr>
  </w:style>
  <w:style w:type="paragraph" w:customStyle="1" w:styleId="NormalPFM1">
    <w:name w:val="Normal PFM 1"/>
    <w:basedOn w:val="Normal"/>
    <w:link w:val="NormalPFM1Char"/>
    <w:rsid w:val="00BB2181"/>
    <w:pPr>
      <w:spacing w:before="80" w:after="80" w:line="252" w:lineRule="auto"/>
      <w:jc w:val="both"/>
    </w:pPr>
    <w:rPr>
      <w:rFonts w:eastAsia="MS PGothic"/>
      <w:sz w:val="21"/>
      <w:szCs w:val="21"/>
      <w:lang w:val="en-GB" w:eastAsia="zh-CN"/>
    </w:rPr>
  </w:style>
  <w:style w:type="character" w:customStyle="1" w:styleId="NormalPFM1Char">
    <w:name w:val="Normal PFM 1 Char"/>
    <w:link w:val="NormalPFM1"/>
    <w:rsid w:val="00BB2181"/>
    <w:rPr>
      <w:rFonts w:eastAsia="MS PGothic"/>
      <w:sz w:val="21"/>
      <w:szCs w:val="21"/>
      <w:lang w:val="en-GB" w:eastAsia="zh-CN"/>
    </w:rPr>
  </w:style>
  <w:style w:type="paragraph" w:customStyle="1" w:styleId="normalPFMIoutcomes">
    <w:name w:val="normal PFM I) outcomes"/>
    <w:basedOn w:val="NormalPFM1"/>
    <w:rsid w:val="00BB2181"/>
    <w:pPr>
      <w:spacing w:before="0" w:after="0"/>
      <w:ind w:left="1540" w:hanging="463"/>
    </w:p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Bullets"/>
    <w:basedOn w:val="Normal"/>
    <w:link w:val="ListParagraphChar"/>
    <w:uiPriority w:val="34"/>
    <w:qFormat/>
    <w:rsid w:val="00BB2181"/>
    <w:pPr>
      <w:spacing w:after="120" w:line="264" w:lineRule="auto"/>
      <w:ind w:left="720"/>
      <w:contextualSpacing/>
      <w:jc w:val="both"/>
    </w:pPr>
    <w:rPr>
      <w:rFonts w:eastAsia="MS PGothic"/>
      <w:lang w:val="en-GB" w:eastAsia="zh-CN"/>
    </w:rPr>
  </w:style>
  <w:style w:type="character" w:styleId="CommentReference">
    <w:name w:val="annotation reference"/>
    <w:uiPriority w:val="99"/>
    <w:semiHidden/>
    <w:unhideWhenUsed/>
    <w:rsid w:val="00BB2181"/>
    <w:rPr>
      <w:sz w:val="16"/>
      <w:szCs w:val="16"/>
    </w:rPr>
  </w:style>
  <w:style w:type="paragraph" w:styleId="CommentText">
    <w:name w:val="annotation text"/>
    <w:basedOn w:val="Normal"/>
    <w:link w:val="CommentTextChar"/>
    <w:uiPriority w:val="99"/>
    <w:unhideWhenUsed/>
    <w:rsid w:val="00BB2181"/>
    <w:pPr>
      <w:spacing w:after="120" w:line="240" w:lineRule="auto"/>
      <w:jc w:val="both"/>
    </w:pPr>
    <w:rPr>
      <w:rFonts w:eastAsia="MS PGothic"/>
      <w:sz w:val="20"/>
      <w:szCs w:val="20"/>
      <w:lang w:val="en-GB" w:eastAsia="zh-CN"/>
    </w:rPr>
  </w:style>
  <w:style w:type="character" w:customStyle="1" w:styleId="CommentTextChar">
    <w:name w:val="Comment Text Char"/>
    <w:link w:val="CommentText"/>
    <w:uiPriority w:val="99"/>
    <w:rsid w:val="00BB2181"/>
    <w:rPr>
      <w:rFonts w:eastAsia="MS PGothic"/>
      <w:lang w:val="en-GB" w:eastAsia="zh-CN"/>
    </w:rPr>
  </w:style>
  <w:style w:type="paragraph" w:styleId="BalloonText">
    <w:name w:val="Balloon Text"/>
    <w:basedOn w:val="Normal"/>
    <w:link w:val="BalloonTextChar"/>
    <w:uiPriority w:val="99"/>
    <w:semiHidden/>
    <w:unhideWhenUsed/>
    <w:rsid w:val="00BB2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2181"/>
    <w:rPr>
      <w:rFonts w:ascii="Tahoma" w:hAnsi="Tahoma" w:cs="Tahoma"/>
      <w:sz w:val="16"/>
      <w:szCs w:val="16"/>
      <w:lang w:eastAsia="en-US"/>
    </w:rPr>
  </w:style>
  <w:style w:type="paragraph" w:customStyle="1" w:styleId="Default">
    <w:name w:val="Default"/>
    <w:rsid w:val="00D74B18"/>
    <w:pPr>
      <w:autoSpaceDE w:val="0"/>
      <w:autoSpaceDN w:val="0"/>
      <w:adjustRightInd w:val="0"/>
    </w:pPr>
    <w:rPr>
      <w:rFonts w:cs="Calibri"/>
      <w:color w:val="000000"/>
      <w:sz w:val="24"/>
      <w:szCs w:val="24"/>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D74B18"/>
    <w:rPr>
      <w:rFonts w:eastAsia="MS PGothic"/>
      <w:sz w:val="22"/>
      <w:szCs w:val="22"/>
      <w:lang w:val="en-GB" w:eastAsia="zh-CN"/>
    </w:rPr>
  </w:style>
  <w:style w:type="paragraph" w:styleId="ListBullet">
    <w:name w:val="List Bullet"/>
    <w:basedOn w:val="Normal"/>
    <w:autoRedefine/>
    <w:rsid w:val="00D74B18"/>
    <w:pPr>
      <w:spacing w:after="0" w:line="240" w:lineRule="auto"/>
      <w:jc w:val="both"/>
    </w:pPr>
    <w:rPr>
      <w:rFonts w:ascii="Tahoma" w:eastAsia="Times New Roman" w:hAnsi="Tahoma"/>
      <w:snapToGrid w:val="0"/>
      <w:sz w:val="24"/>
      <w:szCs w:val="24"/>
      <w:lang w:val="en-GB"/>
    </w:rPr>
  </w:style>
  <w:style w:type="paragraph" w:styleId="NoSpacing">
    <w:name w:val="No Spacing"/>
    <w:uiPriority w:val="1"/>
    <w:qFormat/>
    <w:rsid w:val="00D74B18"/>
    <w:pPr>
      <w:jc w:val="both"/>
    </w:pPr>
    <w:rPr>
      <w:rFonts w:eastAsia="MS PGothic"/>
      <w:sz w:val="22"/>
      <w:szCs w:val="22"/>
      <w:lang w:val="en-GB" w:eastAsia="zh-CN"/>
    </w:rPr>
  </w:style>
  <w:style w:type="paragraph" w:customStyle="1" w:styleId="normalPFMintend">
    <w:name w:val="normal PFM intend"/>
    <w:basedOn w:val="Normal"/>
    <w:link w:val="normalPFMintendChar"/>
    <w:rsid w:val="008D75D3"/>
    <w:pPr>
      <w:spacing w:before="20" w:after="20" w:line="252" w:lineRule="auto"/>
      <w:ind w:left="992"/>
      <w:jc w:val="both"/>
    </w:pPr>
    <w:rPr>
      <w:rFonts w:eastAsia="MS PGothic"/>
      <w:bCs/>
      <w:sz w:val="20"/>
      <w:szCs w:val="20"/>
      <w:lang w:val="en-GB" w:eastAsia="zh-CN"/>
    </w:rPr>
  </w:style>
  <w:style w:type="character" w:customStyle="1" w:styleId="normalPFMintendChar">
    <w:name w:val="normal PFM intend Char"/>
    <w:link w:val="normalPFMintend"/>
    <w:rsid w:val="008D75D3"/>
    <w:rPr>
      <w:rFonts w:eastAsia="MS PGothic"/>
      <w:bCs/>
      <w:lang w:val="en-GB" w:eastAsia="zh-CN"/>
    </w:rPr>
  </w:style>
  <w:style w:type="paragraph" w:styleId="BodyTextIndent">
    <w:name w:val="Body Text Indent"/>
    <w:basedOn w:val="Normal"/>
    <w:link w:val="BodyTextIndentChar"/>
    <w:rsid w:val="008D75D3"/>
    <w:pPr>
      <w:suppressAutoHyphens/>
      <w:spacing w:after="0" w:line="240" w:lineRule="auto"/>
      <w:ind w:firstLine="540"/>
      <w:jc w:val="both"/>
    </w:pPr>
    <w:rPr>
      <w:rFonts w:ascii="Macedonian Tms" w:eastAsia="Times New Roman" w:hAnsi="Macedonian Tms"/>
      <w:sz w:val="24"/>
      <w:szCs w:val="20"/>
      <w:lang w:val="en-US" w:eastAsia="ar-SA"/>
    </w:rPr>
  </w:style>
  <w:style w:type="character" w:customStyle="1" w:styleId="BodyTextIndentChar">
    <w:name w:val="Body Text Indent Char"/>
    <w:link w:val="BodyTextIndent"/>
    <w:rsid w:val="008D75D3"/>
    <w:rPr>
      <w:rFonts w:ascii="Macedonian Tms" w:eastAsia="Times New Roman" w:hAnsi="Macedonian Tms"/>
      <w:sz w:val="24"/>
      <w:lang w:val="en-US" w:eastAsia="ar-SA"/>
    </w:rPr>
  </w:style>
  <w:style w:type="paragraph" w:styleId="BodyText">
    <w:name w:val="Body Text"/>
    <w:basedOn w:val="Normal"/>
    <w:link w:val="BodyTextChar"/>
    <w:uiPriority w:val="99"/>
    <w:unhideWhenUsed/>
    <w:rsid w:val="008D75D3"/>
    <w:pPr>
      <w:spacing w:after="120" w:line="264" w:lineRule="auto"/>
      <w:jc w:val="both"/>
    </w:pPr>
    <w:rPr>
      <w:rFonts w:eastAsia="MS PGothic"/>
      <w:lang w:val="en-GB" w:eastAsia="zh-CN"/>
    </w:rPr>
  </w:style>
  <w:style w:type="character" w:customStyle="1" w:styleId="BodyTextChar">
    <w:name w:val="Body Text Char"/>
    <w:link w:val="BodyText"/>
    <w:uiPriority w:val="99"/>
    <w:rsid w:val="008D75D3"/>
    <w:rPr>
      <w:rFonts w:eastAsia="MS PGothic"/>
      <w:sz w:val="22"/>
      <w:szCs w:val="22"/>
      <w:lang w:val="en-GB" w:eastAsia="zh-CN"/>
    </w:rPr>
  </w:style>
  <w:style w:type="paragraph" w:styleId="HTMLPreformatted">
    <w:name w:val="HTML Preformatted"/>
    <w:basedOn w:val="Normal"/>
    <w:link w:val="HTMLPreformattedChar"/>
    <w:uiPriority w:val="99"/>
    <w:unhideWhenUsed/>
    <w:rsid w:val="009E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9E1317"/>
    <w:rPr>
      <w:rFonts w:ascii="Courier New" w:eastAsia="Times New Roman" w:hAnsi="Courier New" w:cs="Courier New"/>
      <w:lang w:val="en-GB" w:eastAsia="en-GB"/>
    </w:rPr>
  </w:style>
  <w:style w:type="character" w:customStyle="1" w:styleId="y2iqfc">
    <w:name w:val="y2iqfc"/>
    <w:basedOn w:val="DefaultParagraphFont"/>
    <w:rsid w:val="009E1317"/>
  </w:style>
  <w:style w:type="character" w:customStyle="1" w:styleId="jlqj4b">
    <w:name w:val="jlqj4b"/>
    <w:basedOn w:val="DefaultParagraphFont"/>
    <w:rsid w:val="009E1317"/>
  </w:style>
  <w:style w:type="character" w:customStyle="1" w:styleId="markedcontent">
    <w:name w:val="markedcontent"/>
    <w:basedOn w:val="DefaultParagraphFont"/>
    <w:rsid w:val="009E1317"/>
  </w:style>
  <w:style w:type="paragraph" w:styleId="Header">
    <w:name w:val="header"/>
    <w:basedOn w:val="Normal"/>
    <w:link w:val="HeaderChar"/>
    <w:uiPriority w:val="99"/>
    <w:unhideWhenUsed/>
    <w:rsid w:val="00EC7BE5"/>
    <w:pPr>
      <w:tabs>
        <w:tab w:val="center" w:pos="4513"/>
        <w:tab w:val="right" w:pos="9026"/>
      </w:tabs>
    </w:pPr>
  </w:style>
  <w:style w:type="character" w:customStyle="1" w:styleId="HeaderChar">
    <w:name w:val="Header Char"/>
    <w:link w:val="Header"/>
    <w:uiPriority w:val="99"/>
    <w:rsid w:val="00EC7BE5"/>
    <w:rPr>
      <w:sz w:val="22"/>
      <w:szCs w:val="22"/>
      <w:lang w:eastAsia="en-US"/>
    </w:rPr>
  </w:style>
  <w:style w:type="paragraph" w:styleId="Footer">
    <w:name w:val="footer"/>
    <w:basedOn w:val="Normal"/>
    <w:link w:val="FooterChar"/>
    <w:uiPriority w:val="99"/>
    <w:unhideWhenUsed/>
    <w:rsid w:val="00EC7BE5"/>
    <w:pPr>
      <w:tabs>
        <w:tab w:val="center" w:pos="4513"/>
        <w:tab w:val="right" w:pos="9026"/>
      </w:tabs>
    </w:pPr>
  </w:style>
  <w:style w:type="character" w:customStyle="1" w:styleId="FooterChar">
    <w:name w:val="Footer Char"/>
    <w:link w:val="Footer"/>
    <w:uiPriority w:val="99"/>
    <w:rsid w:val="00EC7BE5"/>
    <w:rPr>
      <w:sz w:val="22"/>
      <w:szCs w:val="22"/>
      <w:lang w:eastAsia="en-US"/>
    </w:rPr>
  </w:style>
  <w:style w:type="character" w:customStyle="1" w:styleId="Heading1Char">
    <w:name w:val="Heading 1 Char"/>
    <w:aliases w:val="1 Char"/>
    <w:link w:val="Heading1"/>
    <w:rsid w:val="00577E52"/>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qFormat/>
    <w:rsid w:val="00577E52"/>
    <w:pPr>
      <w:keepLines/>
      <w:pageBreakBefore/>
      <w:spacing w:before="0" w:after="0" w:line="264" w:lineRule="auto"/>
      <w:ind w:left="1870" w:hanging="1870"/>
      <w:outlineLvl w:val="9"/>
    </w:pPr>
    <w:rPr>
      <w:rFonts w:ascii="Cambria" w:eastAsia="MS PGothic" w:hAnsi="Cambria"/>
      <w:color w:val="CD0000"/>
      <w:kern w:val="0"/>
      <w:sz w:val="28"/>
      <w:szCs w:val="28"/>
      <w:lang w:val="sl-SI"/>
    </w:rPr>
  </w:style>
  <w:style w:type="paragraph" w:styleId="FootnoteText">
    <w:name w:val="footnote text"/>
    <w:aliases w:val="single space,Fußnote,Footnote,WB-Fußnotentext,WB-Fußnotentext Char Char,Fußnotentext Char,FOOTNOTES,fn,Geneva 9,Font: Geneva 9,Boston 10,f,Footnote Text Char Char Char,Footnote Text Char Char,DTE-Voetnoottekst,Char Char Ch,ADB,ADB Char,tex"/>
    <w:basedOn w:val="Normal"/>
    <w:link w:val="FootnoteTextChar"/>
    <w:uiPriority w:val="99"/>
    <w:unhideWhenUsed/>
    <w:qFormat/>
    <w:rsid w:val="005533C9"/>
    <w:rPr>
      <w:sz w:val="20"/>
      <w:szCs w:val="20"/>
    </w:rPr>
  </w:style>
  <w:style w:type="character" w:customStyle="1" w:styleId="FootnoteTextChar">
    <w:name w:val="Footnote Text Char"/>
    <w:aliases w:val="single space Char,Fußnote Char,Footnote Char,WB-Fußnotentext Char,WB-Fußnotentext Char Char Char,Fußnotentext Char Char,FOOTNOTES Char,fn Char,Geneva 9 Char,Font: Geneva 9 Char,Boston 10 Char,f Char,Footnote Text Char Char Char Char"/>
    <w:link w:val="FootnoteText"/>
    <w:uiPriority w:val="99"/>
    <w:qFormat/>
    <w:rsid w:val="005533C9"/>
    <w:rPr>
      <w:lang w:eastAsia="en-US"/>
    </w:rPr>
  </w:style>
  <w:style w:type="character" w:styleId="FootnoteReference">
    <w:name w:val="footnote reference"/>
    <w:aliases w:val="ftref,Char Char,BVI fnr,Footnote symbol,Footnote reference number,note TESI, BVI fnr,Error-Fußnotenzeichen5,Error-Fußnotenzeichen6,Error-Fußnotenzeichen3,Footnote Reference1,Error-Fu?notenzeichen5,Error-Fu?notenzeichen6,Ref,16 Point,R"/>
    <w:link w:val="BVIfnrChar1CharCharChar"/>
    <w:qFormat/>
    <w:rsid w:val="005533C9"/>
    <w:rPr>
      <w:vertAlign w:val="superscript"/>
    </w:rPr>
  </w:style>
  <w:style w:type="character" w:styleId="Hyperlink">
    <w:name w:val="Hyperlink"/>
    <w:uiPriority w:val="99"/>
    <w:rsid w:val="005533C9"/>
    <w:rPr>
      <w:color w:val="0000FF"/>
      <w:u w:val="singl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5533C9"/>
    <w:pPr>
      <w:spacing w:before="120" w:after="160" w:line="240" w:lineRule="exact"/>
      <w:jc w:val="both"/>
    </w:pPr>
    <w:rPr>
      <w:sz w:val="20"/>
      <w:szCs w:val="20"/>
      <w:vertAlign w:val="superscript"/>
    </w:rPr>
  </w:style>
  <w:style w:type="paragraph" w:customStyle="1" w:styleId="Normal1">
    <w:name w:val="Normal1"/>
    <w:rsid w:val="00197411"/>
    <w:pPr>
      <w:spacing w:after="200" w:line="276" w:lineRule="auto"/>
    </w:pPr>
    <w:rPr>
      <w:rFonts w:cs="Calibri"/>
      <w:sz w:val="22"/>
      <w:szCs w:val="22"/>
      <w:lang w:val="en-GB" w:eastAsia="mk-MK"/>
    </w:rPr>
  </w:style>
  <w:style w:type="paragraph" w:styleId="NormalWeb">
    <w:name w:val="Normal (Web)"/>
    <w:basedOn w:val="Normal"/>
    <w:uiPriority w:val="99"/>
    <w:qFormat/>
    <w:rsid w:val="0026555B"/>
    <w:pPr>
      <w:suppressAutoHyphens/>
      <w:spacing w:before="280" w:after="280" w:line="100" w:lineRule="atLeast"/>
    </w:pPr>
    <w:rPr>
      <w:rFonts w:ascii="Times New Roman" w:eastAsia="Times New Roman" w:hAnsi="Times New Roman"/>
      <w:color w:val="00000A"/>
      <w:sz w:val="24"/>
      <w:szCs w:val="24"/>
      <w:lang w:val="en-GB" w:eastAsia="zh-CN"/>
    </w:rPr>
  </w:style>
  <w:style w:type="paragraph" w:customStyle="1" w:styleId="norm">
    <w:name w:val="norm"/>
    <w:basedOn w:val="Normal"/>
    <w:rsid w:val="001D7F21"/>
    <w:pPr>
      <w:tabs>
        <w:tab w:val="left" w:pos="851"/>
        <w:tab w:val="right" w:pos="9356"/>
      </w:tabs>
      <w:spacing w:before="60" w:after="60" w:line="360" w:lineRule="atLeast"/>
      <w:jc w:val="both"/>
    </w:pPr>
    <w:rPr>
      <w:rFonts w:ascii="Times New Roman" w:eastAsia="Times New Roman" w:hAnsi="Times New Roman" w:cs="Sendnya"/>
      <w:lang w:val="en-GB" w:eastAsia="en-GB"/>
    </w:rPr>
  </w:style>
  <w:style w:type="paragraph" w:styleId="Caption">
    <w:name w:val="caption"/>
    <w:aliases w:val="Titles,Caption Char,Titles Char,Table title,Figure Head,Caption Char2,Caption Char1 Char,Caption Char Char Char1,Caption Char Char1,Caption Char Char Char Char,Caption Char Char Char,Caption1 Char,Caption1,Table,LVT Table Heading,WB Caption"/>
    <w:basedOn w:val="Normal"/>
    <w:next w:val="Normal"/>
    <w:link w:val="CaptionChar1"/>
    <w:qFormat/>
    <w:rsid w:val="005F2CFF"/>
    <w:pPr>
      <w:tabs>
        <w:tab w:val="left" w:pos="850"/>
        <w:tab w:val="left" w:pos="1191"/>
        <w:tab w:val="left" w:pos="1531"/>
      </w:tabs>
      <w:spacing w:before="120" w:after="120" w:line="240" w:lineRule="auto"/>
      <w:jc w:val="both"/>
    </w:pPr>
    <w:rPr>
      <w:rFonts w:ascii="Times New Roman" w:eastAsia="Times New Roman" w:hAnsi="Times New Roman"/>
      <w:b/>
      <w:bCs/>
      <w:sz w:val="20"/>
      <w:szCs w:val="20"/>
      <w:lang w:val="en-GB" w:eastAsia="zh-CN"/>
    </w:rPr>
  </w:style>
  <w:style w:type="character" w:customStyle="1" w:styleId="CaptionChar1">
    <w:name w:val="Caption Char1"/>
    <w:aliases w:val="Titles Char1,Caption Char Char,Titles Char Char,Table title Char,Figure Head Char,Caption Char2 Char,Caption Char1 Char Char,Caption Char Char Char1 Char,Caption Char Char1 Char,Caption Char Char Char Char Char,Caption Char Char Char Char1"/>
    <w:link w:val="Caption"/>
    <w:rsid w:val="005F2CFF"/>
    <w:rPr>
      <w:rFonts w:ascii="Times New Roman" w:eastAsia="Times New Roman" w:hAnsi="Times New Roman"/>
      <w:b/>
      <w:bCs/>
      <w:lang w:val="en-GB" w:eastAsia="zh-CN"/>
    </w:rPr>
  </w:style>
  <w:style w:type="paragraph" w:customStyle="1" w:styleId="normalPFM-bullet">
    <w:name w:val="normal PFM -bullet"/>
    <w:basedOn w:val="NormalPFM1"/>
    <w:rsid w:val="005F2CFF"/>
    <w:pPr>
      <w:numPr>
        <w:numId w:val="3"/>
      </w:numPr>
      <w:tabs>
        <w:tab w:val="clear" w:pos="720"/>
        <w:tab w:val="num" w:pos="360"/>
      </w:tabs>
      <w:spacing w:before="20" w:after="20"/>
      <w:ind w:left="0" w:firstLine="0"/>
    </w:pPr>
    <w:rPr>
      <w:rFonts w:eastAsia="Times New Roman"/>
    </w:rPr>
  </w:style>
  <w:style w:type="character" w:customStyle="1" w:styleId="FootnoteCharacters">
    <w:name w:val="Footnote Characters"/>
    <w:rsid w:val="00CF2B56"/>
  </w:style>
  <w:style w:type="character" w:customStyle="1" w:styleId="Heading5Char">
    <w:name w:val="Heading 5 Char"/>
    <w:link w:val="Heading5"/>
    <w:uiPriority w:val="9"/>
    <w:rsid w:val="00B126C5"/>
    <w:rPr>
      <w:rFonts w:ascii="Calibri" w:eastAsia="Times New Roman" w:hAnsi="Calibri" w:cs="Times New Roman"/>
      <w:b/>
      <w:bCs/>
      <w:i/>
      <w:iCs/>
      <w:sz w:val="26"/>
      <w:szCs w:val="26"/>
      <w:lang w:eastAsia="en-US"/>
    </w:rPr>
  </w:style>
  <w:style w:type="paragraph" w:styleId="TOC3">
    <w:name w:val="toc 3"/>
    <w:basedOn w:val="Normal"/>
    <w:next w:val="Normal"/>
    <w:autoRedefine/>
    <w:uiPriority w:val="39"/>
    <w:unhideWhenUsed/>
    <w:rsid w:val="00E04B56"/>
    <w:pPr>
      <w:ind w:left="440"/>
    </w:pPr>
  </w:style>
  <w:style w:type="paragraph" w:styleId="TOC1">
    <w:name w:val="toc 1"/>
    <w:basedOn w:val="Normal"/>
    <w:next w:val="Normal"/>
    <w:autoRedefine/>
    <w:uiPriority w:val="39"/>
    <w:unhideWhenUsed/>
    <w:rsid w:val="00E04B56"/>
  </w:style>
  <w:style w:type="paragraph" w:styleId="TOC2">
    <w:name w:val="toc 2"/>
    <w:basedOn w:val="Normal"/>
    <w:next w:val="Normal"/>
    <w:autoRedefine/>
    <w:uiPriority w:val="39"/>
    <w:unhideWhenUsed/>
    <w:rsid w:val="00BF18DA"/>
    <w:pPr>
      <w:ind w:left="220"/>
    </w:pPr>
  </w:style>
  <w:style w:type="paragraph" w:styleId="CommentSubject">
    <w:name w:val="annotation subject"/>
    <w:basedOn w:val="CommentText"/>
    <w:next w:val="CommentText"/>
    <w:link w:val="CommentSubjectChar"/>
    <w:uiPriority w:val="99"/>
    <w:semiHidden/>
    <w:unhideWhenUsed/>
    <w:rsid w:val="00BD185B"/>
    <w:pPr>
      <w:spacing w:after="200" w:line="276" w:lineRule="auto"/>
      <w:jc w:val="left"/>
    </w:pPr>
    <w:rPr>
      <w:b/>
      <w:bCs/>
      <w:lang w:eastAsia="en-US"/>
    </w:rPr>
  </w:style>
  <w:style w:type="character" w:customStyle="1" w:styleId="CommentSubjectChar">
    <w:name w:val="Comment Subject Char"/>
    <w:link w:val="CommentSubject"/>
    <w:uiPriority w:val="99"/>
    <w:semiHidden/>
    <w:rsid w:val="00BD185B"/>
    <w:rPr>
      <w:rFonts w:eastAsia="MS PGothic"/>
      <w:b/>
      <w:bCs/>
      <w:lang w:val="en-GB" w:eastAsia="en-US"/>
    </w:rPr>
  </w:style>
  <w:style w:type="paragraph" w:customStyle="1" w:styleId="BVIfnrCharChar">
    <w:name w:val="BVI fnr Char Char"/>
    <w:aliases w:val="BVI fnr Car Car Char Char,BVI fnr Car Char Char,BVI fnr Car Car Car Car Char Char,BVI fnr Car Car Car Car Char Char Char1"/>
    <w:basedOn w:val="Normal"/>
    <w:uiPriority w:val="99"/>
    <w:rsid w:val="009C1870"/>
    <w:pPr>
      <w:spacing w:after="240" w:line="240" w:lineRule="exact"/>
      <w:jc w:val="both"/>
    </w:pPr>
    <w:rPr>
      <w:vertAlign w:val="superscript"/>
    </w:rPr>
  </w:style>
  <w:style w:type="character" w:customStyle="1" w:styleId="viiyi">
    <w:name w:val="viiyi"/>
    <w:rsid w:val="00B30165"/>
  </w:style>
  <w:style w:type="character" w:customStyle="1" w:styleId="tw4winMark">
    <w:name w:val="tw4winMark"/>
    <w:rsid w:val="00F53989"/>
    <w:rPr>
      <w:rFonts w:ascii="Courier New" w:hAnsi="Courier New" w:cs="Courier New"/>
      <w:b w:val="0"/>
      <w:i w:val="0"/>
      <w:dstrike w:val="0"/>
      <w:noProof/>
      <w:vanish/>
      <w:color w:val="800080"/>
      <w:spacing w:val="0"/>
      <w:kern w:val="30"/>
      <w:sz w:val="18"/>
      <w:szCs w:val="28"/>
      <w:effect w:val="none"/>
      <w:vertAlign w:val="subscript"/>
      <w:lang w:val="sl-SI" w:eastAsia="zh-CN"/>
    </w:rPr>
  </w:style>
  <w:style w:type="character" w:styleId="Emphasis">
    <w:name w:val="Emphasis"/>
    <w:uiPriority w:val="20"/>
    <w:qFormat/>
    <w:rsid w:val="00D14A15"/>
    <w:rPr>
      <w:i/>
      <w:iCs/>
    </w:rPr>
  </w:style>
  <w:style w:type="paragraph" w:customStyle="1" w:styleId="normalpfmioutcomes0">
    <w:name w:val="normalpfmioutcomes"/>
    <w:basedOn w:val="Normal"/>
    <w:rsid w:val="000523BE"/>
    <w:pPr>
      <w:spacing w:before="100" w:beforeAutospacing="1" w:after="100" w:afterAutospacing="1" w:line="240" w:lineRule="auto"/>
    </w:pPr>
    <w:rPr>
      <w:rFonts w:ascii="Times New Roman" w:eastAsia="Times New Roman" w:hAnsi="Times New Roman"/>
      <w:sz w:val="24"/>
      <w:szCs w:val="24"/>
      <w:lang w:eastAsia="mk-MK"/>
    </w:rPr>
  </w:style>
  <w:style w:type="numbering" w:customStyle="1" w:styleId="NoList1">
    <w:name w:val="No List1"/>
    <w:next w:val="NoList"/>
    <w:uiPriority w:val="99"/>
    <w:semiHidden/>
    <w:unhideWhenUsed/>
    <w:rsid w:val="00376718"/>
  </w:style>
  <w:style w:type="paragraph" w:styleId="Revision">
    <w:name w:val="Revision"/>
    <w:hidden/>
    <w:uiPriority w:val="99"/>
    <w:semiHidden/>
    <w:rsid w:val="00210F94"/>
    <w:rPr>
      <w:sz w:val="22"/>
      <w:szCs w:val="22"/>
      <w:lang w:val="mk-MK"/>
    </w:rPr>
  </w:style>
  <w:style w:type="table" w:styleId="TableGrid">
    <w:name w:val="Table Grid"/>
    <w:basedOn w:val="TableNormal"/>
    <w:uiPriority w:val="39"/>
    <w:rsid w:val="00DF4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B21FE"/>
  </w:style>
  <w:style w:type="table" w:customStyle="1" w:styleId="TableGrid1">
    <w:name w:val="Table Grid1"/>
    <w:basedOn w:val="TableNormal"/>
    <w:next w:val="TableGrid"/>
    <w:uiPriority w:val="59"/>
    <w:rsid w:val="009B2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AF4A39"/>
    <w:rPr>
      <w:color w:val="800080"/>
      <w:u w:val="single"/>
    </w:rPr>
  </w:style>
  <w:style w:type="paragraph" w:customStyle="1" w:styleId="font5">
    <w:name w:val="font5"/>
    <w:basedOn w:val="Normal"/>
    <w:rsid w:val="00AF4A39"/>
    <w:pPr>
      <w:spacing w:before="100" w:beforeAutospacing="1" w:after="100" w:afterAutospacing="1" w:line="240" w:lineRule="auto"/>
    </w:pPr>
    <w:rPr>
      <w:rFonts w:eastAsia="Times New Roman" w:cs="Calibri"/>
      <w:b/>
      <w:bCs/>
      <w:color w:val="FF0000"/>
      <w:sz w:val="20"/>
      <w:szCs w:val="20"/>
      <w:lang w:eastAsia="mk-MK"/>
    </w:rPr>
  </w:style>
  <w:style w:type="paragraph" w:customStyle="1" w:styleId="xl101">
    <w:name w:val="xl10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2">
    <w:name w:val="xl102"/>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3">
    <w:name w:val="xl103"/>
    <w:basedOn w:val="Normal"/>
    <w:rsid w:val="00AF4A3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4">
    <w:name w:val="xl104"/>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5">
    <w:name w:val="xl105"/>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6">
    <w:name w:val="xl106"/>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7">
    <w:name w:val="xl10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8">
    <w:name w:val="xl108"/>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09">
    <w:name w:val="xl109"/>
    <w:basedOn w:val="Normal"/>
    <w:rsid w:val="00AF4A39"/>
    <w:pPr>
      <w:spacing w:before="100" w:beforeAutospacing="1" w:after="100" w:afterAutospacing="1" w:line="240" w:lineRule="auto"/>
    </w:pPr>
    <w:rPr>
      <w:rFonts w:eastAsia="Times New Roman" w:cs="Calibri"/>
      <w:sz w:val="24"/>
      <w:szCs w:val="24"/>
      <w:lang w:eastAsia="mk-MK"/>
    </w:rPr>
  </w:style>
  <w:style w:type="paragraph" w:customStyle="1" w:styleId="xl110">
    <w:name w:val="xl110"/>
    <w:basedOn w:val="Normal"/>
    <w:rsid w:val="00AF4A39"/>
    <w:pP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11">
    <w:name w:val="xl111"/>
    <w:basedOn w:val="Normal"/>
    <w:rsid w:val="00AF4A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12">
    <w:name w:val="xl112"/>
    <w:basedOn w:val="Normal"/>
    <w:rsid w:val="00AF4A39"/>
    <w:pPr>
      <w:spacing w:before="100" w:beforeAutospacing="1" w:after="100" w:afterAutospacing="1" w:line="240" w:lineRule="auto"/>
    </w:pPr>
    <w:rPr>
      <w:rFonts w:eastAsia="Times New Roman" w:cs="Calibri"/>
      <w:sz w:val="24"/>
      <w:szCs w:val="24"/>
      <w:lang w:eastAsia="mk-MK"/>
    </w:rPr>
  </w:style>
  <w:style w:type="paragraph" w:customStyle="1" w:styleId="xl113">
    <w:name w:val="xl113"/>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4">
    <w:name w:val="xl114"/>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5">
    <w:name w:val="xl115"/>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6">
    <w:name w:val="xl116"/>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7">
    <w:name w:val="xl117"/>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8">
    <w:name w:val="xl118"/>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9">
    <w:name w:val="xl119"/>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0">
    <w:name w:val="xl120"/>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1">
    <w:name w:val="xl12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2">
    <w:name w:val="xl122"/>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3">
    <w:name w:val="xl123"/>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4">
    <w:name w:val="xl124"/>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5">
    <w:name w:val="xl125"/>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6">
    <w:name w:val="xl126"/>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27">
    <w:name w:val="xl127"/>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8">
    <w:name w:val="xl128"/>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9">
    <w:name w:val="xl129"/>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0">
    <w:name w:val="xl130"/>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1">
    <w:name w:val="xl131"/>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2">
    <w:name w:val="xl132"/>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3">
    <w:name w:val="xl133"/>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4">
    <w:name w:val="xl134"/>
    <w:basedOn w:val="Normal"/>
    <w:rsid w:val="00AF4A39"/>
    <w:pPr>
      <w:pBdr>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5">
    <w:name w:val="xl135"/>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6">
    <w:name w:val="xl136"/>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7">
    <w:name w:val="xl137"/>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8">
    <w:name w:val="xl138"/>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9">
    <w:name w:val="xl139"/>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0">
    <w:name w:val="xl140"/>
    <w:basedOn w:val="Normal"/>
    <w:rsid w:val="00AF4A39"/>
    <w:pPr>
      <w:pBdr>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41">
    <w:name w:val="xl141"/>
    <w:basedOn w:val="Normal"/>
    <w:rsid w:val="00AF4A39"/>
    <w:pPr>
      <w:pBdr>
        <w:top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42">
    <w:name w:val="xl142"/>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43">
    <w:name w:val="xl143"/>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44">
    <w:name w:val="xl144"/>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45">
    <w:name w:val="xl145"/>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6">
    <w:name w:val="xl146"/>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7">
    <w:name w:val="xl147"/>
    <w:basedOn w:val="Normal"/>
    <w:rsid w:val="00AF4A39"/>
    <w:pPr>
      <w:shd w:val="clear" w:color="000000" w:fill="00FF00"/>
      <w:spacing w:before="100" w:beforeAutospacing="1" w:after="100" w:afterAutospacing="1" w:line="240" w:lineRule="auto"/>
      <w:jc w:val="center"/>
      <w:textAlignment w:val="top"/>
    </w:pPr>
    <w:rPr>
      <w:rFonts w:eastAsia="Times New Roman" w:cs="Calibri"/>
      <w:b/>
      <w:bCs/>
      <w:sz w:val="24"/>
      <w:szCs w:val="24"/>
      <w:lang w:eastAsia="mk-MK"/>
    </w:rPr>
  </w:style>
  <w:style w:type="paragraph" w:customStyle="1" w:styleId="xl148">
    <w:name w:val="xl148"/>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49">
    <w:name w:val="xl149"/>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0">
    <w:name w:val="xl150"/>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1">
    <w:name w:val="xl15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2">
    <w:name w:val="xl152"/>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3">
    <w:name w:val="xl153"/>
    <w:basedOn w:val="Normal"/>
    <w:rsid w:val="00AF4A39"/>
    <w:pPr>
      <w:pBdr>
        <w:left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4">
    <w:name w:val="xl154"/>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5">
    <w:name w:val="xl155"/>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6">
    <w:name w:val="xl156"/>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7">
    <w:name w:val="xl157"/>
    <w:basedOn w:val="Normal"/>
    <w:rsid w:val="00AF4A39"/>
    <w:pPr>
      <w:shd w:val="clear" w:color="000000" w:fill="FFFFFF"/>
      <w:spacing w:before="100" w:beforeAutospacing="1" w:after="100" w:afterAutospacing="1" w:line="240" w:lineRule="auto"/>
    </w:pPr>
    <w:rPr>
      <w:rFonts w:eastAsia="Times New Roman" w:cs="Calibri"/>
      <w:sz w:val="24"/>
      <w:szCs w:val="24"/>
      <w:lang w:eastAsia="mk-MK"/>
    </w:rPr>
  </w:style>
  <w:style w:type="paragraph" w:customStyle="1" w:styleId="xl158">
    <w:name w:val="xl158"/>
    <w:basedOn w:val="Normal"/>
    <w:rsid w:val="00AF4A39"/>
    <w:pPr>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9">
    <w:name w:val="xl159"/>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0">
    <w:name w:val="xl160"/>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1">
    <w:name w:val="xl161"/>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2">
    <w:name w:val="xl162"/>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3">
    <w:name w:val="xl163"/>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4">
    <w:name w:val="xl164"/>
    <w:basedOn w:val="Normal"/>
    <w:rsid w:val="00AF4A39"/>
    <w:pP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65">
    <w:name w:val="xl165"/>
    <w:basedOn w:val="Normal"/>
    <w:rsid w:val="00AF4A39"/>
    <w:pP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66">
    <w:name w:val="xl166"/>
    <w:basedOn w:val="Normal"/>
    <w:rsid w:val="00AF4A39"/>
    <w:pPr>
      <w:shd w:val="clear" w:color="000000" w:fill="33CCFF"/>
      <w:spacing w:before="100" w:beforeAutospacing="1" w:after="100" w:afterAutospacing="1" w:line="240" w:lineRule="auto"/>
    </w:pPr>
    <w:rPr>
      <w:rFonts w:eastAsia="Times New Roman" w:cs="Calibri"/>
      <w:sz w:val="24"/>
      <w:szCs w:val="24"/>
      <w:lang w:eastAsia="mk-MK"/>
    </w:rPr>
  </w:style>
  <w:style w:type="paragraph" w:customStyle="1" w:styleId="xl167">
    <w:name w:val="xl16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68">
    <w:name w:val="xl168"/>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69">
    <w:name w:val="xl169"/>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70">
    <w:name w:val="xl170"/>
    <w:basedOn w:val="Normal"/>
    <w:rsid w:val="00AF4A39"/>
    <w:pPr>
      <w:pBdr>
        <w:top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71">
    <w:name w:val="xl171"/>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72">
    <w:name w:val="xl172"/>
    <w:basedOn w:val="Normal"/>
    <w:rsid w:val="00AF4A39"/>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73">
    <w:name w:val="xl173"/>
    <w:basedOn w:val="Normal"/>
    <w:rsid w:val="00AF4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74">
    <w:name w:val="xl174"/>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mk-MK"/>
    </w:rPr>
  </w:style>
  <w:style w:type="paragraph" w:customStyle="1" w:styleId="xl175">
    <w:name w:val="xl175"/>
    <w:basedOn w:val="Normal"/>
    <w:rsid w:val="00AF4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18"/>
      <w:szCs w:val="18"/>
      <w:lang w:eastAsia="mk-MK"/>
    </w:rPr>
  </w:style>
  <w:style w:type="paragraph" w:customStyle="1" w:styleId="xl176">
    <w:name w:val="xl176"/>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77">
    <w:name w:val="xl17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78">
    <w:name w:val="xl178"/>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8"/>
      <w:szCs w:val="18"/>
      <w:lang w:eastAsia="mk-MK"/>
    </w:rPr>
  </w:style>
  <w:style w:type="paragraph" w:customStyle="1" w:styleId="xl179">
    <w:name w:val="xl179"/>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80">
    <w:name w:val="xl180"/>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8"/>
      <w:szCs w:val="18"/>
      <w:lang w:eastAsia="mk-MK"/>
    </w:rPr>
  </w:style>
  <w:style w:type="paragraph" w:customStyle="1" w:styleId="xl181">
    <w:name w:val="xl181"/>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0000"/>
      <w:sz w:val="18"/>
      <w:szCs w:val="18"/>
      <w:lang w:eastAsia="mk-MK"/>
    </w:rPr>
  </w:style>
  <w:style w:type="paragraph" w:customStyle="1" w:styleId="xl182">
    <w:name w:val="xl182"/>
    <w:basedOn w:val="Normal"/>
    <w:rsid w:val="00AF4A39"/>
    <w:pPr>
      <w:pBdr>
        <w:top w:val="single" w:sz="4" w:space="0" w:color="auto"/>
        <w:left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3">
    <w:name w:val="xl183"/>
    <w:basedOn w:val="Normal"/>
    <w:rsid w:val="00AF4A39"/>
    <w:pPr>
      <w:pBdr>
        <w:top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4">
    <w:name w:val="xl184"/>
    <w:basedOn w:val="Normal"/>
    <w:rsid w:val="00AF4A39"/>
    <w:pPr>
      <w:pBdr>
        <w:top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5">
    <w:name w:val="xl185"/>
    <w:basedOn w:val="Normal"/>
    <w:rsid w:val="00AF4A39"/>
    <w:pPr>
      <w:pBdr>
        <w:left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6">
    <w:name w:val="xl186"/>
    <w:basedOn w:val="Normal"/>
    <w:rsid w:val="00AF4A39"/>
    <w:pPr>
      <w:pBdr>
        <w:left w:val="single" w:sz="4" w:space="0" w:color="C0C0C0"/>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87">
    <w:name w:val="xl187"/>
    <w:basedOn w:val="Normal"/>
    <w:rsid w:val="00AF4A39"/>
    <w:pPr>
      <w:pBdr>
        <w:top w:val="single" w:sz="4" w:space="0" w:color="auto"/>
        <w:left w:val="single" w:sz="4" w:space="0" w:color="auto"/>
        <w:bottom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8">
    <w:name w:val="xl188"/>
    <w:basedOn w:val="Normal"/>
    <w:rsid w:val="00AF4A39"/>
    <w:pPr>
      <w:pBdr>
        <w:top w:val="single" w:sz="4" w:space="0" w:color="auto"/>
        <w:bottom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9">
    <w:name w:val="xl189"/>
    <w:basedOn w:val="Normal"/>
    <w:rsid w:val="00AF4A39"/>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0">
    <w:name w:val="xl190"/>
    <w:basedOn w:val="Normal"/>
    <w:rsid w:val="00AF4A39"/>
    <w:pPr>
      <w:pBdr>
        <w:top w:val="single" w:sz="4" w:space="0" w:color="auto"/>
        <w:bottom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1">
    <w:name w:val="xl191"/>
    <w:basedOn w:val="Normal"/>
    <w:rsid w:val="00AF4A39"/>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2">
    <w:name w:val="xl192"/>
    <w:basedOn w:val="Normal"/>
    <w:rsid w:val="00AF4A39"/>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sz w:val="24"/>
      <w:szCs w:val="24"/>
      <w:lang w:eastAsia="mk-MK"/>
    </w:rPr>
  </w:style>
  <w:style w:type="paragraph" w:customStyle="1" w:styleId="font6">
    <w:name w:val="font6"/>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font7">
    <w:name w:val="font7"/>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font8">
    <w:name w:val="font8"/>
    <w:basedOn w:val="Normal"/>
    <w:rsid w:val="00FB5DF5"/>
    <w:pPr>
      <w:spacing w:before="100" w:beforeAutospacing="1" w:after="100" w:afterAutospacing="1" w:line="240" w:lineRule="auto"/>
    </w:pPr>
    <w:rPr>
      <w:rFonts w:eastAsia="Times New Roman" w:cs="Calibri"/>
      <w:sz w:val="20"/>
      <w:szCs w:val="20"/>
      <w:u w:val="single"/>
      <w:lang w:eastAsia="mk-MK"/>
    </w:rPr>
  </w:style>
  <w:style w:type="paragraph" w:customStyle="1" w:styleId="font9">
    <w:name w:val="font9"/>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xl63">
    <w:name w:val="xl63"/>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64">
    <w:name w:val="xl64"/>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5">
    <w:name w:val="xl65"/>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6">
    <w:name w:val="xl66"/>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7">
    <w:name w:val="xl67"/>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68">
    <w:name w:val="xl68"/>
    <w:basedOn w:val="Normal"/>
    <w:rsid w:val="00FB5DF5"/>
    <w:pPr>
      <w:pBdr>
        <w:top w:val="single" w:sz="8" w:space="0" w:color="auto"/>
        <w:left w:val="single" w:sz="8" w:space="0" w:color="auto"/>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69">
    <w:name w:val="xl69"/>
    <w:basedOn w:val="Normal"/>
    <w:rsid w:val="00FB5DF5"/>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0">
    <w:name w:val="xl70"/>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1">
    <w:name w:val="xl71"/>
    <w:basedOn w:val="Normal"/>
    <w:rsid w:val="00FB5DF5"/>
    <w:pPr>
      <w:pBdr>
        <w:top w:val="single" w:sz="8" w:space="0" w:color="auto"/>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2">
    <w:name w:val="xl72"/>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3">
    <w:name w:val="xl73"/>
    <w:basedOn w:val="Normal"/>
    <w:rsid w:val="00FB5DF5"/>
    <w:pPr>
      <w:pBdr>
        <w:top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4">
    <w:name w:val="xl74"/>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5">
    <w:name w:val="xl75"/>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6">
    <w:name w:val="xl76"/>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7">
    <w:name w:val="xl77"/>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8">
    <w:name w:val="xl78"/>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9">
    <w:name w:val="xl79"/>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0">
    <w:name w:val="xl8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1">
    <w:name w:val="xl8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2">
    <w:name w:val="xl82"/>
    <w:basedOn w:val="Normal"/>
    <w:rsid w:val="00FB5DF5"/>
    <w:pPr>
      <w:pBdr>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3">
    <w:name w:val="xl83"/>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84">
    <w:name w:val="xl8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5">
    <w:name w:val="xl85"/>
    <w:basedOn w:val="Normal"/>
    <w:rsid w:val="00FB5DF5"/>
    <w:pPr>
      <w:pBdr>
        <w:top w:val="single" w:sz="8" w:space="0" w:color="000000"/>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6">
    <w:name w:val="xl86"/>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7">
    <w:name w:val="xl87"/>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88">
    <w:name w:val="xl88"/>
    <w:basedOn w:val="Normal"/>
    <w:rsid w:val="00FB5DF5"/>
    <w:pPr>
      <w:pBdr>
        <w:top w:val="single" w:sz="8" w:space="0" w:color="000000"/>
        <w:left w:val="single" w:sz="8" w:space="0" w:color="000000"/>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9">
    <w:name w:val="xl89"/>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0">
    <w:name w:val="xl90"/>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1">
    <w:name w:val="xl91"/>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2">
    <w:name w:val="xl92"/>
    <w:basedOn w:val="Normal"/>
    <w:rsid w:val="00FB5DF5"/>
    <w:pPr>
      <w:pBdr>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3">
    <w:name w:val="xl93"/>
    <w:basedOn w:val="Normal"/>
    <w:rsid w:val="00FB5DF5"/>
    <w:pPr>
      <w:pBdr>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4">
    <w:name w:val="xl94"/>
    <w:basedOn w:val="Normal"/>
    <w:rsid w:val="00FB5DF5"/>
    <w:pPr>
      <w:pBdr>
        <w:top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5">
    <w:name w:val="xl95"/>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6">
    <w:name w:val="xl96"/>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7">
    <w:name w:val="xl97"/>
    <w:basedOn w:val="Normal"/>
    <w:rsid w:val="00FB5DF5"/>
    <w:pPr>
      <w:pBdr>
        <w:top w:val="single" w:sz="8" w:space="0" w:color="auto"/>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8">
    <w:name w:val="xl98"/>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9">
    <w:name w:val="xl99"/>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00">
    <w:name w:val="xl100"/>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93">
    <w:name w:val="xl193"/>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194">
    <w:name w:val="xl194"/>
    <w:basedOn w:val="Normal"/>
    <w:rsid w:val="00FB5DF5"/>
    <w:pPr>
      <w:pBdr>
        <w:top w:val="single" w:sz="8" w:space="0" w:color="000000"/>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95">
    <w:name w:val="xl195"/>
    <w:basedOn w:val="Normal"/>
    <w:rsid w:val="00FB5DF5"/>
    <w:pPr>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6">
    <w:name w:val="xl196"/>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7">
    <w:name w:val="xl197"/>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8">
    <w:name w:val="xl198"/>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9">
    <w:name w:val="xl199"/>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00">
    <w:name w:val="xl20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right"/>
      <w:textAlignment w:val="center"/>
    </w:pPr>
    <w:rPr>
      <w:rFonts w:ascii="Times New Roman" w:eastAsia="Times New Roman" w:hAnsi="Times New Roman"/>
      <w:sz w:val="20"/>
      <w:szCs w:val="20"/>
      <w:lang w:eastAsia="mk-MK"/>
    </w:rPr>
  </w:style>
  <w:style w:type="paragraph" w:customStyle="1" w:styleId="xl201">
    <w:name w:val="xl201"/>
    <w:basedOn w:val="Normal"/>
    <w:rsid w:val="00FB5DF5"/>
    <w:pPr>
      <w:pBdr>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02">
    <w:name w:val="xl202"/>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03">
    <w:name w:val="xl203"/>
    <w:basedOn w:val="Normal"/>
    <w:rsid w:val="00FB5DF5"/>
    <w:pPr>
      <w:pBdr>
        <w:top w:val="single" w:sz="8" w:space="0" w:color="auto"/>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04">
    <w:name w:val="xl204"/>
    <w:basedOn w:val="Normal"/>
    <w:rsid w:val="00FB5DF5"/>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5">
    <w:name w:val="xl205"/>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6">
    <w:name w:val="xl206"/>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7">
    <w:name w:val="xl207"/>
    <w:basedOn w:val="Normal"/>
    <w:rsid w:val="00FB5DF5"/>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8">
    <w:name w:val="xl208"/>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9">
    <w:name w:val="xl209"/>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0">
    <w:name w:val="xl210"/>
    <w:basedOn w:val="Normal"/>
    <w:rsid w:val="00FB5DF5"/>
    <w:pPr>
      <w:pBdr>
        <w:top w:val="single" w:sz="8" w:space="0" w:color="000000"/>
        <w:left w:val="single" w:sz="8" w:space="0" w:color="auto"/>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11">
    <w:name w:val="xl211"/>
    <w:basedOn w:val="Normal"/>
    <w:rsid w:val="00FB5DF5"/>
    <w:pPr>
      <w:pBdr>
        <w:top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12">
    <w:name w:val="xl212"/>
    <w:basedOn w:val="Normal"/>
    <w:rsid w:val="00FB5DF5"/>
    <w:pPr>
      <w:pBdr>
        <w:top w:val="single" w:sz="8" w:space="0" w:color="auto"/>
        <w:left w:val="single" w:sz="8" w:space="0" w:color="auto"/>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13">
    <w:name w:val="xl213"/>
    <w:basedOn w:val="Normal"/>
    <w:rsid w:val="00FB5DF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4">
    <w:name w:val="xl214"/>
    <w:basedOn w:val="Normal"/>
    <w:rsid w:val="00FB5DF5"/>
    <w:pPr>
      <w:pBdr>
        <w:left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5">
    <w:name w:val="xl215"/>
    <w:basedOn w:val="Normal"/>
    <w:rsid w:val="00FB5DF5"/>
    <w:pP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16">
    <w:name w:val="xl216"/>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7">
    <w:name w:val="xl217"/>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8">
    <w:name w:val="xl218"/>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19">
    <w:name w:val="xl219"/>
    <w:basedOn w:val="Normal"/>
    <w:rsid w:val="00FB5DF5"/>
    <w:pPr>
      <w:pBdr>
        <w:top w:val="single" w:sz="8" w:space="0" w:color="000000"/>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20">
    <w:name w:val="xl220"/>
    <w:basedOn w:val="Normal"/>
    <w:rsid w:val="00FB5DF5"/>
    <w:pPr>
      <w:pBdr>
        <w:lef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21">
    <w:name w:val="xl221"/>
    <w:basedOn w:val="Normal"/>
    <w:rsid w:val="00FB5DF5"/>
    <w:pPr>
      <w:pBdr>
        <w:left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22">
    <w:name w:val="xl222"/>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3">
    <w:name w:val="xl223"/>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4">
    <w:name w:val="xl224"/>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25">
    <w:name w:val="xl225"/>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6">
    <w:name w:val="xl226"/>
    <w:basedOn w:val="Normal"/>
    <w:rsid w:val="00FB5DF5"/>
    <w:pP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27">
    <w:name w:val="xl227"/>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28">
    <w:name w:val="xl228"/>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29">
    <w:name w:val="xl229"/>
    <w:basedOn w:val="Normal"/>
    <w:rsid w:val="00FB5DF5"/>
    <w:pPr>
      <w:pBdr>
        <w:top w:val="single" w:sz="8" w:space="0" w:color="000000"/>
        <w:lef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0">
    <w:name w:val="xl230"/>
    <w:basedOn w:val="Normal"/>
    <w:rsid w:val="00FB5DF5"/>
    <w:pPr>
      <w:pBdr>
        <w:top w:val="single" w:sz="8" w:space="0" w:color="000000"/>
        <w:left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1">
    <w:name w:val="xl23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2">
    <w:name w:val="xl232"/>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3">
    <w:name w:val="xl233"/>
    <w:basedOn w:val="Normal"/>
    <w:rsid w:val="00FB5DF5"/>
    <w:pPr>
      <w:pBdr>
        <w:bottom w:val="single" w:sz="8" w:space="0" w:color="auto"/>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4">
    <w:name w:val="xl234"/>
    <w:basedOn w:val="Normal"/>
    <w:rsid w:val="00FB5DF5"/>
    <w:pPr>
      <w:pBdr>
        <w:bottom w:val="single" w:sz="8" w:space="0" w:color="auto"/>
        <w:righ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235">
    <w:name w:val="xl235"/>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6">
    <w:name w:val="xl236"/>
    <w:basedOn w:val="Normal"/>
    <w:rsid w:val="00FB5DF5"/>
    <w:pPr>
      <w:pBdr>
        <w:top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7">
    <w:name w:val="xl237"/>
    <w:basedOn w:val="Normal"/>
    <w:rsid w:val="00FB5DF5"/>
    <w:pPr>
      <w:pBdr>
        <w:left w:val="single" w:sz="8" w:space="0" w:color="auto"/>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8">
    <w:name w:val="xl238"/>
    <w:basedOn w:val="Normal"/>
    <w:rsid w:val="00FB5DF5"/>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9">
    <w:name w:val="xl239"/>
    <w:basedOn w:val="Normal"/>
    <w:rsid w:val="00FB5DF5"/>
    <w:pPr>
      <w:pBdr>
        <w:top w:val="single" w:sz="8" w:space="0" w:color="auto"/>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40">
    <w:name w:val="xl240"/>
    <w:basedOn w:val="Normal"/>
    <w:rsid w:val="00FB5DF5"/>
    <w:pPr>
      <w:pBdr>
        <w:top w:val="single" w:sz="8" w:space="0" w:color="auto"/>
        <w:left w:val="single" w:sz="8" w:space="0" w:color="000000"/>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1">
    <w:name w:val="xl24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2">
    <w:name w:val="xl242"/>
    <w:basedOn w:val="Normal"/>
    <w:rsid w:val="00FB5DF5"/>
    <w:pPr>
      <w:pBdr>
        <w:top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3">
    <w:name w:val="xl243"/>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4">
    <w:name w:val="xl24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5">
    <w:name w:val="xl245"/>
    <w:basedOn w:val="Normal"/>
    <w:rsid w:val="00FB5D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6">
    <w:name w:val="xl246"/>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7">
    <w:name w:val="xl247"/>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8">
    <w:name w:val="xl248"/>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49">
    <w:name w:val="xl249"/>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50">
    <w:name w:val="xl250"/>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1">
    <w:name w:val="xl251"/>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2">
    <w:name w:val="xl252"/>
    <w:basedOn w:val="Normal"/>
    <w:rsid w:val="00FB5DF5"/>
    <w:pPr>
      <w:pBdr>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53">
    <w:name w:val="xl253"/>
    <w:basedOn w:val="Normal"/>
    <w:rsid w:val="00FB5DF5"/>
    <w:pPr>
      <w:pBdr>
        <w:top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4">
    <w:name w:val="xl254"/>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255">
    <w:name w:val="xl255"/>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256">
    <w:name w:val="xl256"/>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7">
    <w:name w:val="xl257"/>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58">
    <w:name w:val="xl258"/>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59">
    <w:name w:val="xl259"/>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60">
    <w:name w:val="xl260"/>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1">
    <w:name w:val="xl261"/>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2">
    <w:name w:val="xl262"/>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3">
    <w:name w:val="xl263"/>
    <w:basedOn w:val="Normal"/>
    <w:rsid w:val="00FB5DF5"/>
    <w:pPr>
      <w:pBdr>
        <w:top w:val="single" w:sz="8" w:space="0" w:color="000000"/>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64">
    <w:name w:val="xl264"/>
    <w:basedOn w:val="Normal"/>
    <w:rsid w:val="00FB5DF5"/>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5">
    <w:name w:val="xl265"/>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6">
    <w:name w:val="xl266"/>
    <w:basedOn w:val="Normal"/>
    <w:rsid w:val="00FB5DF5"/>
    <w:pPr>
      <w:pBdr>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7">
    <w:name w:val="xl267"/>
    <w:basedOn w:val="Normal"/>
    <w:rsid w:val="00FB5DF5"/>
    <w:pPr>
      <w:pBdr>
        <w:bottom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8">
    <w:name w:val="xl268"/>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69">
    <w:name w:val="xl269"/>
    <w:basedOn w:val="Normal"/>
    <w:rsid w:val="00FB5DF5"/>
    <w:pPr>
      <w:pBdr>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0">
    <w:name w:val="xl27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1">
    <w:name w:val="xl271"/>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2">
    <w:name w:val="xl272"/>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3">
    <w:name w:val="xl273"/>
    <w:basedOn w:val="Normal"/>
    <w:rsid w:val="00FB5DF5"/>
    <w:pPr>
      <w:pBdr>
        <w:top w:val="single" w:sz="8" w:space="0" w:color="000000"/>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4">
    <w:name w:val="xl274"/>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5">
    <w:name w:val="xl275"/>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6">
    <w:name w:val="xl276"/>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77">
    <w:name w:val="xl277"/>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8">
    <w:name w:val="xl278"/>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279">
    <w:name w:val="xl279"/>
    <w:basedOn w:val="Normal"/>
    <w:rsid w:val="00FB5DF5"/>
    <w:pP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80">
    <w:name w:val="xl280"/>
    <w:basedOn w:val="Normal"/>
    <w:rsid w:val="00FB5DF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281">
    <w:name w:val="xl281"/>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2">
    <w:name w:val="xl282"/>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3">
    <w:name w:val="xl283"/>
    <w:basedOn w:val="Normal"/>
    <w:rsid w:val="00FB5DF5"/>
    <w:pPr>
      <w:pBdr>
        <w:bottom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4">
    <w:name w:val="xl28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5">
    <w:name w:val="xl285"/>
    <w:basedOn w:val="Normal"/>
    <w:rsid w:val="00FB5DF5"/>
    <w:pPr>
      <w:pBdr>
        <w:top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6">
    <w:name w:val="xl286"/>
    <w:basedOn w:val="Normal"/>
    <w:rsid w:val="00FB5DF5"/>
    <w:pP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7">
    <w:name w:val="xl287"/>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8">
    <w:name w:val="xl288"/>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9">
    <w:name w:val="xl289"/>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0">
    <w:name w:val="xl290"/>
    <w:basedOn w:val="Normal"/>
    <w:rsid w:val="00FB5DF5"/>
    <w:pPr>
      <w:pBdr>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1">
    <w:name w:val="xl291"/>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92">
    <w:name w:val="xl292"/>
    <w:basedOn w:val="Normal"/>
    <w:rsid w:val="00FB5DF5"/>
    <w:pPr>
      <w:pBdr>
        <w:top w:val="single" w:sz="8" w:space="0" w:color="000000"/>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3">
    <w:name w:val="xl293"/>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4">
    <w:name w:val="xl294"/>
    <w:basedOn w:val="Normal"/>
    <w:rsid w:val="00FB5DF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95">
    <w:name w:val="xl295"/>
    <w:basedOn w:val="Normal"/>
    <w:rsid w:val="00FB5DF5"/>
    <w:pPr>
      <w:pBdr>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96">
    <w:name w:val="xl296"/>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7">
    <w:name w:val="xl297"/>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8">
    <w:name w:val="xl298"/>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9">
    <w:name w:val="xl299"/>
    <w:basedOn w:val="Normal"/>
    <w:rsid w:val="00FB5DF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300">
    <w:name w:val="xl30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1">
    <w:name w:val="xl301"/>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2">
    <w:name w:val="xl302"/>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3">
    <w:name w:val="xl303"/>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4">
    <w:name w:val="xl304"/>
    <w:basedOn w:val="Normal"/>
    <w:rsid w:val="00FB5DF5"/>
    <w:pPr>
      <w:spacing w:before="100" w:beforeAutospacing="1" w:after="100" w:afterAutospacing="1" w:line="240" w:lineRule="auto"/>
    </w:pPr>
    <w:rPr>
      <w:rFonts w:ascii="Times New Roman" w:eastAsia="Times New Roman" w:hAnsi="Times New Roman"/>
      <w:color w:val="FFFFFF"/>
      <w:sz w:val="20"/>
      <w:szCs w:val="20"/>
      <w:lang w:eastAsia="mk-MK"/>
    </w:rPr>
  </w:style>
  <w:style w:type="paragraph" w:customStyle="1" w:styleId="xl305">
    <w:name w:val="xl305"/>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xl306">
    <w:name w:val="xl306"/>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7">
    <w:name w:val="xl307"/>
    <w:basedOn w:val="Normal"/>
    <w:rsid w:val="00FB5DF5"/>
    <w:pPr>
      <w:pBdr>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08">
    <w:name w:val="xl308"/>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09">
    <w:name w:val="xl309"/>
    <w:basedOn w:val="Normal"/>
    <w:rsid w:val="00FB5DF5"/>
    <w:pPr>
      <w:pBdr>
        <w:top w:val="single" w:sz="8" w:space="0" w:color="auto"/>
        <w:left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10">
    <w:name w:val="xl310"/>
    <w:basedOn w:val="Normal"/>
    <w:rsid w:val="00FB5DF5"/>
    <w:pPr>
      <w:pBdr>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11">
    <w:name w:val="xl311"/>
    <w:basedOn w:val="Normal"/>
    <w:rsid w:val="00FB5DF5"/>
    <w:pPr>
      <w:pBdr>
        <w:left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2">
    <w:name w:val="xl312"/>
    <w:basedOn w:val="Normal"/>
    <w:rsid w:val="00FB5DF5"/>
    <w:pPr>
      <w:pBdr>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3">
    <w:name w:val="xl313"/>
    <w:basedOn w:val="Normal"/>
    <w:rsid w:val="00FB5DF5"/>
    <w:pPr>
      <w:pBdr>
        <w:bottom w:val="single" w:sz="8" w:space="0" w:color="auto"/>
        <w:right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4">
    <w:name w:val="xl314"/>
    <w:basedOn w:val="Normal"/>
    <w:rsid w:val="00FB5DF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315">
    <w:name w:val="xl315"/>
    <w:basedOn w:val="Normal"/>
    <w:rsid w:val="00FB5DF5"/>
    <w:pPr>
      <w:pBdr>
        <w:top w:val="single" w:sz="8" w:space="0" w:color="auto"/>
        <w:left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6">
    <w:name w:val="xl316"/>
    <w:basedOn w:val="Normal"/>
    <w:rsid w:val="00FB5DF5"/>
    <w:pPr>
      <w:pBdr>
        <w:top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7">
    <w:name w:val="xl317"/>
    <w:basedOn w:val="Normal"/>
    <w:rsid w:val="00FB5DF5"/>
    <w:pPr>
      <w:pBdr>
        <w:top w:val="single" w:sz="8" w:space="0" w:color="auto"/>
        <w:bottom w:val="single" w:sz="8" w:space="0" w:color="auto"/>
        <w:right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8">
    <w:name w:val="xl318"/>
    <w:basedOn w:val="Normal"/>
    <w:rsid w:val="00FB5DF5"/>
    <w:pPr>
      <w:pBdr>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19">
    <w:name w:val="xl319"/>
    <w:basedOn w:val="Normal"/>
    <w:rsid w:val="00FB5DF5"/>
    <w:pPr>
      <w:pBdr>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0">
    <w:name w:val="xl320"/>
    <w:basedOn w:val="Normal"/>
    <w:rsid w:val="00FB5DF5"/>
    <w:pPr>
      <w:pBdr>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1">
    <w:name w:val="xl321"/>
    <w:basedOn w:val="Normal"/>
    <w:rsid w:val="00FB5DF5"/>
    <w:pPr>
      <w:pBdr>
        <w:top w:val="single" w:sz="8" w:space="0" w:color="000000"/>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2">
    <w:name w:val="xl322"/>
    <w:basedOn w:val="Normal"/>
    <w:rsid w:val="00FB5DF5"/>
    <w:pPr>
      <w:pBdr>
        <w:top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3">
    <w:name w:val="xl323"/>
    <w:basedOn w:val="Normal"/>
    <w:rsid w:val="00FB5DF5"/>
    <w:pPr>
      <w:pBdr>
        <w:top w:val="single" w:sz="8" w:space="0" w:color="000000"/>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4">
    <w:name w:val="xl324"/>
    <w:basedOn w:val="Normal"/>
    <w:rsid w:val="00FB5DF5"/>
    <w:pPr>
      <w:pBdr>
        <w:top w:val="single" w:sz="8" w:space="0" w:color="000000"/>
        <w:bottom w:val="single" w:sz="8" w:space="0" w:color="000000"/>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25">
    <w:name w:val="xl325"/>
    <w:basedOn w:val="Normal"/>
    <w:rsid w:val="00FB5DF5"/>
    <w:pPr>
      <w:pBdr>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26">
    <w:name w:val="xl326"/>
    <w:basedOn w:val="Normal"/>
    <w:rsid w:val="00FB5DF5"/>
    <w:pPr>
      <w:pBdr>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27">
    <w:name w:val="xl327"/>
    <w:basedOn w:val="Normal"/>
    <w:rsid w:val="00FB5D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28">
    <w:name w:val="xl328"/>
    <w:basedOn w:val="Normal"/>
    <w:rsid w:val="00FB5DF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29">
    <w:name w:val="xl329"/>
    <w:basedOn w:val="Normal"/>
    <w:rsid w:val="00FB5DF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0">
    <w:name w:val="xl330"/>
    <w:basedOn w:val="Normal"/>
    <w:rsid w:val="00FB5D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1">
    <w:name w:val="xl331"/>
    <w:basedOn w:val="Normal"/>
    <w:rsid w:val="00FB5DF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2">
    <w:name w:val="xl332"/>
    <w:basedOn w:val="Normal"/>
    <w:rsid w:val="00FB5DF5"/>
    <w:pPr>
      <w:pBdr>
        <w:top w:val="single" w:sz="8" w:space="0" w:color="000000"/>
        <w:lef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3">
    <w:name w:val="xl333"/>
    <w:basedOn w:val="Normal"/>
    <w:rsid w:val="00FB5DF5"/>
    <w:pPr>
      <w:pBdr>
        <w:top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4">
    <w:name w:val="xl334"/>
    <w:basedOn w:val="Normal"/>
    <w:rsid w:val="00FB5DF5"/>
    <w:pPr>
      <w:pBdr>
        <w:top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5">
    <w:name w:val="xl335"/>
    <w:basedOn w:val="Normal"/>
    <w:rsid w:val="00FB5DF5"/>
    <w:pPr>
      <w:pBdr>
        <w:top w:val="single" w:sz="8" w:space="0" w:color="000000"/>
        <w:left w:val="single" w:sz="8" w:space="0" w:color="000000"/>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36">
    <w:name w:val="xl336"/>
    <w:basedOn w:val="Normal"/>
    <w:rsid w:val="00FB5DF5"/>
    <w:pPr>
      <w:pBdr>
        <w:top w:val="single" w:sz="8" w:space="0" w:color="000000"/>
        <w:bottom w:val="single" w:sz="8" w:space="0" w:color="auto"/>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37">
    <w:name w:val="xl337"/>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338">
    <w:name w:val="xl338"/>
    <w:basedOn w:val="Normal"/>
    <w:rsid w:val="00FB5DF5"/>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9">
    <w:name w:val="xl339"/>
    <w:basedOn w:val="Normal"/>
    <w:rsid w:val="00FB5DF5"/>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0">
    <w:name w:val="xl340"/>
    <w:basedOn w:val="Normal"/>
    <w:rsid w:val="00FB5DF5"/>
    <w:pPr>
      <w:pBdr>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1">
    <w:name w:val="xl341"/>
    <w:basedOn w:val="Normal"/>
    <w:rsid w:val="00FB5DF5"/>
    <w:pPr>
      <w:pBdr>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2">
    <w:name w:val="xl342"/>
    <w:basedOn w:val="Normal"/>
    <w:rsid w:val="00FB5DF5"/>
    <w:pPr>
      <w:pBdr>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3">
    <w:name w:val="xl343"/>
    <w:basedOn w:val="Normal"/>
    <w:rsid w:val="00FB5DF5"/>
    <w:pPr>
      <w:pBdr>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4">
    <w:name w:val="xl344"/>
    <w:basedOn w:val="Normal"/>
    <w:rsid w:val="00FB5DF5"/>
    <w:pPr>
      <w:pBdr>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5">
    <w:name w:val="xl345"/>
    <w:basedOn w:val="Normal"/>
    <w:rsid w:val="00FB5DF5"/>
    <w:pPr>
      <w:pBdr>
        <w:lef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46">
    <w:name w:val="xl346"/>
    <w:basedOn w:val="Normal"/>
    <w:rsid w:val="00FB5DF5"/>
    <w:pPr>
      <w:pBdr>
        <w:left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7">
    <w:name w:val="xl347"/>
    <w:basedOn w:val="Normal"/>
    <w:rsid w:val="00FB5DF5"/>
    <w:pPr>
      <w:pBdr>
        <w:left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8">
    <w:name w:val="xl348"/>
    <w:basedOn w:val="Normal"/>
    <w:rsid w:val="00FB5DF5"/>
    <w:pPr>
      <w:pBdr>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9">
    <w:name w:val="xl349"/>
    <w:basedOn w:val="Normal"/>
    <w:rsid w:val="00FB5DF5"/>
    <w:pPr>
      <w:pBdr>
        <w:top w:val="single" w:sz="8" w:space="0" w:color="auto"/>
        <w:lef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0">
    <w:name w:val="xl350"/>
    <w:basedOn w:val="Normal"/>
    <w:rsid w:val="00FB5DF5"/>
    <w:pPr>
      <w:pBdr>
        <w:top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1">
    <w:name w:val="xl351"/>
    <w:basedOn w:val="Normal"/>
    <w:rsid w:val="00FB5DF5"/>
    <w:pPr>
      <w:pBdr>
        <w:top w:val="single" w:sz="8" w:space="0" w:color="auto"/>
        <w:righ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2">
    <w:name w:val="xl352"/>
    <w:basedOn w:val="Normal"/>
    <w:rsid w:val="00FB5DF5"/>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3">
    <w:name w:val="xl353"/>
    <w:basedOn w:val="Normal"/>
    <w:rsid w:val="00FB5DF5"/>
    <w:pPr>
      <w:pBdr>
        <w:top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4">
    <w:name w:val="xl354"/>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55">
    <w:name w:val="xl355"/>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56">
    <w:name w:val="xl356"/>
    <w:basedOn w:val="Normal"/>
    <w:rsid w:val="00FB5DF5"/>
    <w:pPr>
      <w:pBdr>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7">
    <w:name w:val="xl357"/>
    <w:basedOn w:val="Normal"/>
    <w:rsid w:val="00FB5DF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8">
    <w:name w:val="xl358"/>
    <w:basedOn w:val="Normal"/>
    <w:rsid w:val="00FB5DF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9">
    <w:name w:val="xl359"/>
    <w:basedOn w:val="Normal"/>
    <w:rsid w:val="00FB5DF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0">
    <w:name w:val="xl360"/>
    <w:basedOn w:val="Normal"/>
    <w:rsid w:val="00FB5D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1">
    <w:name w:val="xl361"/>
    <w:basedOn w:val="Normal"/>
    <w:rsid w:val="00FB5DF5"/>
    <w:pP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2">
    <w:name w:val="xl362"/>
    <w:basedOn w:val="Normal"/>
    <w:rsid w:val="00FB5DF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3">
    <w:name w:val="xl363"/>
    <w:basedOn w:val="Normal"/>
    <w:rsid w:val="00FB5DF5"/>
    <w:pPr>
      <w:pBdr>
        <w:bottom w:val="single" w:sz="8" w:space="0" w:color="auto"/>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4">
    <w:name w:val="xl364"/>
    <w:basedOn w:val="Normal"/>
    <w:rsid w:val="00FB5DF5"/>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5">
    <w:name w:val="xl365"/>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66">
    <w:name w:val="xl366"/>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67">
    <w:name w:val="xl367"/>
    <w:basedOn w:val="Normal"/>
    <w:rsid w:val="00FB5DF5"/>
    <w:pPr>
      <w:pBdr>
        <w:top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8">
    <w:name w:val="xl368"/>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9">
    <w:name w:val="xl369"/>
    <w:basedOn w:val="Normal"/>
    <w:rsid w:val="00FB5DF5"/>
    <w:pPr>
      <w:pBdr>
        <w:top w:val="single" w:sz="8" w:space="0" w:color="auto"/>
        <w:left w:val="single" w:sz="8" w:space="0" w:color="auto"/>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70">
    <w:name w:val="xl370"/>
    <w:basedOn w:val="Normal"/>
    <w:rsid w:val="00FB5DF5"/>
    <w:pPr>
      <w:pBdr>
        <w:top w:val="single" w:sz="8" w:space="0" w:color="auto"/>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71">
    <w:name w:val="xl371"/>
    <w:basedOn w:val="Normal"/>
    <w:rsid w:val="00FB5DF5"/>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72">
    <w:name w:val="xl372"/>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73">
    <w:name w:val="xl373"/>
    <w:basedOn w:val="Normal"/>
    <w:rsid w:val="00FB5DF5"/>
    <w:pPr>
      <w:pBdr>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74">
    <w:name w:val="xl374"/>
    <w:basedOn w:val="Normal"/>
    <w:rsid w:val="00FB5DF5"/>
    <w:pPr>
      <w:pBdr>
        <w:top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5">
    <w:name w:val="xl375"/>
    <w:basedOn w:val="Normal"/>
    <w:rsid w:val="00FB5DF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6">
    <w:name w:val="xl376"/>
    <w:basedOn w:val="Normal"/>
    <w:rsid w:val="00FB5DF5"/>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7">
    <w:name w:val="xl377"/>
    <w:basedOn w:val="Normal"/>
    <w:rsid w:val="00FB5DF5"/>
    <w:pPr>
      <w:pBdr>
        <w:bottom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8">
    <w:name w:val="xl378"/>
    <w:basedOn w:val="Normal"/>
    <w:rsid w:val="00FB5DF5"/>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9">
    <w:name w:val="xl379"/>
    <w:basedOn w:val="Normal"/>
    <w:rsid w:val="00FB5DF5"/>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0">
    <w:name w:val="xl380"/>
    <w:basedOn w:val="Normal"/>
    <w:rsid w:val="00FB5DF5"/>
    <w:pPr>
      <w:pBdr>
        <w:top w:val="single" w:sz="8" w:space="0" w:color="auto"/>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1">
    <w:name w:val="xl381"/>
    <w:basedOn w:val="Normal"/>
    <w:rsid w:val="00FB5DF5"/>
    <w:pPr>
      <w:pBdr>
        <w:top w:val="single" w:sz="8" w:space="0" w:color="auto"/>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2">
    <w:name w:val="xl382"/>
    <w:basedOn w:val="Normal"/>
    <w:rsid w:val="00FB5DF5"/>
    <w:pPr>
      <w:pBdr>
        <w:top w:val="single" w:sz="8" w:space="0" w:color="auto"/>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3">
    <w:name w:val="xl383"/>
    <w:basedOn w:val="Normal"/>
    <w:rsid w:val="00FB5DF5"/>
    <w:pPr>
      <w:pBdr>
        <w:top w:val="single" w:sz="8" w:space="0" w:color="000000"/>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4">
    <w:name w:val="xl384"/>
    <w:basedOn w:val="Normal"/>
    <w:rsid w:val="00FB5DF5"/>
    <w:pPr>
      <w:pBdr>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5">
    <w:name w:val="xl385"/>
    <w:basedOn w:val="Normal"/>
    <w:rsid w:val="00FB5DF5"/>
    <w:pPr>
      <w:pBdr>
        <w:top w:val="single" w:sz="8" w:space="0" w:color="auto"/>
        <w:left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6">
    <w:name w:val="xl386"/>
    <w:basedOn w:val="Normal"/>
    <w:rsid w:val="00FB5DF5"/>
    <w:pPr>
      <w:pBdr>
        <w:top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7">
    <w:name w:val="xl387"/>
    <w:basedOn w:val="Normal"/>
    <w:rsid w:val="00FB5DF5"/>
    <w:pPr>
      <w:pBdr>
        <w:top w:val="single" w:sz="8" w:space="0" w:color="auto"/>
        <w:bottom w:val="single" w:sz="8" w:space="0" w:color="auto"/>
        <w:right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8">
    <w:name w:val="xl388"/>
    <w:basedOn w:val="Normal"/>
    <w:rsid w:val="00FB5DF5"/>
    <w:pPr>
      <w:pBdr>
        <w:top w:val="single" w:sz="8" w:space="0" w:color="auto"/>
        <w:left w:val="single" w:sz="8" w:space="0" w:color="000000"/>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89">
    <w:name w:val="xl389"/>
    <w:basedOn w:val="Normal"/>
    <w:rsid w:val="00FB5DF5"/>
    <w:pPr>
      <w:pBdr>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0">
    <w:name w:val="xl390"/>
    <w:basedOn w:val="Normal"/>
    <w:rsid w:val="00FB5DF5"/>
    <w:pPr>
      <w:pBdr>
        <w:left w:val="single" w:sz="8" w:space="0" w:color="auto"/>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1">
    <w:name w:val="xl391"/>
    <w:basedOn w:val="Normal"/>
    <w:rsid w:val="00FB5DF5"/>
    <w:pPr>
      <w:pBdr>
        <w:left w:val="single" w:sz="8" w:space="0" w:color="000000"/>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2">
    <w:name w:val="xl392"/>
    <w:basedOn w:val="Normal"/>
    <w:rsid w:val="00FB5DF5"/>
    <w:pPr>
      <w:pBdr>
        <w:top w:val="single" w:sz="8" w:space="0" w:color="auto"/>
        <w:left w:val="single" w:sz="8" w:space="0" w:color="000000"/>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3">
    <w:name w:val="xl393"/>
    <w:basedOn w:val="Normal"/>
    <w:rsid w:val="00FB5DF5"/>
    <w:pPr>
      <w:pBdr>
        <w:top w:val="single" w:sz="8" w:space="0" w:color="auto"/>
        <w:bottom w:val="single" w:sz="8" w:space="0" w:color="000000"/>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4">
    <w:name w:val="xl394"/>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95">
    <w:name w:val="xl395"/>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96">
    <w:name w:val="xl396"/>
    <w:basedOn w:val="Normal"/>
    <w:rsid w:val="00FB5DF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7">
    <w:name w:val="xl397"/>
    <w:basedOn w:val="Normal"/>
    <w:rsid w:val="00FB5DF5"/>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8">
    <w:name w:val="xl398"/>
    <w:basedOn w:val="Normal"/>
    <w:rsid w:val="00FB5DF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9">
    <w:name w:val="xl399"/>
    <w:basedOn w:val="Normal"/>
    <w:rsid w:val="00FB5DF5"/>
    <w:pPr>
      <w:pBdr>
        <w:top w:val="single" w:sz="8" w:space="0" w:color="000000"/>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0">
    <w:name w:val="xl400"/>
    <w:basedOn w:val="Normal"/>
    <w:rsid w:val="00FB5DF5"/>
    <w:pPr>
      <w:pBdr>
        <w:top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1">
    <w:name w:val="xl401"/>
    <w:basedOn w:val="Normal"/>
    <w:rsid w:val="00FB5DF5"/>
    <w:pP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2">
    <w:name w:val="xl402"/>
    <w:basedOn w:val="Normal"/>
    <w:rsid w:val="00FB5DF5"/>
    <w:pPr>
      <w:pBdr>
        <w:left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3">
    <w:name w:val="xl403"/>
    <w:basedOn w:val="Normal"/>
    <w:rsid w:val="00FB5DF5"/>
    <w:pPr>
      <w:pBdr>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4">
    <w:name w:val="xl404"/>
    <w:basedOn w:val="Normal"/>
    <w:rsid w:val="00FB5DF5"/>
    <w:pPr>
      <w:pBdr>
        <w:bottom w:val="single" w:sz="8" w:space="0" w:color="auto"/>
        <w:right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5">
    <w:name w:val="xl405"/>
    <w:basedOn w:val="Normal"/>
    <w:rsid w:val="00FB5DF5"/>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406">
    <w:name w:val="xl406"/>
    <w:basedOn w:val="Normal"/>
    <w:rsid w:val="00FB5DF5"/>
    <w:pPr>
      <w:pBdr>
        <w:top w:val="single" w:sz="8" w:space="0" w:color="auto"/>
        <w:left w:val="single" w:sz="8" w:space="0" w:color="000000"/>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07">
    <w:name w:val="xl407"/>
    <w:basedOn w:val="Normal"/>
    <w:rsid w:val="00FB5DF5"/>
    <w:pPr>
      <w:pBdr>
        <w:top w:val="single" w:sz="8" w:space="0" w:color="auto"/>
        <w:left w:val="single" w:sz="8" w:space="0" w:color="auto"/>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08">
    <w:name w:val="xl408"/>
    <w:basedOn w:val="Normal"/>
    <w:rsid w:val="00FB5DF5"/>
    <w:pPr>
      <w:pBdr>
        <w:top w:val="single" w:sz="8" w:space="0" w:color="auto"/>
        <w:bottom w:val="single" w:sz="8" w:space="0" w:color="000000"/>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09">
    <w:name w:val="xl409"/>
    <w:basedOn w:val="Normal"/>
    <w:rsid w:val="00FB5DF5"/>
    <w:pPr>
      <w:pBdr>
        <w:top w:val="single" w:sz="8" w:space="0" w:color="000000"/>
        <w:left w:val="single" w:sz="8" w:space="0" w:color="auto"/>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0">
    <w:name w:val="xl410"/>
    <w:basedOn w:val="Normal"/>
    <w:rsid w:val="00FB5DF5"/>
    <w:pPr>
      <w:pBdr>
        <w:top w:val="single" w:sz="8" w:space="0" w:color="000000"/>
        <w:bottom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1">
    <w:name w:val="xl411"/>
    <w:basedOn w:val="Normal"/>
    <w:rsid w:val="00FB5DF5"/>
    <w:pPr>
      <w:pBdr>
        <w:top w:val="single" w:sz="8" w:space="0" w:color="000000"/>
        <w:left w:val="single" w:sz="8" w:space="0" w:color="000000"/>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2">
    <w:name w:val="xl412"/>
    <w:basedOn w:val="Normal"/>
    <w:rsid w:val="00FB5DF5"/>
    <w:pPr>
      <w:pBdr>
        <w:top w:val="single" w:sz="8" w:space="0" w:color="000000"/>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3">
    <w:name w:val="xl413"/>
    <w:basedOn w:val="Normal"/>
    <w:rsid w:val="00FB5DF5"/>
    <w:pPr>
      <w:pBdr>
        <w:bottom w:val="single" w:sz="8" w:space="0" w:color="auto"/>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4">
    <w:name w:val="xl414"/>
    <w:basedOn w:val="Normal"/>
    <w:rsid w:val="00FB5DF5"/>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5">
    <w:name w:val="xl415"/>
    <w:basedOn w:val="Normal"/>
    <w:rsid w:val="00FB5DF5"/>
    <w:pPr>
      <w:pBdr>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416">
    <w:name w:val="xl416"/>
    <w:basedOn w:val="Normal"/>
    <w:rsid w:val="00FB5DF5"/>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17">
    <w:name w:val="xl417"/>
    <w:basedOn w:val="Normal"/>
    <w:rsid w:val="00FB5DF5"/>
    <w:pPr>
      <w:pBdr>
        <w:top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18">
    <w:name w:val="xl418"/>
    <w:basedOn w:val="Normal"/>
    <w:rsid w:val="00FB5DF5"/>
    <w:pPr>
      <w:shd w:val="clear" w:color="000000" w:fill="ED7D31"/>
      <w:spacing w:before="100" w:beforeAutospacing="1" w:after="100" w:afterAutospacing="1" w:line="240" w:lineRule="auto"/>
      <w:jc w:val="center"/>
    </w:pPr>
    <w:rPr>
      <w:rFonts w:ascii="Times New Roman" w:eastAsia="Times New Roman" w:hAnsi="Times New Roman"/>
      <w:b/>
      <w:bCs/>
      <w:sz w:val="20"/>
      <w:szCs w:val="20"/>
      <w:lang w:eastAsia="mk-MK"/>
    </w:rPr>
  </w:style>
  <w:style w:type="paragraph" w:customStyle="1" w:styleId="xl419">
    <w:name w:val="xl419"/>
    <w:basedOn w:val="Normal"/>
    <w:rsid w:val="00FB5DF5"/>
    <w:pPr>
      <w:pBdr>
        <w:bottom w:val="single" w:sz="8" w:space="0" w:color="000000"/>
      </w:pBdr>
      <w:shd w:val="clear" w:color="000000" w:fill="ED7D31"/>
      <w:spacing w:before="100" w:beforeAutospacing="1" w:after="100" w:afterAutospacing="1" w:line="240" w:lineRule="auto"/>
      <w:jc w:val="center"/>
    </w:pPr>
    <w:rPr>
      <w:rFonts w:ascii="Times New Roman" w:eastAsia="Times New Roman" w:hAnsi="Times New Roman"/>
      <w:b/>
      <w:bCs/>
      <w:sz w:val="20"/>
      <w:szCs w:val="20"/>
      <w:lang w:eastAsia="mk-MK"/>
    </w:rPr>
  </w:style>
  <w:style w:type="paragraph" w:customStyle="1" w:styleId="xl420">
    <w:name w:val="xl420"/>
    <w:basedOn w:val="Normal"/>
    <w:rsid w:val="00FB5DF5"/>
    <w:pPr>
      <w:pBdr>
        <w:top w:val="single" w:sz="8" w:space="0" w:color="000000"/>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1">
    <w:name w:val="xl421"/>
    <w:basedOn w:val="Normal"/>
    <w:rsid w:val="00FB5DF5"/>
    <w:pPr>
      <w:pBdr>
        <w:top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2">
    <w:name w:val="xl422"/>
    <w:basedOn w:val="Normal"/>
    <w:rsid w:val="00FB5DF5"/>
    <w:pPr>
      <w:pBdr>
        <w:top w:val="single" w:sz="8" w:space="0" w:color="000000"/>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3">
    <w:name w:val="xl423"/>
    <w:basedOn w:val="Normal"/>
    <w:rsid w:val="00485BAA"/>
    <w:pPr>
      <w:pBdr>
        <w:top w:val="single" w:sz="8" w:space="0" w:color="000000"/>
        <w:right w:val="single" w:sz="8" w:space="0" w:color="000000"/>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xl424">
    <w:name w:val="xl424"/>
    <w:basedOn w:val="Normal"/>
    <w:rsid w:val="00485BAA"/>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425">
    <w:name w:val="xl425"/>
    <w:basedOn w:val="Normal"/>
    <w:rsid w:val="00485BAA"/>
    <w:pPr>
      <w:pBdr>
        <w:top w:val="single" w:sz="8" w:space="0" w:color="000000"/>
        <w:right w:val="single" w:sz="8" w:space="0" w:color="000000"/>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Para">
    <w:name w:val="Para"/>
    <w:link w:val="ParaChar"/>
    <w:uiPriority w:val="4"/>
    <w:qFormat/>
    <w:rsid w:val="0069157C"/>
    <w:pPr>
      <w:spacing w:before="120" w:after="120"/>
      <w:jc w:val="both"/>
    </w:pPr>
    <w:rPr>
      <w:rFonts w:ascii="Arial" w:eastAsia="Arial" w:hAnsi="Arial"/>
      <w:color w:val="000000"/>
      <w:szCs w:val="22"/>
      <w:lang w:val="en-GB" w:eastAsia="mk-MK"/>
    </w:rPr>
  </w:style>
  <w:style w:type="character" w:customStyle="1" w:styleId="ParaChar">
    <w:name w:val="Para Char"/>
    <w:link w:val="Para"/>
    <w:uiPriority w:val="4"/>
    <w:rsid w:val="0069157C"/>
    <w:rPr>
      <w:rFonts w:ascii="Arial" w:eastAsia="Arial" w:hAnsi="Arial"/>
      <w:color w:val="000000"/>
      <w:szCs w:val="22"/>
      <w:lang w:val="en-GB" w:bidi="ar-SA"/>
    </w:rPr>
  </w:style>
  <w:style w:type="paragraph" w:customStyle="1" w:styleId="xmsonormal">
    <w:name w:val="x_msonormal"/>
    <w:basedOn w:val="Normal"/>
    <w:rsid w:val="00790347"/>
    <w:pPr>
      <w:spacing w:before="100" w:beforeAutospacing="1" w:after="100" w:afterAutospacing="1" w:line="240" w:lineRule="auto"/>
    </w:pPr>
    <w:rPr>
      <w:rFonts w:ascii="Times New Roman" w:eastAsia="Times New Roman" w:hAnsi="Times New Roman"/>
      <w:sz w:val="24"/>
      <w:szCs w:val="24"/>
      <w:lang w:eastAsia="mk-MK"/>
    </w:rPr>
  </w:style>
  <w:style w:type="character" w:customStyle="1" w:styleId="rynqvb">
    <w:name w:val="rynqvb"/>
    <w:rsid w:val="00AB3E94"/>
  </w:style>
  <w:style w:type="paragraph" w:customStyle="1" w:styleId="msonormal0">
    <w:name w:val="msonormal"/>
    <w:basedOn w:val="Normal"/>
    <w:rsid w:val="00C9372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0978">
      <w:bodyDiv w:val="1"/>
      <w:marLeft w:val="0"/>
      <w:marRight w:val="0"/>
      <w:marTop w:val="0"/>
      <w:marBottom w:val="0"/>
      <w:divBdr>
        <w:top w:val="none" w:sz="0" w:space="0" w:color="auto"/>
        <w:left w:val="none" w:sz="0" w:space="0" w:color="auto"/>
        <w:bottom w:val="none" w:sz="0" w:space="0" w:color="auto"/>
        <w:right w:val="none" w:sz="0" w:space="0" w:color="auto"/>
      </w:divBdr>
      <w:divsChild>
        <w:div w:id="911163769">
          <w:marLeft w:val="0"/>
          <w:marRight w:val="0"/>
          <w:marTop w:val="0"/>
          <w:marBottom w:val="0"/>
          <w:divBdr>
            <w:top w:val="none" w:sz="0" w:space="0" w:color="auto"/>
            <w:left w:val="none" w:sz="0" w:space="0" w:color="auto"/>
            <w:bottom w:val="none" w:sz="0" w:space="0" w:color="auto"/>
            <w:right w:val="none" w:sz="0" w:space="0" w:color="auto"/>
          </w:divBdr>
        </w:div>
      </w:divsChild>
    </w:div>
    <w:div w:id="288165494">
      <w:bodyDiv w:val="1"/>
      <w:marLeft w:val="0"/>
      <w:marRight w:val="0"/>
      <w:marTop w:val="0"/>
      <w:marBottom w:val="0"/>
      <w:divBdr>
        <w:top w:val="none" w:sz="0" w:space="0" w:color="auto"/>
        <w:left w:val="none" w:sz="0" w:space="0" w:color="auto"/>
        <w:bottom w:val="none" w:sz="0" w:space="0" w:color="auto"/>
        <w:right w:val="none" w:sz="0" w:space="0" w:color="auto"/>
      </w:divBdr>
    </w:div>
    <w:div w:id="332221769">
      <w:bodyDiv w:val="1"/>
      <w:marLeft w:val="0"/>
      <w:marRight w:val="0"/>
      <w:marTop w:val="0"/>
      <w:marBottom w:val="0"/>
      <w:divBdr>
        <w:top w:val="none" w:sz="0" w:space="0" w:color="auto"/>
        <w:left w:val="none" w:sz="0" w:space="0" w:color="auto"/>
        <w:bottom w:val="none" w:sz="0" w:space="0" w:color="auto"/>
        <w:right w:val="none" w:sz="0" w:space="0" w:color="auto"/>
      </w:divBdr>
    </w:div>
    <w:div w:id="370686363">
      <w:bodyDiv w:val="1"/>
      <w:marLeft w:val="0"/>
      <w:marRight w:val="0"/>
      <w:marTop w:val="0"/>
      <w:marBottom w:val="0"/>
      <w:divBdr>
        <w:top w:val="none" w:sz="0" w:space="0" w:color="auto"/>
        <w:left w:val="none" w:sz="0" w:space="0" w:color="auto"/>
        <w:bottom w:val="none" w:sz="0" w:space="0" w:color="auto"/>
        <w:right w:val="none" w:sz="0" w:space="0" w:color="auto"/>
      </w:divBdr>
      <w:divsChild>
        <w:div w:id="819006792">
          <w:marLeft w:val="0"/>
          <w:marRight w:val="0"/>
          <w:marTop w:val="0"/>
          <w:marBottom w:val="0"/>
          <w:divBdr>
            <w:top w:val="none" w:sz="0" w:space="0" w:color="auto"/>
            <w:left w:val="none" w:sz="0" w:space="0" w:color="auto"/>
            <w:bottom w:val="none" w:sz="0" w:space="0" w:color="auto"/>
            <w:right w:val="none" w:sz="0" w:space="0" w:color="auto"/>
          </w:divBdr>
        </w:div>
      </w:divsChild>
    </w:div>
    <w:div w:id="385565765">
      <w:bodyDiv w:val="1"/>
      <w:marLeft w:val="0"/>
      <w:marRight w:val="0"/>
      <w:marTop w:val="0"/>
      <w:marBottom w:val="0"/>
      <w:divBdr>
        <w:top w:val="none" w:sz="0" w:space="0" w:color="auto"/>
        <w:left w:val="none" w:sz="0" w:space="0" w:color="auto"/>
        <w:bottom w:val="none" w:sz="0" w:space="0" w:color="auto"/>
        <w:right w:val="none" w:sz="0" w:space="0" w:color="auto"/>
      </w:divBdr>
    </w:div>
    <w:div w:id="443423046">
      <w:bodyDiv w:val="1"/>
      <w:marLeft w:val="0"/>
      <w:marRight w:val="0"/>
      <w:marTop w:val="0"/>
      <w:marBottom w:val="0"/>
      <w:divBdr>
        <w:top w:val="none" w:sz="0" w:space="0" w:color="auto"/>
        <w:left w:val="none" w:sz="0" w:space="0" w:color="auto"/>
        <w:bottom w:val="none" w:sz="0" w:space="0" w:color="auto"/>
        <w:right w:val="none" w:sz="0" w:space="0" w:color="auto"/>
      </w:divBdr>
    </w:div>
    <w:div w:id="757361111">
      <w:bodyDiv w:val="1"/>
      <w:marLeft w:val="0"/>
      <w:marRight w:val="0"/>
      <w:marTop w:val="0"/>
      <w:marBottom w:val="0"/>
      <w:divBdr>
        <w:top w:val="none" w:sz="0" w:space="0" w:color="auto"/>
        <w:left w:val="none" w:sz="0" w:space="0" w:color="auto"/>
        <w:bottom w:val="none" w:sz="0" w:space="0" w:color="auto"/>
        <w:right w:val="none" w:sz="0" w:space="0" w:color="auto"/>
      </w:divBdr>
    </w:div>
    <w:div w:id="851644702">
      <w:bodyDiv w:val="1"/>
      <w:marLeft w:val="0"/>
      <w:marRight w:val="0"/>
      <w:marTop w:val="0"/>
      <w:marBottom w:val="0"/>
      <w:divBdr>
        <w:top w:val="none" w:sz="0" w:space="0" w:color="auto"/>
        <w:left w:val="none" w:sz="0" w:space="0" w:color="auto"/>
        <w:bottom w:val="none" w:sz="0" w:space="0" w:color="auto"/>
        <w:right w:val="none" w:sz="0" w:space="0" w:color="auto"/>
      </w:divBdr>
    </w:div>
    <w:div w:id="853685797">
      <w:bodyDiv w:val="1"/>
      <w:marLeft w:val="0"/>
      <w:marRight w:val="0"/>
      <w:marTop w:val="0"/>
      <w:marBottom w:val="0"/>
      <w:divBdr>
        <w:top w:val="none" w:sz="0" w:space="0" w:color="auto"/>
        <w:left w:val="none" w:sz="0" w:space="0" w:color="auto"/>
        <w:bottom w:val="none" w:sz="0" w:space="0" w:color="auto"/>
        <w:right w:val="none" w:sz="0" w:space="0" w:color="auto"/>
      </w:divBdr>
    </w:div>
    <w:div w:id="951665595">
      <w:bodyDiv w:val="1"/>
      <w:marLeft w:val="0"/>
      <w:marRight w:val="0"/>
      <w:marTop w:val="0"/>
      <w:marBottom w:val="0"/>
      <w:divBdr>
        <w:top w:val="none" w:sz="0" w:space="0" w:color="auto"/>
        <w:left w:val="none" w:sz="0" w:space="0" w:color="auto"/>
        <w:bottom w:val="none" w:sz="0" w:space="0" w:color="auto"/>
        <w:right w:val="none" w:sz="0" w:space="0" w:color="auto"/>
      </w:divBdr>
    </w:div>
    <w:div w:id="1000159107">
      <w:bodyDiv w:val="1"/>
      <w:marLeft w:val="0"/>
      <w:marRight w:val="0"/>
      <w:marTop w:val="0"/>
      <w:marBottom w:val="0"/>
      <w:divBdr>
        <w:top w:val="none" w:sz="0" w:space="0" w:color="auto"/>
        <w:left w:val="none" w:sz="0" w:space="0" w:color="auto"/>
        <w:bottom w:val="none" w:sz="0" w:space="0" w:color="auto"/>
        <w:right w:val="none" w:sz="0" w:space="0" w:color="auto"/>
      </w:divBdr>
    </w:div>
    <w:div w:id="1302274304">
      <w:bodyDiv w:val="1"/>
      <w:marLeft w:val="0"/>
      <w:marRight w:val="0"/>
      <w:marTop w:val="0"/>
      <w:marBottom w:val="0"/>
      <w:divBdr>
        <w:top w:val="none" w:sz="0" w:space="0" w:color="auto"/>
        <w:left w:val="none" w:sz="0" w:space="0" w:color="auto"/>
        <w:bottom w:val="none" w:sz="0" w:space="0" w:color="auto"/>
        <w:right w:val="none" w:sz="0" w:space="0" w:color="auto"/>
      </w:divBdr>
      <w:divsChild>
        <w:div w:id="326325802">
          <w:marLeft w:val="0"/>
          <w:marRight w:val="0"/>
          <w:marTop w:val="0"/>
          <w:marBottom w:val="0"/>
          <w:divBdr>
            <w:top w:val="none" w:sz="0" w:space="0" w:color="auto"/>
            <w:left w:val="none" w:sz="0" w:space="0" w:color="auto"/>
            <w:bottom w:val="none" w:sz="0" w:space="0" w:color="auto"/>
            <w:right w:val="none" w:sz="0" w:space="0" w:color="auto"/>
          </w:divBdr>
        </w:div>
      </w:divsChild>
    </w:div>
    <w:div w:id="1327321996">
      <w:bodyDiv w:val="1"/>
      <w:marLeft w:val="0"/>
      <w:marRight w:val="0"/>
      <w:marTop w:val="0"/>
      <w:marBottom w:val="0"/>
      <w:divBdr>
        <w:top w:val="none" w:sz="0" w:space="0" w:color="auto"/>
        <w:left w:val="none" w:sz="0" w:space="0" w:color="auto"/>
        <w:bottom w:val="none" w:sz="0" w:space="0" w:color="auto"/>
        <w:right w:val="none" w:sz="0" w:space="0" w:color="auto"/>
      </w:divBdr>
    </w:div>
    <w:div w:id="1523855855">
      <w:bodyDiv w:val="1"/>
      <w:marLeft w:val="0"/>
      <w:marRight w:val="0"/>
      <w:marTop w:val="0"/>
      <w:marBottom w:val="0"/>
      <w:divBdr>
        <w:top w:val="none" w:sz="0" w:space="0" w:color="auto"/>
        <w:left w:val="none" w:sz="0" w:space="0" w:color="auto"/>
        <w:bottom w:val="none" w:sz="0" w:space="0" w:color="auto"/>
        <w:right w:val="none" w:sz="0" w:space="0" w:color="auto"/>
      </w:divBdr>
    </w:div>
    <w:div w:id="1627662334">
      <w:bodyDiv w:val="1"/>
      <w:marLeft w:val="0"/>
      <w:marRight w:val="0"/>
      <w:marTop w:val="0"/>
      <w:marBottom w:val="0"/>
      <w:divBdr>
        <w:top w:val="none" w:sz="0" w:space="0" w:color="auto"/>
        <w:left w:val="none" w:sz="0" w:space="0" w:color="auto"/>
        <w:bottom w:val="none" w:sz="0" w:space="0" w:color="auto"/>
        <w:right w:val="none" w:sz="0" w:space="0" w:color="auto"/>
      </w:divBdr>
    </w:div>
    <w:div w:id="1800024735">
      <w:bodyDiv w:val="1"/>
      <w:marLeft w:val="0"/>
      <w:marRight w:val="0"/>
      <w:marTop w:val="0"/>
      <w:marBottom w:val="0"/>
      <w:divBdr>
        <w:top w:val="none" w:sz="0" w:space="0" w:color="auto"/>
        <w:left w:val="none" w:sz="0" w:space="0" w:color="auto"/>
        <w:bottom w:val="none" w:sz="0" w:space="0" w:color="auto"/>
        <w:right w:val="none" w:sz="0" w:space="0" w:color="auto"/>
      </w:divBdr>
      <w:divsChild>
        <w:div w:id="174837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3717-BB93-4151-8901-68D65584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208</Pages>
  <Words>81153</Words>
  <Characters>462575</Characters>
  <Application>Microsoft Office Word</Application>
  <DocSecurity>0</DocSecurity>
  <Lines>3854</Lines>
  <Paragraphs>1085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542643</CharactersWithSpaces>
  <SharedDoc>false</SharedDoc>
  <HLinks>
    <vt:vector size="228" baseType="variant">
      <vt:variant>
        <vt:i4>1507376</vt:i4>
      </vt:variant>
      <vt:variant>
        <vt:i4>224</vt:i4>
      </vt:variant>
      <vt:variant>
        <vt:i4>0</vt:i4>
      </vt:variant>
      <vt:variant>
        <vt:i4>5</vt:i4>
      </vt:variant>
      <vt:variant>
        <vt:lpwstr/>
      </vt:variant>
      <vt:variant>
        <vt:lpwstr>_Toc106968112</vt:lpwstr>
      </vt:variant>
      <vt:variant>
        <vt:i4>1507376</vt:i4>
      </vt:variant>
      <vt:variant>
        <vt:i4>218</vt:i4>
      </vt:variant>
      <vt:variant>
        <vt:i4>0</vt:i4>
      </vt:variant>
      <vt:variant>
        <vt:i4>5</vt:i4>
      </vt:variant>
      <vt:variant>
        <vt:lpwstr/>
      </vt:variant>
      <vt:variant>
        <vt:lpwstr>_Toc106968111</vt:lpwstr>
      </vt:variant>
      <vt:variant>
        <vt:i4>1507376</vt:i4>
      </vt:variant>
      <vt:variant>
        <vt:i4>212</vt:i4>
      </vt:variant>
      <vt:variant>
        <vt:i4>0</vt:i4>
      </vt:variant>
      <vt:variant>
        <vt:i4>5</vt:i4>
      </vt:variant>
      <vt:variant>
        <vt:lpwstr/>
      </vt:variant>
      <vt:variant>
        <vt:lpwstr>_Toc106968110</vt:lpwstr>
      </vt:variant>
      <vt:variant>
        <vt:i4>1441840</vt:i4>
      </vt:variant>
      <vt:variant>
        <vt:i4>206</vt:i4>
      </vt:variant>
      <vt:variant>
        <vt:i4>0</vt:i4>
      </vt:variant>
      <vt:variant>
        <vt:i4>5</vt:i4>
      </vt:variant>
      <vt:variant>
        <vt:lpwstr/>
      </vt:variant>
      <vt:variant>
        <vt:lpwstr>_Toc106968109</vt:lpwstr>
      </vt:variant>
      <vt:variant>
        <vt:i4>1441840</vt:i4>
      </vt:variant>
      <vt:variant>
        <vt:i4>200</vt:i4>
      </vt:variant>
      <vt:variant>
        <vt:i4>0</vt:i4>
      </vt:variant>
      <vt:variant>
        <vt:i4>5</vt:i4>
      </vt:variant>
      <vt:variant>
        <vt:lpwstr/>
      </vt:variant>
      <vt:variant>
        <vt:lpwstr>_Toc106968108</vt:lpwstr>
      </vt:variant>
      <vt:variant>
        <vt:i4>1441840</vt:i4>
      </vt:variant>
      <vt:variant>
        <vt:i4>194</vt:i4>
      </vt:variant>
      <vt:variant>
        <vt:i4>0</vt:i4>
      </vt:variant>
      <vt:variant>
        <vt:i4>5</vt:i4>
      </vt:variant>
      <vt:variant>
        <vt:lpwstr/>
      </vt:variant>
      <vt:variant>
        <vt:lpwstr>_Toc106968107</vt:lpwstr>
      </vt:variant>
      <vt:variant>
        <vt:i4>1441840</vt:i4>
      </vt:variant>
      <vt:variant>
        <vt:i4>188</vt:i4>
      </vt:variant>
      <vt:variant>
        <vt:i4>0</vt:i4>
      </vt:variant>
      <vt:variant>
        <vt:i4>5</vt:i4>
      </vt:variant>
      <vt:variant>
        <vt:lpwstr/>
      </vt:variant>
      <vt:variant>
        <vt:lpwstr>_Toc106968106</vt:lpwstr>
      </vt:variant>
      <vt:variant>
        <vt:i4>1441840</vt:i4>
      </vt:variant>
      <vt:variant>
        <vt:i4>182</vt:i4>
      </vt:variant>
      <vt:variant>
        <vt:i4>0</vt:i4>
      </vt:variant>
      <vt:variant>
        <vt:i4>5</vt:i4>
      </vt:variant>
      <vt:variant>
        <vt:lpwstr/>
      </vt:variant>
      <vt:variant>
        <vt:lpwstr>_Toc106968105</vt:lpwstr>
      </vt:variant>
      <vt:variant>
        <vt:i4>1441840</vt:i4>
      </vt:variant>
      <vt:variant>
        <vt:i4>176</vt:i4>
      </vt:variant>
      <vt:variant>
        <vt:i4>0</vt:i4>
      </vt:variant>
      <vt:variant>
        <vt:i4>5</vt:i4>
      </vt:variant>
      <vt:variant>
        <vt:lpwstr/>
      </vt:variant>
      <vt:variant>
        <vt:lpwstr>_Toc106968104</vt:lpwstr>
      </vt:variant>
      <vt:variant>
        <vt:i4>1441840</vt:i4>
      </vt:variant>
      <vt:variant>
        <vt:i4>170</vt:i4>
      </vt:variant>
      <vt:variant>
        <vt:i4>0</vt:i4>
      </vt:variant>
      <vt:variant>
        <vt:i4>5</vt:i4>
      </vt:variant>
      <vt:variant>
        <vt:lpwstr/>
      </vt:variant>
      <vt:variant>
        <vt:lpwstr>_Toc106968103</vt:lpwstr>
      </vt:variant>
      <vt:variant>
        <vt:i4>1441840</vt:i4>
      </vt:variant>
      <vt:variant>
        <vt:i4>164</vt:i4>
      </vt:variant>
      <vt:variant>
        <vt:i4>0</vt:i4>
      </vt:variant>
      <vt:variant>
        <vt:i4>5</vt:i4>
      </vt:variant>
      <vt:variant>
        <vt:lpwstr/>
      </vt:variant>
      <vt:variant>
        <vt:lpwstr>_Toc106968102</vt:lpwstr>
      </vt:variant>
      <vt:variant>
        <vt:i4>1441840</vt:i4>
      </vt:variant>
      <vt:variant>
        <vt:i4>158</vt:i4>
      </vt:variant>
      <vt:variant>
        <vt:i4>0</vt:i4>
      </vt:variant>
      <vt:variant>
        <vt:i4>5</vt:i4>
      </vt:variant>
      <vt:variant>
        <vt:lpwstr/>
      </vt:variant>
      <vt:variant>
        <vt:lpwstr>_Toc106968101</vt:lpwstr>
      </vt:variant>
      <vt:variant>
        <vt:i4>1441840</vt:i4>
      </vt:variant>
      <vt:variant>
        <vt:i4>152</vt:i4>
      </vt:variant>
      <vt:variant>
        <vt:i4>0</vt:i4>
      </vt:variant>
      <vt:variant>
        <vt:i4>5</vt:i4>
      </vt:variant>
      <vt:variant>
        <vt:lpwstr/>
      </vt:variant>
      <vt:variant>
        <vt:lpwstr>_Toc106968100</vt:lpwstr>
      </vt:variant>
      <vt:variant>
        <vt:i4>2031665</vt:i4>
      </vt:variant>
      <vt:variant>
        <vt:i4>146</vt:i4>
      </vt:variant>
      <vt:variant>
        <vt:i4>0</vt:i4>
      </vt:variant>
      <vt:variant>
        <vt:i4>5</vt:i4>
      </vt:variant>
      <vt:variant>
        <vt:lpwstr/>
      </vt:variant>
      <vt:variant>
        <vt:lpwstr>_Toc106968099</vt:lpwstr>
      </vt:variant>
      <vt:variant>
        <vt:i4>2031665</vt:i4>
      </vt:variant>
      <vt:variant>
        <vt:i4>140</vt:i4>
      </vt:variant>
      <vt:variant>
        <vt:i4>0</vt:i4>
      </vt:variant>
      <vt:variant>
        <vt:i4>5</vt:i4>
      </vt:variant>
      <vt:variant>
        <vt:lpwstr/>
      </vt:variant>
      <vt:variant>
        <vt:lpwstr>_Toc106968098</vt:lpwstr>
      </vt:variant>
      <vt:variant>
        <vt:i4>2031665</vt:i4>
      </vt:variant>
      <vt:variant>
        <vt:i4>134</vt:i4>
      </vt:variant>
      <vt:variant>
        <vt:i4>0</vt:i4>
      </vt:variant>
      <vt:variant>
        <vt:i4>5</vt:i4>
      </vt:variant>
      <vt:variant>
        <vt:lpwstr/>
      </vt:variant>
      <vt:variant>
        <vt:lpwstr>_Toc106968097</vt:lpwstr>
      </vt:variant>
      <vt:variant>
        <vt:i4>2031665</vt:i4>
      </vt:variant>
      <vt:variant>
        <vt:i4>128</vt:i4>
      </vt:variant>
      <vt:variant>
        <vt:i4>0</vt:i4>
      </vt:variant>
      <vt:variant>
        <vt:i4>5</vt:i4>
      </vt:variant>
      <vt:variant>
        <vt:lpwstr/>
      </vt:variant>
      <vt:variant>
        <vt:lpwstr>_Toc106968096</vt:lpwstr>
      </vt:variant>
      <vt:variant>
        <vt:i4>2031665</vt:i4>
      </vt:variant>
      <vt:variant>
        <vt:i4>122</vt:i4>
      </vt:variant>
      <vt:variant>
        <vt:i4>0</vt:i4>
      </vt:variant>
      <vt:variant>
        <vt:i4>5</vt:i4>
      </vt:variant>
      <vt:variant>
        <vt:lpwstr/>
      </vt:variant>
      <vt:variant>
        <vt:lpwstr>_Toc106968095</vt:lpwstr>
      </vt:variant>
      <vt:variant>
        <vt:i4>2031665</vt:i4>
      </vt:variant>
      <vt:variant>
        <vt:i4>116</vt:i4>
      </vt:variant>
      <vt:variant>
        <vt:i4>0</vt:i4>
      </vt:variant>
      <vt:variant>
        <vt:i4>5</vt:i4>
      </vt:variant>
      <vt:variant>
        <vt:lpwstr/>
      </vt:variant>
      <vt:variant>
        <vt:lpwstr>_Toc106968094</vt:lpwstr>
      </vt:variant>
      <vt:variant>
        <vt:i4>2031665</vt:i4>
      </vt:variant>
      <vt:variant>
        <vt:i4>110</vt:i4>
      </vt:variant>
      <vt:variant>
        <vt:i4>0</vt:i4>
      </vt:variant>
      <vt:variant>
        <vt:i4>5</vt:i4>
      </vt:variant>
      <vt:variant>
        <vt:lpwstr/>
      </vt:variant>
      <vt:variant>
        <vt:lpwstr>_Toc106968093</vt:lpwstr>
      </vt:variant>
      <vt:variant>
        <vt:i4>2031665</vt:i4>
      </vt:variant>
      <vt:variant>
        <vt:i4>104</vt:i4>
      </vt:variant>
      <vt:variant>
        <vt:i4>0</vt:i4>
      </vt:variant>
      <vt:variant>
        <vt:i4>5</vt:i4>
      </vt:variant>
      <vt:variant>
        <vt:lpwstr/>
      </vt:variant>
      <vt:variant>
        <vt:lpwstr>_Toc106968092</vt:lpwstr>
      </vt:variant>
      <vt:variant>
        <vt:i4>2031665</vt:i4>
      </vt:variant>
      <vt:variant>
        <vt:i4>98</vt:i4>
      </vt:variant>
      <vt:variant>
        <vt:i4>0</vt:i4>
      </vt:variant>
      <vt:variant>
        <vt:i4>5</vt:i4>
      </vt:variant>
      <vt:variant>
        <vt:lpwstr/>
      </vt:variant>
      <vt:variant>
        <vt:lpwstr>_Toc106968091</vt:lpwstr>
      </vt:variant>
      <vt:variant>
        <vt:i4>2031665</vt:i4>
      </vt:variant>
      <vt:variant>
        <vt:i4>92</vt:i4>
      </vt:variant>
      <vt:variant>
        <vt:i4>0</vt:i4>
      </vt:variant>
      <vt:variant>
        <vt:i4>5</vt:i4>
      </vt:variant>
      <vt:variant>
        <vt:lpwstr/>
      </vt:variant>
      <vt:variant>
        <vt:lpwstr>_Toc106968090</vt:lpwstr>
      </vt:variant>
      <vt:variant>
        <vt:i4>1966129</vt:i4>
      </vt:variant>
      <vt:variant>
        <vt:i4>86</vt:i4>
      </vt:variant>
      <vt:variant>
        <vt:i4>0</vt:i4>
      </vt:variant>
      <vt:variant>
        <vt:i4>5</vt:i4>
      </vt:variant>
      <vt:variant>
        <vt:lpwstr/>
      </vt:variant>
      <vt:variant>
        <vt:lpwstr>_Toc106968089</vt:lpwstr>
      </vt:variant>
      <vt:variant>
        <vt:i4>1966129</vt:i4>
      </vt:variant>
      <vt:variant>
        <vt:i4>80</vt:i4>
      </vt:variant>
      <vt:variant>
        <vt:i4>0</vt:i4>
      </vt:variant>
      <vt:variant>
        <vt:i4>5</vt:i4>
      </vt:variant>
      <vt:variant>
        <vt:lpwstr/>
      </vt:variant>
      <vt:variant>
        <vt:lpwstr>_Toc106968088</vt:lpwstr>
      </vt:variant>
      <vt:variant>
        <vt:i4>1966129</vt:i4>
      </vt:variant>
      <vt:variant>
        <vt:i4>74</vt:i4>
      </vt:variant>
      <vt:variant>
        <vt:i4>0</vt:i4>
      </vt:variant>
      <vt:variant>
        <vt:i4>5</vt:i4>
      </vt:variant>
      <vt:variant>
        <vt:lpwstr/>
      </vt:variant>
      <vt:variant>
        <vt:lpwstr>_Toc106968087</vt:lpwstr>
      </vt:variant>
      <vt:variant>
        <vt:i4>1966129</vt:i4>
      </vt:variant>
      <vt:variant>
        <vt:i4>68</vt:i4>
      </vt:variant>
      <vt:variant>
        <vt:i4>0</vt:i4>
      </vt:variant>
      <vt:variant>
        <vt:i4>5</vt:i4>
      </vt:variant>
      <vt:variant>
        <vt:lpwstr/>
      </vt:variant>
      <vt:variant>
        <vt:lpwstr>_Toc106968086</vt:lpwstr>
      </vt:variant>
      <vt:variant>
        <vt:i4>1966129</vt:i4>
      </vt:variant>
      <vt:variant>
        <vt:i4>62</vt:i4>
      </vt:variant>
      <vt:variant>
        <vt:i4>0</vt:i4>
      </vt:variant>
      <vt:variant>
        <vt:i4>5</vt:i4>
      </vt:variant>
      <vt:variant>
        <vt:lpwstr/>
      </vt:variant>
      <vt:variant>
        <vt:lpwstr>_Toc106968085</vt:lpwstr>
      </vt:variant>
      <vt:variant>
        <vt:i4>1966129</vt:i4>
      </vt:variant>
      <vt:variant>
        <vt:i4>56</vt:i4>
      </vt:variant>
      <vt:variant>
        <vt:i4>0</vt:i4>
      </vt:variant>
      <vt:variant>
        <vt:i4>5</vt:i4>
      </vt:variant>
      <vt:variant>
        <vt:lpwstr/>
      </vt:variant>
      <vt:variant>
        <vt:lpwstr>_Toc106968084</vt:lpwstr>
      </vt:variant>
      <vt:variant>
        <vt:i4>1966129</vt:i4>
      </vt:variant>
      <vt:variant>
        <vt:i4>50</vt:i4>
      </vt:variant>
      <vt:variant>
        <vt:i4>0</vt:i4>
      </vt:variant>
      <vt:variant>
        <vt:i4>5</vt:i4>
      </vt:variant>
      <vt:variant>
        <vt:lpwstr/>
      </vt:variant>
      <vt:variant>
        <vt:lpwstr>_Toc106968083</vt:lpwstr>
      </vt:variant>
      <vt:variant>
        <vt:i4>1966129</vt:i4>
      </vt:variant>
      <vt:variant>
        <vt:i4>44</vt:i4>
      </vt:variant>
      <vt:variant>
        <vt:i4>0</vt:i4>
      </vt:variant>
      <vt:variant>
        <vt:i4>5</vt:i4>
      </vt:variant>
      <vt:variant>
        <vt:lpwstr/>
      </vt:variant>
      <vt:variant>
        <vt:lpwstr>_Toc106968082</vt:lpwstr>
      </vt:variant>
      <vt:variant>
        <vt:i4>1966129</vt:i4>
      </vt:variant>
      <vt:variant>
        <vt:i4>38</vt:i4>
      </vt:variant>
      <vt:variant>
        <vt:i4>0</vt:i4>
      </vt:variant>
      <vt:variant>
        <vt:i4>5</vt:i4>
      </vt:variant>
      <vt:variant>
        <vt:lpwstr/>
      </vt:variant>
      <vt:variant>
        <vt:lpwstr>_Toc106968081</vt:lpwstr>
      </vt:variant>
      <vt:variant>
        <vt:i4>1966129</vt:i4>
      </vt:variant>
      <vt:variant>
        <vt:i4>32</vt:i4>
      </vt:variant>
      <vt:variant>
        <vt:i4>0</vt:i4>
      </vt:variant>
      <vt:variant>
        <vt:i4>5</vt:i4>
      </vt:variant>
      <vt:variant>
        <vt:lpwstr/>
      </vt:variant>
      <vt:variant>
        <vt:lpwstr>_Toc106968080</vt:lpwstr>
      </vt:variant>
      <vt:variant>
        <vt:i4>1114161</vt:i4>
      </vt:variant>
      <vt:variant>
        <vt:i4>26</vt:i4>
      </vt:variant>
      <vt:variant>
        <vt:i4>0</vt:i4>
      </vt:variant>
      <vt:variant>
        <vt:i4>5</vt:i4>
      </vt:variant>
      <vt:variant>
        <vt:lpwstr/>
      </vt:variant>
      <vt:variant>
        <vt:lpwstr>_Toc106968079</vt:lpwstr>
      </vt:variant>
      <vt:variant>
        <vt:i4>1114161</vt:i4>
      </vt:variant>
      <vt:variant>
        <vt:i4>20</vt:i4>
      </vt:variant>
      <vt:variant>
        <vt:i4>0</vt:i4>
      </vt:variant>
      <vt:variant>
        <vt:i4>5</vt:i4>
      </vt:variant>
      <vt:variant>
        <vt:lpwstr/>
      </vt:variant>
      <vt:variant>
        <vt:lpwstr>_Toc106968078</vt:lpwstr>
      </vt:variant>
      <vt:variant>
        <vt:i4>1114161</vt:i4>
      </vt:variant>
      <vt:variant>
        <vt:i4>14</vt:i4>
      </vt:variant>
      <vt:variant>
        <vt:i4>0</vt:i4>
      </vt:variant>
      <vt:variant>
        <vt:i4>5</vt:i4>
      </vt:variant>
      <vt:variant>
        <vt:lpwstr/>
      </vt:variant>
      <vt:variant>
        <vt:lpwstr>_Toc106968077</vt:lpwstr>
      </vt:variant>
      <vt:variant>
        <vt:i4>1114161</vt:i4>
      </vt:variant>
      <vt:variant>
        <vt:i4>8</vt:i4>
      </vt:variant>
      <vt:variant>
        <vt:i4>0</vt:i4>
      </vt:variant>
      <vt:variant>
        <vt:i4>5</vt:i4>
      </vt:variant>
      <vt:variant>
        <vt:lpwstr/>
      </vt:variant>
      <vt:variant>
        <vt:lpwstr>_Toc106968076</vt:lpwstr>
      </vt:variant>
      <vt:variant>
        <vt:i4>1114161</vt:i4>
      </vt:variant>
      <vt:variant>
        <vt:i4>2</vt:i4>
      </vt:variant>
      <vt:variant>
        <vt:i4>0</vt:i4>
      </vt:variant>
      <vt:variant>
        <vt:i4>5</vt:i4>
      </vt:variant>
      <vt:variant>
        <vt:lpwstr/>
      </vt:variant>
      <vt:variant>
        <vt:lpwstr>_Toc106968075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Koleva</dc:creator>
  <cp:keywords/>
  <cp:lastModifiedBy>Azem Haxhiu</cp:lastModifiedBy>
  <cp:revision>252</cp:revision>
  <cp:lastPrinted>2022-06-24T11:10:00Z</cp:lastPrinted>
  <dcterms:created xsi:type="dcterms:W3CDTF">2024-01-31T10:04:00Z</dcterms:created>
  <dcterms:modified xsi:type="dcterms:W3CDTF">2024-03-06T10:56:00Z</dcterms:modified>
</cp:coreProperties>
</file>